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verx-20260630x10q.htm"/>
        <w:bookmarkStart w:id="1" w:name="ksverx2026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before="0" w:after="0"/>
        <w:ind w:left="0" w:right="0" w:hanging="0"/>
        <w:jc w:val="center"/>
        <w:rPr>
          <w:rFonts w:ascii="Times New Roman;Times;serif" w:hAnsi="Times New Roman;Times;serif"/>
          <w:sz w:val="2"/>
        </w:rPr>
      </w:pPr>
      <w:r>
        <w:rPr>
          <w:rFonts w:ascii="Times New Roman;Times;serif" w:hAnsi="Times New Roman;Times;serif"/>
          <w:sz w:val="2"/>
        </w:rPr>
        <w:t>v</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34"/>
        </w:rPr>
      </w:pPr>
      <w:bookmarkStart w:id="2" w:name="_d445e466_150b_4e79_a79f_9e235a1656be"/>
      <w:bookmarkEnd w:id="2"/>
      <w:r>
        <w:rPr>
          <w:rFonts w:ascii="Times New Roman;Times;serif" w:hAnsi="Times New Roman;Times;serif"/>
          <w:b/>
          <w:sz w:val="34"/>
        </w:rPr>
        <w:t>UNITED STATES</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SECURITIES AND EXCHANGE COMMISSION</w:t>
      </w:r>
    </w:p>
    <w:p>
      <w:pPr>
        <w:pStyle w:val="TextBody"/>
        <w:bidi w:val="0"/>
        <w:spacing w:before="0" w:after="80"/>
        <w:ind w:left="0" w:right="0" w:hanging="0"/>
        <w:jc w:val="center"/>
        <w:rPr>
          <w:rFonts w:ascii="Times New Roman;Times;serif" w:hAnsi="Times New Roman;Times;serif"/>
          <w:b/>
          <w:sz w:val="22"/>
        </w:rPr>
      </w:pPr>
      <w:r>
        <w:rPr>
          <w:rFonts w:ascii="Times New Roman;Times;serif" w:hAnsi="Times New Roman;Times;serif"/>
          <w:b/>
          <w:sz w:val="22"/>
        </w:rPr>
        <w:t>WASHINGTON, DC 20549</w:t>
      </w:r>
    </w:p>
    <w:p>
      <w:pPr>
        <w:pStyle w:val="TextBody"/>
        <w:bidi w:val="0"/>
        <w:spacing w:before="0" w:after="80"/>
        <w:ind w:left="0" w:right="0" w:hanging="0"/>
        <w:jc w:val="center"/>
        <w:rPr>
          <w:rFonts w:ascii="Times New Roman;Times;serif" w:hAnsi="Times New Roman;Times;serif"/>
          <w:b/>
          <w:sz w:val="34"/>
        </w:rPr>
      </w:pPr>
      <w:r>
        <w:rPr>
          <w:rFonts w:ascii="Times New Roman;Times;serif" w:hAnsi="Times New Roman;Times;serif"/>
          <w:b/>
          <w:sz w:val="34"/>
        </w:rPr>
        <w:t>FORM 10-Q</w:t>
      </w:r>
    </w:p>
    <w:p>
      <w:pPr>
        <w:pStyle w:val="TextBody"/>
        <w:bidi w:val="0"/>
        <w:spacing w:before="0" w:after="0"/>
        <w:ind w:left="0" w:right="0" w:hanging="0"/>
        <w:jc w:val="both"/>
        <w:rPr>
          <w:rFonts w:ascii="Times New Roman;Times;serif" w:hAnsi="Times New Roman;Times;serif"/>
          <w:b/>
          <w:sz w:val="18"/>
        </w:rPr>
      </w:pPr>
      <w:r>
        <w:rPr>
          <w:rFonts w:ascii="Times New Roman;Times;serif" w:hAnsi="Times New Roman;Times;serif"/>
          <w:b/>
          <w:sz w:val="18"/>
        </w:rPr>
        <w:t>(Mark One)</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3" w:name="Tc_C0p48eXezUyOG7K-CInrWg_1_2"/>
      <w:bookmarkStart w:id="4" w:name="_bf128692_be5f_4c23_8561_ac62219be472"/>
      <w:bookmarkStart w:id="5" w:name="Tc_C0p48eXezUyOG7K-CInrWg_1_2"/>
      <w:bookmarkStart w:id="6" w:name="_bf128692_be5f_4c23_8561_ac62219be472"/>
      <w:bookmarkEnd w:id="5"/>
      <w:bookmarkEnd w:id="6"/>
    </w:p>
    <w:tbl>
      <w:tblPr>
        <w:tblW w:w="10205" w:type="dxa"/>
        <w:jc w:val="left"/>
        <w:tblInd w:w="0" w:type="dxa"/>
        <w:tblLayout w:type="fixed"/>
        <w:tblCellMar>
          <w:top w:w="0" w:type="dxa"/>
          <w:left w:w="0" w:type="dxa"/>
          <w:bottom w:w="0" w:type="dxa"/>
          <w:right w:w="0" w:type="dxa"/>
        </w:tblCellMar>
      </w:tblPr>
      <w:tblGrid>
        <w:gridCol w:w="331"/>
        <w:gridCol w:w="346"/>
        <w:gridCol w:w="9528"/>
      </w:tblGrid>
      <w:tr>
        <w:trPr/>
        <w:tc>
          <w:tcPr>
            <w:tcW w:w="3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528"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  ​ ​ ​</w:t>
            </w:r>
          </w:p>
        </w:tc>
        <w:tc>
          <w:tcPr>
            <w:tcW w:w="9528" w:type="dxa"/>
            <w:tcBorders/>
            <w:vAlign w:val="center"/>
          </w:tcPr>
          <w:p>
            <w:pPr>
              <w:pStyle w:val="TableContents"/>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QUARTERLY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80"/>
        <w:ind w:left="0" w:right="0" w:hanging="0"/>
        <w:jc w:val="center"/>
        <w:rPr>
          <w:rFonts w:ascii="Times New Roman;Times;serif" w:hAnsi="Times New Roman;Times;serif"/>
          <w:b/>
          <w:sz w:val="18"/>
        </w:rPr>
      </w:pPr>
      <w:r>
        <w:rPr>
          <w:rFonts w:ascii="Times New Roman;Times;serif" w:hAnsi="Times New Roman;Times;serif"/>
          <w:b/>
          <w:sz w:val="18"/>
        </w:rPr>
        <w:t>For the quarterly period ended June 30, 2026</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OR</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7" w:name="Tc__sjGlJ_Ak0yXfSrFIVhT-w_1_2"/>
      <w:bookmarkStart w:id="8" w:name="_fcfd63c3_2698_4c49_b53c_deb29d8f9193"/>
      <w:bookmarkStart w:id="9" w:name="Tc__sjGlJ_Ak0yXfSrFIVhT-w_1_2"/>
      <w:bookmarkStart w:id="10" w:name="_fcfd63c3_2698_4c49_b53c_deb29d8f9193"/>
      <w:bookmarkEnd w:id="9"/>
      <w:bookmarkEnd w:id="10"/>
    </w:p>
    <w:tbl>
      <w:tblPr>
        <w:tblW w:w="10205" w:type="dxa"/>
        <w:jc w:val="left"/>
        <w:tblInd w:w="0" w:type="dxa"/>
        <w:tblLayout w:type="fixed"/>
        <w:tblCellMar>
          <w:top w:w="0" w:type="dxa"/>
          <w:left w:w="0" w:type="dxa"/>
          <w:bottom w:w="0" w:type="dxa"/>
          <w:right w:w="0" w:type="dxa"/>
        </w:tblCellMar>
      </w:tblPr>
      <w:tblGrid>
        <w:gridCol w:w="331"/>
        <w:gridCol w:w="346"/>
        <w:gridCol w:w="9528"/>
      </w:tblGrid>
      <w:tr>
        <w:trPr/>
        <w:tc>
          <w:tcPr>
            <w:tcW w:w="3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528"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  ​ ​ ​</w:t>
            </w:r>
          </w:p>
        </w:tc>
        <w:tc>
          <w:tcPr>
            <w:tcW w:w="9528" w:type="dxa"/>
            <w:tcBorders/>
            <w:vAlign w:val="center"/>
          </w:tcPr>
          <w:p>
            <w:pPr>
              <w:pStyle w:val="TableContents"/>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80"/>
        <w:ind w:left="0" w:right="0" w:hanging="0"/>
        <w:jc w:val="center"/>
        <w:rPr>
          <w:rFonts w:ascii="Times New Roman;Times;serif" w:hAnsi="Times New Roman;Times;serif"/>
          <w:b/>
          <w:sz w:val="18"/>
        </w:rPr>
      </w:pPr>
      <w:r>
        <w:rPr>
          <w:rFonts w:ascii="Times New Roman;Times;serif" w:hAnsi="Times New Roman;Times;serif"/>
          <w:b/>
          <w:sz w:val="18"/>
        </w:rPr>
        <w:t>For the transition period from ________ to ________</w:t>
      </w:r>
    </w:p>
    <w:p>
      <w:pPr>
        <w:pStyle w:val="TextBody"/>
        <w:bidi w:val="0"/>
        <w:spacing w:before="0" w:after="80"/>
        <w:ind w:left="0" w:right="0" w:hanging="0"/>
        <w:jc w:val="center"/>
        <w:rPr>
          <w:rFonts w:ascii="Times New Roman;Times;serif" w:hAnsi="Times New Roman;Times;serif"/>
          <w:b/>
          <w:sz w:val="18"/>
        </w:rPr>
      </w:pPr>
      <w:r>
        <w:rPr>
          <w:rFonts w:ascii="Times New Roman;Times;serif" w:hAnsi="Times New Roman;Times;serif"/>
          <w:b/>
          <w:sz w:val="18"/>
        </w:rPr>
        <w:t>Commission File Number: 001-39413</w:t>
      </w:r>
    </w:p>
    <w:p>
      <w:pPr>
        <w:pStyle w:val="TextBody"/>
        <w:bidi w:val="0"/>
        <w:spacing w:before="0" w:after="0"/>
        <w:ind w:left="0" w:right="0" w:hanging="0"/>
        <w:jc w:val="center"/>
        <w:rPr>
          <w:rFonts w:ascii="Times New Roman;Times;serif" w:hAnsi="Times New Roman;Times;serif"/>
          <w:b/>
          <w:i w:val="false"/>
          <w:caps w:val="false"/>
          <w:smallCaps w:val="false"/>
          <w:sz w:val="46"/>
        </w:rPr>
      </w:pPr>
      <w:r>
        <w:rPr>
          <w:rFonts w:ascii="Times New Roman;Times;serif" w:hAnsi="Times New Roman;Times;serif"/>
          <w:b/>
          <w:i w:val="false"/>
          <w:caps w:val="false"/>
          <w:smallCaps w:val="false"/>
          <w:sz w:val="46"/>
        </w:rPr>
        <w:t>VERTEX, INC.</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(Exact Name of Registrant as Specified in its Charter)</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1" w:name="Tc_lZkYC4xgUUOQLuAA7WVDig_5_4"/>
      <w:bookmarkStart w:id="12" w:name="Tc__vfumrZi906zzAS5wQ_mMA_5_0"/>
      <w:bookmarkStart w:id="13" w:name="Tc_ygBz95e4w0mulQssiB4ulA_4_4"/>
      <w:bookmarkStart w:id="14" w:name="Tc_qQH8Be5omkKMyi1DnIBkGA_4_0"/>
      <w:bookmarkStart w:id="15" w:name="Tc_5vZOX1dYLkuyK9KfjMA7Yg_2_4"/>
      <w:bookmarkStart w:id="16" w:name="Tc_cURe3r50Jkqa9v0rz4L61Q_2_0"/>
      <w:bookmarkStart w:id="17" w:name="_b80f365e_57d5_4c51_95d7_52d4c2e246ab"/>
      <w:bookmarkStart w:id="18" w:name="Tc_lZkYC4xgUUOQLuAA7WVDig_5_4"/>
      <w:bookmarkStart w:id="19" w:name="Tc__vfumrZi906zzAS5wQ_mMA_5_0"/>
      <w:bookmarkStart w:id="20" w:name="Tc_ygBz95e4w0mulQssiB4ulA_4_4"/>
      <w:bookmarkStart w:id="21" w:name="Tc_qQH8Be5omkKMyi1DnIBkGA_4_0"/>
      <w:bookmarkStart w:id="22" w:name="Tc_5vZOX1dYLkuyK9KfjMA7Yg_2_4"/>
      <w:bookmarkStart w:id="23" w:name="Tc_cURe3r50Jkqa9v0rz4L61Q_2_0"/>
      <w:bookmarkStart w:id="24" w:name="_b80f365e_57d5_4c51_95d7_52d4c2e246ab"/>
      <w:bookmarkEnd w:id="18"/>
      <w:bookmarkEnd w:id="19"/>
      <w:bookmarkEnd w:id="20"/>
      <w:bookmarkEnd w:id="21"/>
      <w:bookmarkEnd w:id="22"/>
      <w:bookmarkEnd w:id="23"/>
      <w:bookmarkEnd w:id="24"/>
    </w:p>
    <w:tbl>
      <w:tblPr>
        <w:tblW w:w="4545" w:type="dxa"/>
        <w:jc w:val="left"/>
        <w:tblInd w:w="0" w:type="dxa"/>
        <w:tblLayout w:type="fixed"/>
        <w:tblCellMar>
          <w:top w:w="0" w:type="dxa"/>
          <w:left w:w="0" w:type="dxa"/>
          <w:bottom w:w="0" w:type="dxa"/>
          <w:right w:w="0" w:type="dxa"/>
        </w:tblCellMar>
      </w:tblPr>
      <w:tblGrid>
        <w:gridCol w:w="2461"/>
        <w:gridCol w:w="346"/>
        <w:gridCol w:w="146"/>
        <w:gridCol w:w="346"/>
        <w:gridCol w:w="1246"/>
      </w:tblGrid>
      <w:tr>
        <w:trPr/>
        <w:tc>
          <w:tcPr>
            <w:tcW w:w="24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left"/>
              <w:rPr/>
            </w:pPr>
            <w:r>
              <w:rPr/>
              <w:t>​</w:t>
            </w:r>
          </w:p>
        </w:tc>
      </w:tr>
      <w:tr>
        <w:trPr/>
        <w:tc>
          <w:tcPr>
            <w:tcW w:w="24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Delaware</w:t>
            </w:r>
          </w:p>
        </w:tc>
        <w:tc>
          <w:tcPr>
            <w:tcW w:w="346" w:type="dxa"/>
            <w:tcBorders/>
            <w:vAlign w:val="center"/>
          </w:tcPr>
          <w:p>
            <w:pPr>
              <w:pStyle w:val="TableContents"/>
              <w:bidi w:val="0"/>
              <w:spacing w:before="0" w:after="0"/>
              <w:ind w:left="0" w:right="0" w:hanging="0"/>
              <w:jc w:val="both"/>
              <w:rPr/>
            </w:pPr>
            <w:r>
              <w:rPr/>
              <w:t>  ​ ​ ​</w:t>
            </w:r>
          </w:p>
        </w:tc>
        <w:tc>
          <w:tcPr>
            <w:tcW w:w="14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both"/>
              <w:rPr/>
            </w:pPr>
            <w:r>
              <w:rPr/>
              <w:t>  ​ ​ ​</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23-2081753</w:t>
            </w:r>
          </w:p>
        </w:tc>
      </w:tr>
      <w:tr>
        <w:trPr/>
        <w:tc>
          <w:tcPr>
            <w:tcW w:w="246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(State or other jurisdiction of</w:t>
            </w:r>
          </w:p>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incorporation or organization)</w:t>
            </w:r>
          </w:p>
        </w:tc>
        <w:tc>
          <w:tcPr>
            <w:tcW w:w="346" w:type="dxa"/>
            <w:tcBorders/>
            <w:vAlign w:val="center"/>
          </w:tcPr>
          <w:p>
            <w:pPr>
              <w:pStyle w:val="TableContents"/>
              <w:bidi w:val="0"/>
              <w:spacing w:before="0" w:after="240"/>
              <w:ind w:left="0" w:right="0" w:hanging="0"/>
              <w:jc w:val="both"/>
              <w:rPr/>
            </w:pPr>
            <w:r>
              <w:rPr/>
              <w:t>​</w:t>
            </w:r>
          </w:p>
        </w:tc>
        <w:tc>
          <w:tcPr>
            <w:tcW w:w="14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240"/>
              <w:ind w:left="0" w:right="0" w:hanging="0"/>
              <w:jc w:val="both"/>
              <w:rPr/>
            </w:pPr>
            <w:r>
              <w:rPr/>
              <w:t>​</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(I.R.S. Employer</w:t>
            </w:r>
          </w:p>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Identification No.)</w:t>
            </w:r>
          </w:p>
        </w:tc>
      </w:tr>
      <w:tr>
        <w:trPr/>
        <w:tc>
          <w:tcPr>
            <w:tcW w:w="246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240"/>
              <w:ind w:left="0" w:right="0" w:hanging="0"/>
              <w:jc w:val="both"/>
              <w:rPr/>
            </w:pPr>
            <w:r>
              <w:rPr/>
              <w:t>​</w:t>
            </w:r>
          </w:p>
        </w:tc>
        <w:tc>
          <w:tcPr>
            <w:tcW w:w="14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240"/>
              <w:ind w:left="0" w:right="0" w:hanging="0"/>
              <w:jc w:val="both"/>
              <w:rPr/>
            </w:pPr>
            <w:r>
              <w:rPr/>
              <w:t>​</w:t>
            </w:r>
          </w:p>
        </w:tc>
        <w:tc>
          <w:tcPr>
            <w:tcW w:w="1246" w:type="dxa"/>
            <w:tcBorders/>
            <w:vAlign w:val="center"/>
          </w:tcPr>
          <w:p>
            <w:pPr>
              <w:pStyle w:val="TableContents"/>
              <w:bidi w:val="0"/>
              <w:spacing w:before="0" w:after="0"/>
              <w:ind w:left="0" w:right="0" w:hanging="0"/>
              <w:jc w:val="center"/>
              <w:rPr/>
            </w:pPr>
            <w:r>
              <w:rPr/>
              <w:t> </w:t>
            </w:r>
          </w:p>
        </w:tc>
      </w:tr>
      <w:tr>
        <w:trPr/>
        <w:tc>
          <w:tcPr>
            <w:tcW w:w="24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2301 Renaissance Blvd</w:t>
            </w:r>
            <w:r>
              <w:rPr>
                <w:rFonts w:ascii="Times New Roman;Times;serif" w:hAnsi="Times New Roman;Times;serif"/>
                <w:sz w:val="18"/>
              </w:rPr>
              <w:br/>
            </w:r>
            <w:r>
              <w:rPr>
                <w:rFonts w:ascii="Times New Roman;Times;serif" w:hAnsi="Times New Roman;Times;serif"/>
                <w:b/>
                <w:sz w:val="18"/>
              </w:rPr>
              <w:t>King of Prussia, Pennsylvania</w:t>
            </w:r>
            <w:r>
              <w:rPr>
                <w:rFonts w:ascii="Times New Roman;Times;serif" w:hAnsi="Times New Roman;Times;serif"/>
                <w:sz w:val="20"/>
              </w:rPr>
              <w:t xml:space="preserve"> </w:t>
            </w:r>
          </w:p>
        </w:tc>
        <w:tc>
          <w:tcPr>
            <w:tcW w:w="346" w:type="dxa"/>
            <w:tcBorders/>
            <w:vAlign w:val="center"/>
          </w:tcPr>
          <w:p>
            <w:pPr>
              <w:pStyle w:val="TableContents"/>
              <w:bidi w:val="0"/>
              <w:spacing w:before="0" w:after="240"/>
              <w:ind w:left="0" w:right="0" w:hanging="0"/>
              <w:jc w:val="both"/>
              <w:rPr/>
            </w:pPr>
            <w:r>
              <w:rPr/>
              <w:t>​</w:t>
            </w:r>
          </w:p>
        </w:tc>
        <w:tc>
          <w:tcPr>
            <w:tcW w:w="14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240"/>
              <w:ind w:left="0" w:right="0" w:hanging="0"/>
              <w:jc w:val="both"/>
              <w:rPr/>
            </w:pPr>
            <w:r>
              <w:rPr/>
              <w:t>​</w:t>
            </w:r>
          </w:p>
        </w:tc>
        <w:tc>
          <w:tcPr>
            <w:tcW w:w="12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19406</w:t>
            </w:r>
            <w:r>
              <w:rPr>
                <w:rFonts w:ascii="Times New Roman;Times;serif" w:hAnsi="Times New Roman;Times;serif"/>
                <w:sz w:val="20"/>
              </w:rPr>
              <w:t> </w:t>
            </w:r>
          </w:p>
        </w:tc>
      </w:tr>
      <w:tr>
        <w:trPr/>
        <w:tc>
          <w:tcPr>
            <w:tcW w:w="246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(Address of principal executive offices)</w:t>
            </w:r>
          </w:p>
        </w:tc>
        <w:tc>
          <w:tcPr>
            <w:tcW w:w="346" w:type="dxa"/>
            <w:tcBorders/>
            <w:vAlign w:val="center"/>
          </w:tcPr>
          <w:p>
            <w:pPr>
              <w:pStyle w:val="TableContents"/>
              <w:bidi w:val="0"/>
              <w:spacing w:before="0" w:after="240"/>
              <w:ind w:left="0" w:right="0" w:hanging="0"/>
              <w:jc w:val="both"/>
              <w:rPr/>
            </w:pPr>
            <w:r>
              <w:rPr/>
              <w:t>​</w:t>
            </w:r>
          </w:p>
        </w:tc>
        <w:tc>
          <w:tcPr>
            <w:tcW w:w="14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240"/>
              <w:ind w:left="0" w:right="0" w:hanging="0"/>
              <w:jc w:val="both"/>
              <w:rPr/>
            </w:pPr>
            <w:r>
              <w:rPr/>
              <w:t>​</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(Zip Code)</w:t>
            </w:r>
          </w:p>
        </w:tc>
      </w:tr>
    </w:tbl>
    <w:p>
      <w:pPr>
        <w:pStyle w:val="TextBody"/>
        <w:bidi w:val="0"/>
        <w:spacing w:before="0" w:after="0"/>
        <w:ind w:left="0" w:right="0" w:hanging="0"/>
        <w:jc w:val="left"/>
        <w:rPr/>
      </w:pPr>
      <w:r>
        <w:rPr/>
        <w:t>​</w:t>
      </w:r>
    </w:p>
    <w:p>
      <w:pPr>
        <w:pStyle w:val="TextBody"/>
        <w:bidi w:val="0"/>
        <w:spacing w:before="0" w:after="80"/>
        <w:ind w:left="0" w:right="0" w:hanging="0"/>
        <w:jc w:val="center"/>
        <w:rPr>
          <w:rFonts w:ascii="Times New Roman;Times;serif" w:hAnsi="Times New Roman;Times;serif"/>
          <w:b/>
          <w:sz w:val="18"/>
        </w:rPr>
      </w:pPr>
      <w:r>
        <w:rPr>
          <w:rFonts w:ascii="Times New Roman;Times;serif" w:hAnsi="Times New Roman;Times;serif"/>
          <w:b/>
          <w:sz w:val="18"/>
        </w:rPr>
        <w:t>Registrant’s telephone number, including area code: (800) 355-3500</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Securities registered pursuant to Section 12(b) of the Act: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25" w:name="Tc_TDgXCeO4LUm6lQ6Pf7tZIA_1_4"/>
      <w:bookmarkStart w:id="26" w:name="Tc_x4IPc6e3CEChVfaqffVoig_1_2"/>
      <w:bookmarkStart w:id="27" w:name="Tc_LrYMcimfV0qLw3n7i9N-hg_1_0"/>
      <w:bookmarkStart w:id="28" w:name="_2de39deb_a515_459a_b1f1_fd289b9c31c6"/>
      <w:bookmarkStart w:id="29" w:name="Tc_TDgXCeO4LUm6lQ6Pf7tZIA_1_4"/>
      <w:bookmarkStart w:id="30" w:name="Tc_x4IPc6e3CEChVfaqffVoig_1_2"/>
      <w:bookmarkStart w:id="31" w:name="Tc_LrYMcimfV0qLw3n7i9N-hg_1_0"/>
      <w:bookmarkStart w:id="32" w:name="_2de39deb_a515_459a_b1f1_fd289b9c31c6"/>
      <w:bookmarkEnd w:id="29"/>
      <w:bookmarkEnd w:id="30"/>
      <w:bookmarkEnd w:id="31"/>
      <w:bookmarkEnd w:id="32"/>
    </w:p>
    <w:tbl>
      <w:tblPr>
        <w:tblW w:w="8615" w:type="dxa"/>
        <w:jc w:val="left"/>
        <w:tblInd w:w="0" w:type="dxa"/>
        <w:tblLayout w:type="fixed"/>
        <w:tblCellMar>
          <w:top w:w="0" w:type="dxa"/>
          <w:left w:w="0" w:type="dxa"/>
          <w:bottom w:w="0" w:type="dxa"/>
          <w:right w:w="0" w:type="dxa"/>
        </w:tblCellMar>
      </w:tblPr>
      <w:tblGrid>
        <w:gridCol w:w="4156"/>
        <w:gridCol w:w="346"/>
        <w:gridCol w:w="1066"/>
        <w:gridCol w:w="346"/>
        <w:gridCol w:w="2701"/>
      </w:tblGrid>
      <w:tr>
        <w:trPr/>
        <w:tc>
          <w:tcPr>
            <w:tcW w:w="4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01" w:type="dxa"/>
            <w:tcBorders/>
            <w:vAlign w:val="center"/>
          </w:tcPr>
          <w:p>
            <w:pPr>
              <w:pStyle w:val="TableContents"/>
              <w:bidi w:val="0"/>
              <w:spacing w:before="0" w:after="0"/>
              <w:ind w:left="0" w:right="0" w:hanging="0"/>
              <w:jc w:val="left"/>
              <w:rPr/>
            </w:pPr>
            <w:r>
              <w:rPr/>
              <w:t>​</w:t>
            </w:r>
          </w:p>
        </w:tc>
      </w:tr>
      <w:tr>
        <w:trPr/>
        <w:tc>
          <w:tcPr>
            <w:tcW w:w="41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Title of each class</w:t>
            </w:r>
          </w:p>
        </w:tc>
        <w:tc>
          <w:tcPr>
            <w:tcW w:w="346" w:type="dxa"/>
            <w:tcBorders/>
            <w:vAlign w:val="center"/>
          </w:tcPr>
          <w:p>
            <w:pPr>
              <w:pStyle w:val="TableContents"/>
              <w:bidi w:val="0"/>
              <w:spacing w:before="0" w:after="0"/>
              <w:ind w:left="0" w:right="0" w:hanging="0"/>
              <w:jc w:val="both"/>
              <w:rPr/>
            </w:pPr>
            <w:r>
              <w:rPr/>
              <w:t>  ​ ​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Trading symbol</w:t>
            </w:r>
          </w:p>
        </w:tc>
        <w:tc>
          <w:tcPr>
            <w:tcW w:w="346" w:type="dxa"/>
            <w:tcBorders/>
            <w:vAlign w:val="center"/>
          </w:tcPr>
          <w:p>
            <w:pPr>
              <w:pStyle w:val="TableContents"/>
              <w:bidi w:val="0"/>
              <w:spacing w:before="0" w:after="0"/>
              <w:ind w:left="0" w:right="0" w:hanging="0"/>
              <w:jc w:val="both"/>
              <w:rPr/>
            </w:pPr>
            <w:r>
              <w:rPr/>
              <w:t>  ​ ​ ​</w:t>
            </w:r>
          </w:p>
        </w:tc>
        <w:tc>
          <w:tcPr>
            <w:tcW w:w="27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Name of each exchange on which registered</w:t>
            </w:r>
          </w:p>
        </w:tc>
      </w:tr>
      <w:tr>
        <w:trPr/>
        <w:tc>
          <w:tcPr>
            <w:tcW w:w="415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Class A Common Stock, Par Value $0.001 Per Share</w:t>
            </w:r>
          </w:p>
        </w:tc>
        <w:tc>
          <w:tcPr>
            <w:tcW w:w="346" w:type="dxa"/>
            <w:tcBorders/>
            <w:vAlign w:val="center"/>
          </w:tcPr>
          <w:p>
            <w:pPr>
              <w:pStyle w:val="TableContents"/>
              <w:bidi w:val="0"/>
              <w:spacing w:before="0" w:after="240"/>
              <w:ind w:left="0" w:right="0" w:hanging="0"/>
              <w:jc w:val="both"/>
              <w:rPr/>
            </w:pPr>
            <w:r>
              <w:rPr/>
              <w:t>​</w:t>
            </w:r>
          </w:p>
        </w:tc>
        <w:tc>
          <w:tcPr>
            <w:tcW w:w="106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VERX</w:t>
            </w:r>
          </w:p>
        </w:tc>
        <w:tc>
          <w:tcPr>
            <w:tcW w:w="346" w:type="dxa"/>
            <w:tcBorders/>
            <w:vAlign w:val="center"/>
          </w:tcPr>
          <w:p>
            <w:pPr>
              <w:pStyle w:val="TableContents"/>
              <w:bidi w:val="0"/>
              <w:spacing w:before="0" w:after="240"/>
              <w:ind w:left="0" w:right="0" w:hanging="0"/>
              <w:jc w:val="both"/>
              <w:rPr/>
            </w:pPr>
            <w:r>
              <w:rPr/>
              <w:t>​</w:t>
            </w:r>
          </w:p>
        </w:tc>
        <w:tc>
          <w:tcPr>
            <w:tcW w:w="270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The Nasdaq Stock Market LLC</w:t>
            </w:r>
          </w:p>
        </w:tc>
      </w:tr>
    </w:tbl>
    <w:p>
      <w:pPr>
        <w:pStyle w:val="TextBody"/>
        <w:bidi w:val="0"/>
        <w:spacing w:before="0" w:after="0"/>
        <w:ind w:left="0" w:right="0" w:hanging="0"/>
        <w:jc w:val="left"/>
        <w:rPr/>
      </w:pPr>
      <w:r>
        <w:rPr/>
        <w:t>​</w:t>
      </w:r>
    </w:p>
    <w:p>
      <w:pPr>
        <w:pStyle w:val="TextBody"/>
        <w:bidi w:val="0"/>
        <w:spacing w:before="0" w:after="80"/>
        <w:ind w:left="0" w:right="0" w:firstLine="523"/>
        <w:jc w:val="both"/>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80"/>
        <w:ind w:left="0" w:right="0" w:firstLine="523"/>
        <w:jc w:val="both"/>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0"/>
        <w:ind w:left="0" w:right="0" w:firstLine="518"/>
        <w:jc w:val="both"/>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33" w:name="Tc_WXTSvHueYUil0-bBFX65Yw_3_3"/>
      <w:bookmarkStart w:id="34" w:name="Tc_QgsreukBO0-Kb_YGpn0PNg_2_3"/>
      <w:bookmarkStart w:id="35" w:name="Tc_gypne-oWNEmN2puy_Fhqow_2_1"/>
      <w:bookmarkStart w:id="36" w:name="Tc__BeKduS6_E6BhqP0Lu4_pA_2_0"/>
      <w:bookmarkStart w:id="37" w:name="Tc_e1ZTk8jkqUm07z9cBL7r_Q_1_4"/>
      <w:bookmarkStart w:id="38" w:name="Tc_3VSvL7l6iE-wV_la2jX3HQ_1_3"/>
      <w:bookmarkStart w:id="39" w:name="Tc_6Y0SUIvu3EyQMULx5RMLvw_1_1"/>
      <w:bookmarkStart w:id="40" w:name="_7a629acc_e15b_4ae7_90f9_3d0e349b3fdd"/>
      <w:bookmarkStart w:id="41" w:name="Tc_WXTSvHueYUil0-bBFX65Yw_3_3"/>
      <w:bookmarkStart w:id="42" w:name="Tc_QgsreukBO0-Kb_YGpn0PNg_2_3"/>
      <w:bookmarkStart w:id="43" w:name="Tc_gypne-oWNEmN2puy_Fhqow_2_1"/>
      <w:bookmarkStart w:id="44" w:name="Tc__BeKduS6_E6BhqP0Lu4_pA_2_0"/>
      <w:bookmarkStart w:id="45" w:name="Tc_e1ZTk8jkqUm07z9cBL7r_Q_1_4"/>
      <w:bookmarkStart w:id="46" w:name="Tc_3VSvL7l6iE-wV_la2jX3HQ_1_3"/>
      <w:bookmarkStart w:id="47" w:name="Tc_6Y0SUIvu3EyQMULx5RMLvw_1_1"/>
      <w:bookmarkStart w:id="48" w:name="_7a629acc_e15b_4ae7_90f9_3d0e349b3fdd"/>
      <w:bookmarkEnd w:id="41"/>
      <w:bookmarkEnd w:id="42"/>
      <w:bookmarkEnd w:id="43"/>
      <w:bookmarkEnd w:id="44"/>
      <w:bookmarkEnd w:id="45"/>
      <w:bookmarkEnd w:id="46"/>
      <w:bookmarkEnd w:id="47"/>
      <w:bookmarkEnd w:id="48"/>
    </w:p>
    <w:tbl>
      <w:tblPr>
        <w:tblW w:w="4790" w:type="dxa"/>
        <w:jc w:val="left"/>
        <w:tblInd w:w="0" w:type="dxa"/>
        <w:tblLayout w:type="fixed"/>
        <w:tblCellMar>
          <w:top w:w="0" w:type="dxa"/>
          <w:left w:w="0" w:type="dxa"/>
          <w:bottom w:w="0" w:type="dxa"/>
          <w:right w:w="0" w:type="dxa"/>
        </w:tblCellMar>
      </w:tblPr>
      <w:tblGrid>
        <w:gridCol w:w="1666"/>
        <w:gridCol w:w="376"/>
        <w:gridCol w:w="346"/>
        <w:gridCol w:w="2041"/>
        <w:gridCol w:w="361"/>
      </w:tblGrid>
      <w:tr>
        <w:trPr/>
        <w:tc>
          <w:tcPr>
            <w:tcW w:w="166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4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pBdr/>
              <w:bidi w:val="0"/>
              <w:spacing w:before="0" w:after="0"/>
              <w:ind w:left="0" w:right="0" w:hanging="0"/>
              <w:jc w:val="both"/>
              <w:rPr>
                <w:rFonts w:ascii="Times New Roman;Times;serif" w:hAnsi="Times New Roman;Times;serif"/>
                <w:sz w:val="18"/>
              </w:rPr>
            </w:pPr>
            <w:r>
              <w:rPr>
                <w:rFonts w:ascii="Times New Roman;Times;serif" w:hAnsi="Times New Roman;Times;serif"/>
                <w:sz w:val="18"/>
              </w:rPr>
              <w:t>Large accelerated filer</w:t>
            </w:r>
          </w:p>
        </w:tc>
        <w:tc>
          <w:tcPr>
            <w:tcW w:w="376" w:type="dxa"/>
            <w:tcBorders/>
            <w:vAlign w:val="center"/>
          </w:tcPr>
          <w:p>
            <w:pPr>
              <w:pStyle w:val="TableContents"/>
              <w:bidi w:val="0"/>
              <w:spacing w:before="0" w:after="0"/>
              <w:ind w:left="0" w:right="0" w:hanging="0"/>
              <w:jc w:val="both"/>
              <w:rPr/>
            </w:pPr>
            <w:r>
              <w:rPr/>
              <w:t>☒ </w:t>
            </w:r>
          </w:p>
        </w:tc>
        <w:tc>
          <w:tcPr>
            <w:tcW w:w="346" w:type="dxa"/>
            <w:tcBorders/>
            <w:vAlign w:val="center"/>
          </w:tcPr>
          <w:p>
            <w:pPr>
              <w:pStyle w:val="TableContents"/>
              <w:bidi w:val="0"/>
              <w:spacing w:before="0" w:after="0"/>
              <w:ind w:left="0" w:right="0" w:hanging="0"/>
              <w:jc w:val="both"/>
              <w:rPr/>
            </w:pPr>
            <w:r>
              <w:rPr/>
              <w:t>  ​ ​ ​</w:t>
            </w:r>
          </w:p>
        </w:tc>
        <w:tc>
          <w:tcPr>
            <w:tcW w:w="2041"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Accelerated filer</w:t>
            </w:r>
          </w:p>
        </w:tc>
        <w:tc>
          <w:tcPr>
            <w:tcW w:w="361" w:type="dxa"/>
            <w:tcBorders/>
            <w:vAlign w:val="center"/>
          </w:tcPr>
          <w:p>
            <w:pPr>
              <w:pStyle w:val="TableContents"/>
              <w:bidi w:val="0"/>
              <w:spacing w:before="0" w:after="0"/>
              <w:ind w:left="0" w:right="0" w:hanging="0"/>
              <w:jc w:val="both"/>
              <w:rPr/>
            </w:pPr>
            <w:r>
              <w:rPr/>
              <w:t>☐</w:t>
            </w:r>
          </w:p>
        </w:tc>
      </w:tr>
      <w:tr>
        <w:trPr/>
        <w:tc>
          <w:tcPr>
            <w:tcW w:w="1666" w:type="dxa"/>
            <w:tcBorders/>
            <w:vAlign w:val="center"/>
          </w:tcPr>
          <w:p>
            <w:pPr>
              <w:pStyle w:val="TableContents"/>
              <w:pBdr/>
              <w:bidi w:val="0"/>
              <w:spacing w:before="0" w:after="0"/>
              <w:ind w:left="0" w:right="0" w:hanging="0"/>
              <w:jc w:val="both"/>
              <w:rPr>
                <w:rFonts w:ascii="Times New Roman;Times;serif" w:hAnsi="Times New Roman;Times;serif"/>
                <w:sz w:val="18"/>
              </w:rPr>
            </w:pPr>
            <w:r>
              <w:rPr>
                <w:rFonts w:ascii="Times New Roman;Times;serif" w:hAnsi="Times New Roman;Times;serif"/>
                <w:sz w:val="18"/>
              </w:rPr>
              <w:t>Non-accelerated filer</w:t>
            </w:r>
          </w:p>
        </w:tc>
        <w:tc>
          <w:tcPr>
            <w:tcW w:w="37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240"/>
              <w:ind w:left="0" w:right="0" w:hanging="0"/>
              <w:jc w:val="both"/>
              <w:rPr/>
            </w:pPr>
            <w:r>
              <w:rPr/>
              <w:t>​</w:t>
            </w:r>
          </w:p>
        </w:tc>
        <w:tc>
          <w:tcPr>
            <w:tcW w:w="2041"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Smaller reporting company</w:t>
            </w:r>
          </w:p>
        </w:tc>
        <w:tc>
          <w:tcPr>
            <w:tcW w:w="361" w:type="dxa"/>
            <w:tcBorders/>
            <w:vAlign w:val="center"/>
          </w:tcPr>
          <w:p>
            <w:pPr>
              <w:pStyle w:val="TableContents"/>
              <w:bidi w:val="0"/>
              <w:spacing w:before="0" w:after="0"/>
              <w:ind w:left="0" w:right="0" w:hanging="0"/>
              <w:jc w:val="both"/>
              <w:rPr/>
            </w:pPr>
            <w:r>
              <w:rPr/>
              <w:t>☐</w:t>
            </w:r>
          </w:p>
        </w:tc>
      </w:tr>
      <w:tr>
        <w:trPr/>
        <w:tc>
          <w:tcPr>
            <w:tcW w:w="1666" w:type="dxa"/>
            <w:tcBorders/>
            <w:vAlign w:val="center"/>
          </w:tcPr>
          <w:p>
            <w:pPr>
              <w:pStyle w:val="TableContents"/>
              <w:bidi w:val="0"/>
              <w:spacing w:before="0" w:after="240"/>
              <w:ind w:left="0" w:right="0" w:hanging="0"/>
              <w:jc w:val="both"/>
              <w:rPr/>
            </w:pPr>
            <w:r>
              <w:rPr/>
              <w:t>​</w:t>
            </w:r>
          </w:p>
        </w:tc>
        <w:tc>
          <w:tcPr>
            <w:tcW w:w="376" w:type="dxa"/>
            <w:tcBorders/>
            <w:vAlign w:val="center"/>
          </w:tcPr>
          <w:p>
            <w:pPr>
              <w:pStyle w:val="TableContents"/>
              <w:bidi w:val="0"/>
              <w:spacing w:before="0" w:after="240"/>
              <w:ind w:left="0" w:right="0" w:hanging="0"/>
              <w:jc w:val="both"/>
              <w:rPr/>
            </w:pPr>
            <w:r>
              <w:rPr/>
              <w:t>​</w:t>
            </w:r>
          </w:p>
        </w:tc>
        <w:tc>
          <w:tcPr>
            <w:tcW w:w="346" w:type="dxa"/>
            <w:tcBorders/>
            <w:vAlign w:val="center"/>
          </w:tcPr>
          <w:p>
            <w:pPr>
              <w:pStyle w:val="TableContents"/>
              <w:bidi w:val="0"/>
              <w:spacing w:before="0" w:after="240"/>
              <w:ind w:left="0" w:right="0" w:hanging="0"/>
              <w:jc w:val="both"/>
              <w:rPr/>
            </w:pPr>
            <w:r>
              <w:rPr/>
              <w:t>​</w:t>
            </w:r>
          </w:p>
        </w:tc>
        <w:tc>
          <w:tcPr>
            <w:tcW w:w="2041"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Emerging growth company</w:t>
            </w:r>
          </w:p>
        </w:tc>
        <w:tc>
          <w:tcPr>
            <w:tcW w:w="361"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left"/>
        <w:rPr/>
      </w:pPr>
      <w:r>
        <w:rPr/>
        <w:t>​</w:t>
      </w:r>
    </w:p>
    <w:p>
      <w:pPr>
        <w:pStyle w:val="TextBody"/>
        <w:bidi w:val="0"/>
        <w:spacing w:before="0" w:after="80"/>
        <w:ind w:left="0" w:right="0" w:firstLine="518"/>
        <w:jc w:val="both"/>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80"/>
        <w:ind w:left="0" w:right="0" w:firstLine="523"/>
        <w:jc w:val="both"/>
        <w:rPr>
          <w:rFonts w:ascii="Times New Roman;Times;serif" w:hAnsi="Times New Roman;Times;serif"/>
          <w:sz w:val="20"/>
        </w:rPr>
      </w:pPr>
      <w:r>
        <w:rPr>
          <w:rFonts w:ascii="Times New Roman;Times;serif" w:hAnsi="Times New Roman;Times;serif"/>
          <w:sz w:val="18"/>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0"/>
        <w:ind w:left="0" w:right="0" w:firstLine="518"/>
        <w:jc w:val="both"/>
        <w:rPr>
          <w:rFonts w:ascii="Times New Roman;Times;serif" w:hAnsi="Times New Roman;Times;serif"/>
          <w:sz w:val="18"/>
        </w:rPr>
      </w:pPr>
      <w:r>
        <w:rPr>
          <w:rFonts w:ascii="Times New Roman;Times;serif" w:hAnsi="Times New Roman;Times;serif"/>
          <w:sz w:val="18"/>
        </w:rPr>
        <w:t>As of  July 31, 2026, the registrant had 80,062,339 shares of Class A common stock, $0.001 par value per share, and 82,155,641 shares of Class B common stock, $0.001 par value per share, outstanding.</w:t>
      </w:r>
    </w:p>
    <w:p>
      <w:pPr>
        <w:pStyle w:val="TextBody"/>
        <w:bidi w:val="0"/>
        <w:spacing w:before="0" w:after="240"/>
        <w:ind w:left="0" w:right="0" w:firstLine="518"/>
        <w:jc w:val="both"/>
        <w:rPr/>
      </w:pPr>
      <w:r>
        <w:rPr/>
        <w:t>​</w:t>
      </w:r>
    </w:p>
    <w:p>
      <w:pPr>
        <w:pStyle w:val="TextBody"/>
        <w:pBdr>
          <w:top w:val="single" w:sz="2" w:space="1" w:color="000000"/>
          <w:bottom w:val="single" w:sz="24" w:space="1" w:color="000000"/>
        </w:pBdr>
        <w:bidi w:val="0"/>
        <w:spacing w:before="0" w:after="240"/>
        <w:ind w:left="0" w:right="0" w:firstLine="523"/>
        <w:jc w:val="both"/>
        <w:rPr/>
      </w:pPr>
      <w:r>
        <w:rPr/>
        <w:t>​</w:t>
      </w:r>
    </w:p>
    <w:p>
      <w:pPr>
        <w:pStyle w:val="TextBody"/>
        <w:bidi w:val="0"/>
        <w:spacing w:before="0" w:after="240"/>
        <w:ind w:left="0" w:right="0" w:firstLine="523"/>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bookmarkStart w:id="49" w:name="TOC"/>
      <w:bookmarkStart w:id="50" w:name="_bf406603_b27b_4a09_b1c7_e5d7a561e922"/>
      <w:bookmarkEnd w:id="49"/>
      <w:bookmarkEnd w:id="50"/>
      <w:r>
        <w:rPr>
          <w:rFonts w:ascii="Times New Roman;Times;serif" w:hAnsi="Times New Roman;Times;serif"/>
          <w:b/>
          <w:sz w:val="20"/>
        </w:rPr>
        <w:t>TABLE OF CONTENTS</w:t>
      </w:r>
      <w:r>
        <w:rPr>
          <w:rFonts w:ascii="Times New Roman;Times;serif" w:hAnsi="Times New Roman;Times;serif"/>
          <w:sz w:val="20"/>
        </w:rPr>
        <w:t xml:space="preserve">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15"/>
        <w:gridCol w:w="8918"/>
        <w:gridCol w:w="572"/>
      </w:tblGrid>
      <w:tr>
        <w:trPr/>
        <w:tc>
          <w:tcPr>
            <w:tcW w:w="715" w:type="dxa"/>
            <w:tcBorders/>
            <w:vAlign w:val="center"/>
          </w:tcPr>
          <w:p>
            <w:pPr>
              <w:pStyle w:val="TableContents"/>
              <w:bidi w:val="0"/>
              <w:spacing w:before="0" w:after="0"/>
              <w:ind w:left="0" w:right="0" w:hanging="0"/>
              <w:jc w:val="left"/>
              <w:rPr/>
            </w:pPr>
            <w:r>
              <w:rPr/>
              <w:t>​</w:t>
            </w:r>
          </w:p>
        </w:tc>
        <w:tc>
          <w:tcPr>
            <w:tcW w:w="8918" w:type="dxa"/>
            <w:tcBorders/>
            <w:vAlign w:val="center"/>
          </w:tcPr>
          <w:p>
            <w:pPr>
              <w:pStyle w:val="TableContents"/>
              <w:bidi w:val="0"/>
              <w:spacing w:before="0" w:after="0"/>
              <w:ind w:left="0" w:right="0" w:hanging="0"/>
              <w:jc w:val="left"/>
              <w:rPr/>
            </w:pPr>
            <w:r>
              <w:rPr/>
              <w:t> </w:t>
            </w:r>
          </w:p>
        </w:tc>
        <w:tc>
          <w:tcPr>
            <w:tcW w:w="572"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715" w:type="dxa"/>
            <w:tcBorders/>
            <w:vAlign w:val="center"/>
          </w:tcPr>
          <w:p>
            <w:pPr>
              <w:pStyle w:val="TableContents"/>
              <w:bidi w:val="0"/>
              <w:spacing w:before="0" w:after="0"/>
              <w:ind w:left="0" w:right="0" w:hanging="0"/>
              <w:jc w:val="left"/>
              <w:rPr/>
            </w:pPr>
            <w:r>
              <w:rPr/>
              <w:t>​</w:t>
            </w:r>
          </w:p>
        </w:tc>
        <w:tc>
          <w:tcPr>
            <w:tcW w:w="8918" w:type="dxa"/>
            <w:tcBorders/>
            <w:vAlign w:val="center"/>
          </w:tcPr>
          <w:p>
            <w:pPr>
              <w:pStyle w:val="TableContents"/>
              <w:bidi w:val="0"/>
              <w:spacing w:before="0" w:after="0"/>
              <w:ind w:left="0" w:right="0" w:hanging="0"/>
              <w:jc w:val="center"/>
              <w:rPr/>
            </w:pPr>
            <w:hyperlink w:anchor="PARTIFINANCIALINFORMATION_19634">
              <w:r>
                <w:rPr>
                  <w:rStyle w:val="InternetLink"/>
                  <w:rFonts w:ascii="Times New Roman;Times;serif" w:hAnsi="Times New Roman;Times;serif"/>
                  <w:b w:val="false"/>
                  <w:i w:val="false"/>
                  <w:caps w:val="false"/>
                  <w:smallCaps w:val="false"/>
                  <w:sz w:val="20"/>
                </w:rPr>
                <w:t>Part I - Financial Information </w:t>
              </w:r>
            </w:hyperlink>
          </w:p>
        </w:tc>
        <w:tc>
          <w:tcPr>
            <w:tcW w:w="572" w:type="dxa"/>
            <w:tcBorders>
              <w:top w:val="single" w:sz="8" w:space="0" w:color="000000"/>
            </w:tcBorders>
            <w:tcMar>
              <w:top w:w="28" w:type="dxa"/>
            </w:tcMar>
            <w:vAlign w:val="center"/>
          </w:tcPr>
          <w:p>
            <w:pPr>
              <w:pStyle w:val="TableContents"/>
              <w:bidi w:val="0"/>
              <w:spacing w:before="0" w:after="0"/>
              <w:ind w:left="0" w:right="0" w:hanging="0"/>
              <w:jc w:val="right"/>
              <w:rPr/>
            </w:pPr>
            <w:r>
              <w:rPr/>
              <w:t>​</w:t>
            </w:r>
          </w:p>
        </w:tc>
      </w:tr>
      <w:tr>
        <w:trPr/>
        <w:tc>
          <w:tcPr>
            <w:tcW w:w="715" w:type="dxa"/>
            <w:tcBorders/>
            <w:vAlign w:val="center"/>
          </w:tcPr>
          <w:p>
            <w:pPr>
              <w:pStyle w:val="TableContents"/>
              <w:bidi w:val="0"/>
              <w:spacing w:before="0" w:after="0"/>
              <w:ind w:left="0" w:right="0" w:hanging="0"/>
              <w:jc w:val="both"/>
              <w:rPr/>
            </w:pPr>
            <w:hyperlink w:anchor="Item1FINANCIALSTATEMENTS_787624">
              <w:r>
                <w:rPr>
                  <w:rStyle w:val="InternetLink"/>
                  <w:rFonts w:ascii="Times New Roman;Times;serif" w:hAnsi="Times New Roman;Times;serif"/>
                  <w:b w:val="false"/>
                  <w:i w:val="false"/>
                  <w:caps w:val="false"/>
                  <w:smallCaps w:val="false"/>
                  <w:sz w:val="20"/>
                </w:rPr>
                <w:t>Item 1.</w:t>
              </w:r>
            </w:hyperlink>
          </w:p>
        </w:tc>
        <w:tc>
          <w:tcPr>
            <w:tcW w:w="8918" w:type="dxa"/>
            <w:tcBorders/>
            <w:vAlign w:val="center"/>
          </w:tcPr>
          <w:p>
            <w:pPr>
              <w:pStyle w:val="TableContents"/>
              <w:bidi w:val="0"/>
              <w:spacing w:before="0" w:after="0"/>
              <w:ind w:left="0" w:right="0" w:hanging="0"/>
              <w:jc w:val="both"/>
              <w:rPr/>
            </w:pPr>
            <w:hyperlink w:anchor="Item1FINANCIALSTATEMENTS_787624">
              <w:r>
                <w:rPr>
                  <w:rStyle w:val="InternetLink"/>
                  <w:rFonts w:ascii="Times New Roman;Times;serif" w:hAnsi="Times New Roman;Times;serif"/>
                  <w:b w:val="false"/>
                  <w:i w:val="false"/>
                  <w:caps w:val="false"/>
                  <w:smallCaps w:val="false"/>
                  <w:sz w:val="20"/>
                </w:rPr>
                <w:t>Financial Statements</w:t>
              </w:r>
            </w:hyperlink>
          </w:p>
        </w:tc>
        <w:tc>
          <w:tcPr>
            <w:tcW w:w="572" w:type="dxa"/>
            <w:tcBorders/>
            <w:vAlign w:val="center"/>
          </w:tcPr>
          <w:p>
            <w:pPr>
              <w:pStyle w:val="TableContents"/>
              <w:bidi w:val="0"/>
              <w:spacing w:before="0" w:after="0"/>
              <w:ind w:left="0" w:right="0" w:hanging="0"/>
              <w:jc w:val="right"/>
              <w:rPr/>
            </w:pPr>
            <w:r>
              <w:rPr/>
              <w:t>​</w:t>
            </w:r>
          </w:p>
        </w:tc>
      </w:tr>
      <w:tr>
        <w:trPr/>
        <w:tc>
          <w:tcPr>
            <w:tcW w:w="715" w:type="dxa"/>
            <w:tcBorders/>
            <w:vAlign w:val="center"/>
          </w:tcPr>
          <w:p>
            <w:pPr>
              <w:pStyle w:val="TableContents"/>
              <w:bidi w:val="0"/>
              <w:spacing w:before="0" w:after="0"/>
              <w:ind w:left="0" w:right="0" w:hanging="0"/>
              <w:jc w:val="left"/>
              <w:rPr/>
            </w:pPr>
            <w:r>
              <w:rPr/>
              <w:t>​</w:t>
            </w:r>
          </w:p>
        </w:tc>
        <w:tc>
          <w:tcPr>
            <w:tcW w:w="8918" w:type="dxa"/>
            <w:tcBorders/>
            <w:vAlign w:val="center"/>
          </w:tcPr>
          <w:p>
            <w:pPr>
              <w:pStyle w:val="TableContents"/>
              <w:bidi w:val="0"/>
              <w:spacing w:before="0" w:after="0"/>
              <w:ind w:left="0" w:right="0" w:hanging="0"/>
              <w:jc w:val="both"/>
              <w:rPr/>
            </w:pPr>
            <w:hyperlink w:anchor="CondensedConsolidatedBalanceSheets_41728">
              <w:r>
                <w:rPr>
                  <w:rStyle w:val="InternetLink"/>
                  <w:rFonts w:ascii="Times New Roman;Times;serif" w:hAnsi="Times New Roman;Times;serif"/>
                  <w:b w:val="false"/>
                  <w:i w:val="false"/>
                  <w:caps w:val="false"/>
                  <w:smallCaps w:val="false"/>
                  <w:sz w:val="20"/>
                </w:rPr>
                <w:t xml:space="preserve">Condensed Consolidated Balance Sheets as of June 30, 2026 (unaudited) and December 31, 2025 </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715" w:type="dxa"/>
            <w:tcBorders/>
            <w:vAlign w:val="center"/>
          </w:tcPr>
          <w:p>
            <w:pPr>
              <w:pStyle w:val="TableContents"/>
              <w:bidi w:val="0"/>
              <w:spacing w:before="0" w:after="0"/>
              <w:ind w:left="0" w:right="0" w:hanging="0"/>
              <w:jc w:val="left"/>
              <w:rPr/>
            </w:pPr>
            <w:r>
              <w:rPr/>
              <w:t>​</w:t>
            </w:r>
          </w:p>
        </w:tc>
        <w:tc>
          <w:tcPr>
            <w:tcW w:w="8918" w:type="dxa"/>
            <w:tcBorders/>
            <w:vAlign w:val="center"/>
          </w:tcPr>
          <w:p>
            <w:pPr>
              <w:pStyle w:val="TableContents"/>
              <w:bidi w:val="0"/>
              <w:spacing w:before="0" w:after="0"/>
              <w:ind w:left="0" w:right="0" w:hanging="0"/>
              <w:jc w:val="both"/>
              <w:rPr/>
            </w:pPr>
            <w:hyperlink w:anchor="CondensedConsolidatedStatementsofCompre">
              <w:r>
                <w:rPr>
                  <w:rStyle w:val="InternetLink"/>
                  <w:rFonts w:ascii="Times New Roman;Times;serif" w:hAnsi="Times New Roman;Times;serif"/>
                  <w:b w:val="false"/>
                  <w:i w:val="false"/>
                  <w:caps w:val="false"/>
                  <w:smallCaps w:val="false"/>
                  <w:sz w:val="20"/>
                </w:rPr>
                <w:t>Condensed Consolidated Statements of Comprehensive Income (Loss) for the Three and Six Months Ended June 30, 2026 and 2025 (unaudited)</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715" w:type="dxa"/>
            <w:tcBorders/>
            <w:vAlign w:val="center"/>
          </w:tcPr>
          <w:p>
            <w:pPr>
              <w:pStyle w:val="TableContents"/>
              <w:bidi w:val="0"/>
              <w:spacing w:before="0" w:after="0"/>
              <w:ind w:left="0" w:right="0" w:hanging="0"/>
              <w:jc w:val="left"/>
              <w:rPr/>
            </w:pPr>
            <w:r>
              <w:rPr/>
              <w:t>​</w:t>
            </w:r>
          </w:p>
        </w:tc>
        <w:tc>
          <w:tcPr>
            <w:tcW w:w="8918" w:type="dxa"/>
            <w:tcBorders/>
            <w:vAlign w:val="center"/>
          </w:tcPr>
          <w:p>
            <w:pPr>
              <w:pStyle w:val="TableContents"/>
              <w:bidi w:val="0"/>
              <w:spacing w:before="0" w:after="0"/>
              <w:ind w:left="0" w:right="0" w:hanging="0"/>
              <w:jc w:val="both"/>
              <w:rPr/>
            </w:pPr>
            <w:hyperlink w:anchor="CondensedConsolidatedStatementsofChanges">
              <w:r>
                <w:rPr>
                  <w:rStyle w:val="InternetLink"/>
                  <w:rFonts w:ascii="Times New Roman;Times;serif" w:hAnsi="Times New Roman;Times;serif"/>
                  <w:b w:val="false"/>
                  <w:i w:val="false"/>
                  <w:caps w:val="false"/>
                  <w:smallCaps w:val="false"/>
                  <w:sz w:val="20"/>
                </w:rPr>
                <w:t>Condensed Consolidated Statements of Changes in Stockholders’ Equity for the Three and Six Months Ended June 30, 2026 and 2025 (unaudited)</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715" w:type="dxa"/>
            <w:tcBorders/>
            <w:vAlign w:val="center"/>
          </w:tcPr>
          <w:p>
            <w:pPr>
              <w:pStyle w:val="TableContents"/>
              <w:bidi w:val="0"/>
              <w:spacing w:before="0" w:after="0"/>
              <w:ind w:left="0" w:right="0" w:hanging="0"/>
              <w:jc w:val="left"/>
              <w:rPr/>
            </w:pPr>
            <w:r>
              <w:rPr/>
              <w:t>​</w:t>
            </w:r>
          </w:p>
        </w:tc>
        <w:tc>
          <w:tcPr>
            <w:tcW w:w="8918" w:type="dxa"/>
            <w:tcBorders/>
            <w:vAlign w:val="center"/>
          </w:tcPr>
          <w:p>
            <w:pPr>
              <w:pStyle w:val="TableContents"/>
              <w:bidi w:val="0"/>
              <w:spacing w:before="0" w:after="0"/>
              <w:ind w:left="0" w:right="0" w:hanging="0"/>
              <w:jc w:val="both"/>
              <w:rPr/>
            </w:pPr>
            <w:hyperlink w:anchor="CashFlows">
              <w:r>
                <w:rPr>
                  <w:rStyle w:val="InternetLink"/>
                  <w:rFonts w:ascii="Times New Roman;Times;serif" w:hAnsi="Times New Roman;Times;serif"/>
                  <w:b w:val="false"/>
                  <w:i w:val="false"/>
                  <w:caps w:val="false"/>
                  <w:smallCaps w:val="false"/>
                  <w:sz w:val="20"/>
                </w:rPr>
                <w:t>Condensed Consolidated Statements of Cash Flows for the Six Months Ended June 30, 2026 and 2025 (unaudited)</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715" w:type="dxa"/>
            <w:tcBorders/>
            <w:vAlign w:val="center"/>
          </w:tcPr>
          <w:p>
            <w:pPr>
              <w:pStyle w:val="TableContents"/>
              <w:bidi w:val="0"/>
              <w:spacing w:before="0" w:after="0"/>
              <w:ind w:left="0" w:right="0" w:hanging="0"/>
              <w:jc w:val="left"/>
              <w:rPr/>
            </w:pPr>
            <w:r>
              <w:rPr/>
              <w:t>​</w:t>
            </w:r>
          </w:p>
        </w:tc>
        <w:tc>
          <w:tcPr>
            <w:tcW w:w="8918" w:type="dxa"/>
            <w:tcBorders/>
            <w:vAlign w:val="center"/>
          </w:tcPr>
          <w:p>
            <w:pPr>
              <w:pStyle w:val="TableContents"/>
              <w:bidi w:val="0"/>
              <w:spacing w:before="0" w:after="0"/>
              <w:ind w:left="0" w:right="0" w:hanging="0"/>
              <w:jc w:val="both"/>
              <w:rPr/>
            </w:pPr>
            <w:hyperlink w:anchor="a1SUMMARYOFSIGNIFICANTACCOUNTINGPOLICIES">
              <w:r>
                <w:rPr>
                  <w:rStyle w:val="InternetLink"/>
                  <w:rFonts w:ascii="Times New Roman;Times;serif" w:hAnsi="Times New Roman;Times;serif"/>
                  <w:b w:val="false"/>
                  <w:i w:val="false"/>
                  <w:caps w:val="false"/>
                  <w:smallCaps w:val="false"/>
                  <w:sz w:val="20"/>
                </w:rPr>
                <w:t>Notes to Condensed Consolidated Financial Statements (unaudited)</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715" w:type="dxa"/>
            <w:tcBorders/>
            <w:vAlign w:val="center"/>
          </w:tcPr>
          <w:p>
            <w:pPr>
              <w:pStyle w:val="TableContents"/>
              <w:bidi w:val="0"/>
              <w:spacing w:before="0" w:after="0"/>
              <w:ind w:left="0" w:right="0" w:hanging="0"/>
              <w:jc w:val="both"/>
              <w:rPr/>
            </w:pPr>
            <w:hyperlink w:anchor="Item2MANAGEMENTSDISCUSSIONANDANALYSIS_19">
              <w:r>
                <w:rPr>
                  <w:rStyle w:val="InternetLink"/>
                  <w:rFonts w:ascii="Times New Roman;Times;serif" w:hAnsi="Times New Roman;Times;serif"/>
                  <w:b w:val="false"/>
                  <w:i w:val="false"/>
                  <w:caps w:val="false"/>
                  <w:smallCaps w:val="false"/>
                  <w:sz w:val="20"/>
                </w:rPr>
                <w:t>Item 2.</w:t>
              </w:r>
            </w:hyperlink>
          </w:p>
        </w:tc>
        <w:tc>
          <w:tcPr>
            <w:tcW w:w="8918" w:type="dxa"/>
            <w:tcBorders/>
            <w:vAlign w:val="center"/>
          </w:tcPr>
          <w:p>
            <w:pPr>
              <w:pStyle w:val="TableContents"/>
              <w:bidi w:val="0"/>
              <w:spacing w:before="0" w:after="0"/>
              <w:ind w:left="0" w:right="0" w:hanging="0"/>
              <w:jc w:val="both"/>
              <w:rPr/>
            </w:pPr>
            <w:hyperlink w:anchor="Item2MANAGEMENTSDISCUSSIONANDANALYSIS_19">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715" w:type="dxa"/>
            <w:tcBorders/>
            <w:vAlign w:val="center"/>
          </w:tcPr>
          <w:p>
            <w:pPr>
              <w:pStyle w:val="TableContents"/>
              <w:bidi w:val="0"/>
              <w:spacing w:before="0" w:after="0"/>
              <w:ind w:left="0" w:right="0" w:hanging="0"/>
              <w:jc w:val="both"/>
              <w:rPr/>
            </w:pPr>
            <w:hyperlink w:anchor="Item3QUANTITATIVEANDQUALITATIVE_86752">
              <w:r>
                <w:rPr>
                  <w:rStyle w:val="InternetLink"/>
                  <w:rFonts w:ascii="Times New Roman;Times;serif" w:hAnsi="Times New Roman;Times;serif"/>
                  <w:b w:val="false"/>
                  <w:i w:val="false"/>
                  <w:caps w:val="false"/>
                  <w:smallCaps w:val="false"/>
                  <w:sz w:val="20"/>
                </w:rPr>
                <w:t>Item 3.</w:t>
              </w:r>
            </w:hyperlink>
          </w:p>
        </w:tc>
        <w:tc>
          <w:tcPr>
            <w:tcW w:w="8918" w:type="dxa"/>
            <w:tcBorders/>
            <w:vAlign w:val="center"/>
          </w:tcPr>
          <w:p>
            <w:pPr>
              <w:pStyle w:val="TableContents"/>
              <w:bidi w:val="0"/>
              <w:spacing w:before="0" w:after="0"/>
              <w:ind w:left="0" w:right="0" w:hanging="0"/>
              <w:jc w:val="both"/>
              <w:rPr/>
            </w:pPr>
            <w:hyperlink w:anchor="Item3QUANTITATIVEANDQUALITATIVE_86752">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r>
      <w:tr>
        <w:trPr/>
        <w:tc>
          <w:tcPr>
            <w:tcW w:w="715" w:type="dxa"/>
            <w:tcBorders/>
            <w:vAlign w:val="center"/>
          </w:tcPr>
          <w:p>
            <w:pPr>
              <w:pStyle w:val="TableContents"/>
              <w:bidi w:val="0"/>
              <w:spacing w:before="0" w:after="0"/>
              <w:ind w:left="0" w:right="0" w:hanging="0"/>
              <w:jc w:val="both"/>
              <w:rPr/>
            </w:pPr>
            <w:hyperlink w:anchor="Item4CONTROLSANDPROCEDURES_722053">
              <w:r>
                <w:rPr>
                  <w:rStyle w:val="InternetLink"/>
                  <w:rFonts w:ascii="Times New Roman;Times;serif" w:hAnsi="Times New Roman;Times;serif"/>
                  <w:b w:val="false"/>
                  <w:i w:val="false"/>
                  <w:caps w:val="false"/>
                  <w:smallCaps w:val="false"/>
                  <w:sz w:val="20"/>
                </w:rPr>
                <w:t>Item 4.</w:t>
              </w:r>
            </w:hyperlink>
          </w:p>
        </w:tc>
        <w:tc>
          <w:tcPr>
            <w:tcW w:w="8918" w:type="dxa"/>
            <w:tcBorders/>
            <w:vAlign w:val="center"/>
          </w:tcPr>
          <w:p>
            <w:pPr>
              <w:pStyle w:val="TableContents"/>
              <w:bidi w:val="0"/>
              <w:spacing w:before="0" w:after="0"/>
              <w:ind w:left="0" w:right="0" w:hanging="0"/>
              <w:jc w:val="both"/>
              <w:rPr/>
            </w:pPr>
            <w:hyperlink w:anchor="Item4CONTROLSANDPROCEDURES_722053">
              <w:r>
                <w:rPr>
                  <w:rStyle w:val="InternetLink"/>
                  <w:rFonts w:ascii="Times New Roman;Times;serif" w:hAnsi="Times New Roman;Times;serif"/>
                  <w:b w:val="false"/>
                  <w:i w:val="false"/>
                  <w:caps w:val="false"/>
                  <w:smallCaps w:val="false"/>
                  <w:sz w:val="20"/>
                </w:rPr>
                <w:t>Controls and Procedures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715" w:type="dxa"/>
            <w:tcBorders/>
            <w:vAlign w:val="center"/>
          </w:tcPr>
          <w:p>
            <w:pPr>
              <w:pStyle w:val="TableContents"/>
              <w:bidi w:val="0"/>
              <w:spacing w:before="0" w:after="283"/>
              <w:ind w:left="0" w:right="0" w:hanging="0"/>
              <w:jc w:val="left"/>
              <w:rPr>
                <w:sz w:val="4"/>
                <w:szCs w:val="4"/>
              </w:rPr>
            </w:pPr>
            <w:r>
              <w:rPr>
                <w:sz w:val="4"/>
                <w:szCs w:val="4"/>
              </w:rPr>
            </w:r>
          </w:p>
        </w:tc>
        <w:tc>
          <w:tcPr>
            <w:tcW w:w="8918" w:type="dxa"/>
            <w:tcBorders/>
            <w:vAlign w:val="center"/>
          </w:tcPr>
          <w:p>
            <w:pPr>
              <w:pStyle w:val="TableContents"/>
              <w:bidi w:val="0"/>
              <w:spacing w:before="0" w:after="0"/>
              <w:ind w:left="0" w:right="0" w:hanging="0"/>
              <w:jc w:val="center"/>
              <w:rPr/>
            </w:pPr>
            <w:hyperlink w:anchor="PARTIIOTHERINFORMATION_466846">
              <w:r>
                <w:rPr>
                  <w:rStyle w:val="InternetLink"/>
                  <w:rFonts w:ascii="Times New Roman;Times;serif" w:hAnsi="Times New Roman;Times;serif"/>
                  <w:b w:val="false"/>
                  <w:i w:val="false"/>
                  <w:caps w:val="false"/>
                  <w:smallCaps w:val="false"/>
                  <w:sz w:val="20"/>
                </w:rPr>
                <w:t>Part II - Other Information</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r>
      <w:tr>
        <w:trPr/>
        <w:tc>
          <w:tcPr>
            <w:tcW w:w="715" w:type="dxa"/>
            <w:tcBorders/>
            <w:vAlign w:val="center"/>
          </w:tcPr>
          <w:p>
            <w:pPr>
              <w:pStyle w:val="TableContents"/>
              <w:bidi w:val="0"/>
              <w:spacing w:before="0" w:after="0"/>
              <w:ind w:left="0" w:right="0" w:hanging="0"/>
              <w:jc w:val="both"/>
              <w:rPr/>
            </w:pPr>
            <w:hyperlink w:anchor="ITEM1LEGALPROCEEDINGS_169419">
              <w:r>
                <w:rPr>
                  <w:rStyle w:val="InternetLink"/>
                  <w:rFonts w:ascii="Times New Roman;Times;serif" w:hAnsi="Times New Roman;Times;serif"/>
                  <w:b w:val="false"/>
                  <w:i w:val="false"/>
                  <w:caps w:val="false"/>
                  <w:smallCaps w:val="false"/>
                  <w:sz w:val="20"/>
                </w:rPr>
                <w:t>Item 1.</w:t>
              </w:r>
            </w:hyperlink>
          </w:p>
        </w:tc>
        <w:tc>
          <w:tcPr>
            <w:tcW w:w="8918" w:type="dxa"/>
            <w:tcBorders/>
            <w:vAlign w:val="center"/>
          </w:tcPr>
          <w:p>
            <w:pPr>
              <w:pStyle w:val="TableContents"/>
              <w:bidi w:val="0"/>
              <w:spacing w:before="0" w:after="0"/>
              <w:ind w:left="0" w:right="0" w:hanging="0"/>
              <w:jc w:val="both"/>
              <w:rPr/>
            </w:pPr>
            <w:hyperlink w:anchor="ITEM1LEGALPROCEEDINGS_169419">
              <w:r>
                <w:rPr>
                  <w:rStyle w:val="InternetLink"/>
                  <w:rFonts w:ascii="Times New Roman;Times;serif" w:hAnsi="Times New Roman;Times;serif"/>
                  <w:b w:val="false"/>
                  <w:i w:val="false"/>
                  <w:caps w:val="false"/>
                  <w:smallCaps w:val="false"/>
                  <w:sz w:val="20"/>
                </w:rPr>
                <w:t>Legal Proceedings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r>
      <w:tr>
        <w:trPr/>
        <w:tc>
          <w:tcPr>
            <w:tcW w:w="715" w:type="dxa"/>
            <w:tcBorders/>
            <w:vAlign w:val="center"/>
          </w:tcPr>
          <w:p>
            <w:pPr>
              <w:pStyle w:val="TableContents"/>
              <w:bidi w:val="0"/>
              <w:spacing w:before="0" w:after="0"/>
              <w:ind w:left="0" w:right="0" w:hanging="0"/>
              <w:jc w:val="both"/>
              <w:rPr/>
            </w:pPr>
            <w:hyperlink w:anchor="ITEM1ARISKFACTORS_159906">
              <w:r>
                <w:rPr>
                  <w:rStyle w:val="InternetLink"/>
                  <w:rFonts w:ascii="Times New Roman;Times;serif" w:hAnsi="Times New Roman;Times;serif"/>
                  <w:b w:val="false"/>
                  <w:i w:val="false"/>
                  <w:caps w:val="false"/>
                  <w:smallCaps w:val="false"/>
                  <w:sz w:val="20"/>
                </w:rPr>
                <w:t>Item 1A.</w:t>
              </w:r>
            </w:hyperlink>
          </w:p>
        </w:tc>
        <w:tc>
          <w:tcPr>
            <w:tcW w:w="8918" w:type="dxa"/>
            <w:tcBorders/>
            <w:vAlign w:val="center"/>
          </w:tcPr>
          <w:p>
            <w:pPr>
              <w:pStyle w:val="TableContents"/>
              <w:bidi w:val="0"/>
              <w:spacing w:before="0" w:after="0"/>
              <w:ind w:left="0" w:right="0" w:hanging="0"/>
              <w:jc w:val="both"/>
              <w:rPr/>
            </w:pPr>
            <w:hyperlink w:anchor="ITEM1ARISKFACTORS_159906">
              <w:r>
                <w:rPr>
                  <w:rStyle w:val="InternetLink"/>
                  <w:rFonts w:ascii="Times New Roman;Times;serif" w:hAnsi="Times New Roman;Times;serif"/>
                  <w:b w:val="false"/>
                  <w:i w:val="false"/>
                  <w:caps w:val="false"/>
                  <w:smallCaps w:val="false"/>
                  <w:sz w:val="20"/>
                </w:rPr>
                <w:t>Risk Factors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r>
      <w:tr>
        <w:trPr/>
        <w:tc>
          <w:tcPr>
            <w:tcW w:w="715" w:type="dxa"/>
            <w:tcBorders/>
            <w:vAlign w:val="center"/>
          </w:tcPr>
          <w:p>
            <w:pPr>
              <w:pStyle w:val="TableContents"/>
              <w:bidi w:val="0"/>
              <w:spacing w:before="0" w:after="0"/>
              <w:ind w:left="0" w:right="0" w:hanging="0"/>
              <w:jc w:val="both"/>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8918" w:type="dxa"/>
            <w:tcBorders/>
            <w:vAlign w:val="center"/>
          </w:tcPr>
          <w:p>
            <w:pPr>
              <w:pStyle w:val="TableContents"/>
              <w:bidi w:val="0"/>
              <w:spacing w:before="0" w:after="0"/>
              <w:ind w:left="0" w:right="0" w:hanging="0"/>
              <w:jc w:val="both"/>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r>
      <w:tr>
        <w:trPr/>
        <w:tc>
          <w:tcPr>
            <w:tcW w:w="715" w:type="dxa"/>
            <w:tcBorders/>
            <w:vAlign w:val="center"/>
          </w:tcPr>
          <w:p>
            <w:pPr>
              <w:pStyle w:val="TableContents"/>
              <w:bidi w:val="0"/>
              <w:spacing w:before="0" w:after="0"/>
              <w:ind w:left="0" w:right="0" w:hanging="0"/>
              <w:jc w:val="both"/>
              <w:rPr/>
            </w:pPr>
            <w:hyperlink w:anchor="ITEM3DEFAULTSUPONSENIORSECURITIES_573487">
              <w:r>
                <w:rPr>
                  <w:rStyle w:val="InternetLink"/>
                  <w:rFonts w:ascii="Times New Roman;Times;serif" w:hAnsi="Times New Roman;Times;serif"/>
                  <w:b w:val="false"/>
                  <w:i w:val="false"/>
                  <w:caps w:val="false"/>
                  <w:smallCaps w:val="false"/>
                  <w:sz w:val="20"/>
                </w:rPr>
                <w:t>Item 3.</w:t>
              </w:r>
            </w:hyperlink>
          </w:p>
        </w:tc>
        <w:tc>
          <w:tcPr>
            <w:tcW w:w="8918" w:type="dxa"/>
            <w:tcBorders/>
            <w:vAlign w:val="center"/>
          </w:tcPr>
          <w:p>
            <w:pPr>
              <w:pStyle w:val="TableContents"/>
              <w:bidi w:val="0"/>
              <w:spacing w:before="0" w:after="0"/>
              <w:ind w:left="0" w:right="0" w:hanging="0"/>
              <w:jc w:val="both"/>
              <w:rPr/>
            </w:pPr>
            <w:hyperlink w:anchor="ITEM3DEFAULTSUPONSENIORSECURITIES_573487">
              <w:r>
                <w:rPr>
                  <w:rStyle w:val="InternetLink"/>
                  <w:rFonts w:ascii="Times New Roman;Times;serif" w:hAnsi="Times New Roman;Times;serif"/>
                  <w:b w:val="false"/>
                  <w:i w:val="false"/>
                  <w:caps w:val="false"/>
                  <w:smallCaps w:val="false"/>
                  <w:sz w:val="20"/>
                </w:rPr>
                <w:t>Defaults Upon Senior Securities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r>
      <w:tr>
        <w:trPr/>
        <w:tc>
          <w:tcPr>
            <w:tcW w:w="715" w:type="dxa"/>
            <w:tcBorders/>
            <w:vAlign w:val="center"/>
          </w:tcPr>
          <w:p>
            <w:pPr>
              <w:pStyle w:val="TableContents"/>
              <w:bidi w:val="0"/>
              <w:spacing w:before="0" w:after="0"/>
              <w:ind w:left="0" w:right="0" w:hanging="0"/>
              <w:jc w:val="both"/>
              <w:rPr/>
            </w:pPr>
            <w:hyperlink w:anchor="ITEM4MINESAFETYDISCLOSURES_7256">
              <w:r>
                <w:rPr>
                  <w:rStyle w:val="InternetLink"/>
                  <w:rFonts w:ascii="Times New Roman;Times;serif" w:hAnsi="Times New Roman;Times;serif"/>
                  <w:b w:val="false"/>
                  <w:i w:val="false"/>
                  <w:caps w:val="false"/>
                  <w:smallCaps w:val="false"/>
                  <w:sz w:val="20"/>
                </w:rPr>
                <w:t>Item 4.</w:t>
              </w:r>
            </w:hyperlink>
          </w:p>
        </w:tc>
        <w:tc>
          <w:tcPr>
            <w:tcW w:w="8918" w:type="dxa"/>
            <w:tcBorders/>
            <w:vAlign w:val="center"/>
          </w:tcPr>
          <w:p>
            <w:pPr>
              <w:pStyle w:val="TableContents"/>
              <w:bidi w:val="0"/>
              <w:spacing w:before="0" w:after="0"/>
              <w:ind w:left="0" w:right="0" w:hanging="0"/>
              <w:jc w:val="both"/>
              <w:rPr/>
            </w:pPr>
            <w:hyperlink w:anchor="ITEM4MINESAFETYDISCLOSURES_7256">
              <w:r>
                <w:rPr>
                  <w:rStyle w:val="InternetLink"/>
                  <w:rFonts w:ascii="Times New Roman;Times;serif" w:hAnsi="Times New Roman;Times;serif"/>
                  <w:b w:val="false"/>
                  <w:i w:val="false"/>
                  <w:caps w:val="false"/>
                  <w:smallCaps w:val="false"/>
                  <w:sz w:val="20"/>
                </w:rPr>
                <w:t>Mine Safety Disclosures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r>
      <w:tr>
        <w:trPr/>
        <w:tc>
          <w:tcPr>
            <w:tcW w:w="715" w:type="dxa"/>
            <w:tcBorders/>
            <w:vAlign w:val="center"/>
          </w:tcPr>
          <w:p>
            <w:pPr>
              <w:pStyle w:val="TableContents"/>
              <w:bidi w:val="0"/>
              <w:spacing w:before="0" w:after="0"/>
              <w:ind w:left="0" w:right="0" w:hanging="0"/>
              <w:jc w:val="both"/>
              <w:rPr/>
            </w:pPr>
            <w:hyperlink w:anchor="ITEM5OTHERINFORMATION_591263">
              <w:r>
                <w:rPr>
                  <w:rStyle w:val="InternetLink"/>
                  <w:rFonts w:ascii="Times New Roman;Times;serif" w:hAnsi="Times New Roman;Times;serif"/>
                  <w:b w:val="false"/>
                  <w:i w:val="false"/>
                  <w:caps w:val="false"/>
                  <w:smallCaps w:val="false"/>
                  <w:sz w:val="20"/>
                </w:rPr>
                <w:t>Item 5.</w:t>
              </w:r>
            </w:hyperlink>
          </w:p>
        </w:tc>
        <w:tc>
          <w:tcPr>
            <w:tcW w:w="8918" w:type="dxa"/>
            <w:tcBorders/>
            <w:vAlign w:val="center"/>
          </w:tcPr>
          <w:p>
            <w:pPr>
              <w:pStyle w:val="TableContents"/>
              <w:bidi w:val="0"/>
              <w:spacing w:before="0" w:after="0"/>
              <w:ind w:left="0" w:right="0" w:hanging="0"/>
              <w:jc w:val="both"/>
              <w:rPr/>
            </w:pPr>
            <w:hyperlink w:anchor="ITEM5OTHERINFORMATION_591263">
              <w:r>
                <w:rPr>
                  <w:rStyle w:val="InternetLink"/>
                  <w:rFonts w:ascii="Times New Roman;Times;serif" w:hAnsi="Times New Roman;Times;serif"/>
                  <w:b w:val="false"/>
                  <w:i w:val="false"/>
                  <w:caps w:val="false"/>
                  <w:smallCaps w:val="false"/>
                  <w:sz w:val="20"/>
                </w:rPr>
                <w:t xml:space="preserve">Other Information </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r>
      <w:tr>
        <w:trPr/>
        <w:tc>
          <w:tcPr>
            <w:tcW w:w="715" w:type="dxa"/>
            <w:tcBorders/>
            <w:vAlign w:val="center"/>
          </w:tcPr>
          <w:p>
            <w:pPr>
              <w:pStyle w:val="TableContents"/>
              <w:bidi w:val="0"/>
              <w:spacing w:before="0" w:after="0"/>
              <w:ind w:left="0" w:right="0" w:hanging="0"/>
              <w:jc w:val="both"/>
              <w:rPr/>
            </w:pPr>
            <w:hyperlink w:anchor="ITEM6EXHIBITS_780342">
              <w:r>
                <w:rPr>
                  <w:rStyle w:val="InternetLink"/>
                  <w:rFonts w:ascii="Times New Roman;Times;serif" w:hAnsi="Times New Roman;Times;serif"/>
                  <w:b w:val="false"/>
                  <w:i w:val="false"/>
                  <w:caps w:val="false"/>
                  <w:smallCaps w:val="false"/>
                  <w:sz w:val="20"/>
                </w:rPr>
                <w:t>Item 6.</w:t>
              </w:r>
            </w:hyperlink>
          </w:p>
        </w:tc>
        <w:tc>
          <w:tcPr>
            <w:tcW w:w="8918" w:type="dxa"/>
            <w:tcBorders/>
            <w:vAlign w:val="center"/>
          </w:tcPr>
          <w:p>
            <w:pPr>
              <w:pStyle w:val="TableContents"/>
              <w:bidi w:val="0"/>
              <w:spacing w:before="0" w:after="0"/>
              <w:ind w:left="0" w:right="0" w:hanging="0"/>
              <w:jc w:val="both"/>
              <w:rPr/>
            </w:pPr>
            <w:hyperlink w:anchor="ITEM6EXHIBITS_780342">
              <w:r>
                <w:rPr>
                  <w:rStyle w:val="InternetLink"/>
                  <w:rFonts w:ascii="Times New Roman;Times;serif" w:hAnsi="Times New Roman;Times;serif"/>
                  <w:b w:val="false"/>
                  <w:i w:val="false"/>
                  <w:caps w:val="false"/>
                  <w:smallCaps w:val="false"/>
                  <w:sz w:val="20"/>
                </w:rPr>
                <w:t>Exhibits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r>
      <w:tr>
        <w:trPr/>
        <w:tc>
          <w:tcPr>
            <w:tcW w:w="715" w:type="dxa"/>
            <w:tcBorders/>
            <w:vAlign w:val="center"/>
          </w:tcPr>
          <w:p>
            <w:pPr>
              <w:pStyle w:val="TableContents"/>
              <w:bidi w:val="0"/>
              <w:spacing w:before="0" w:after="283"/>
              <w:ind w:left="0" w:right="0" w:hanging="0"/>
              <w:jc w:val="left"/>
              <w:rPr>
                <w:sz w:val="4"/>
                <w:szCs w:val="4"/>
              </w:rPr>
            </w:pPr>
            <w:r>
              <w:rPr>
                <w:sz w:val="4"/>
                <w:szCs w:val="4"/>
              </w:rPr>
            </w:r>
          </w:p>
        </w:tc>
        <w:tc>
          <w:tcPr>
            <w:tcW w:w="8918" w:type="dxa"/>
            <w:tcBorders/>
            <w:vAlign w:val="center"/>
          </w:tcPr>
          <w:p>
            <w:pPr>
              <w:pStyle w:val="TableContents"/>
              <w:bidi w:val="0"/>
              <w:spacing w:before="0" w:after="0"/>
              <w:ind w:left="0" w:right="0" w:hanging="0"/>
              <w:jc w:val="both"/>
              <w:rPr/>
            </w:pPr>
            <w:hyperlink w:anchor="SIGNATURES_99336">
              <w:r>
                <w:rPr>
                  <w:rStyle w:val="InternetLink"/>
                  <w:rFonts w:ascii="Times New Roman;Times;serif" w:hAnsi="Times New Roman;Times;serif"/>
                  <w:b w:val="false"/>
                  <w:i w:val="false"/>
                  <w:caps w:val="false"/>
                  <w:smallCaps w:val="false"/>
                  <w:sz w:val="20"/>
                </w:rPr>
                <w:t>Signatures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sz w:val="20"/>
        </w:rPr>
      </w:pPr>
      <w:bookmarkStart w:id="51" w:name="_653f87f6_8ab2_499a_9b8e_9f200ec49121"/>
      <w:bookmarkEnd w:id="51"/>
      <w:r>
        <w:rPr>
          <w:rFonts w:ascii="Times New Roman;Times;serif" w:hAnsi="Times New Roman;Times;serif"/>
          <w:b/>
          <w:sz w:val="20"/>
        </w:rPr>
        <w:t>SPECIAL NOTE REGARDING FORWARD-LOOKING STATEMENTS</w:t>
      </w:r>
      <w:r>
        <w:rPr>
          <w:rFonts w:ascii="Times New Roman;Times;serif" w:hAnsi="Times New Roman;Times;serif"/>
          <w:color w:val="FF0000"/>
          <w:sz w:val="20"/>
        </w:rPr>
        <w:t xml:space="preserv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Quarterly Report on Form 10-Q contains forward-looking statements within the meaning of the Private Securities Litigation Reform Act of 1995. All statements made in this Quarterly Report on Form 10-Q that are not statements of historical fact, including statements about our beliefs and expectations and regarding future events or our future results of operations, financial condition, business, strategies, financial needs, the plans and objectives of management, and our stock repurchase program are forward-looking statements and should be evaluated as such. These statements often include words such as “anticipate,” “believe,” “expect,” “suggests,” “plans,” “intend,” “estimates,” “targets,” “projects,” “should,” “could,” “would,” “may,” “will,” “forecast,” and other similar expressions or the negatives of those terms. We base these forward-looking statements on our current expectations, plans, and assumptions that we have made in light of our experience in the industry, as well as our perceptions of historical trends, current conditions, expected future developments and other factors we believe are appropriate under the circumstances at such time. As you read and consider this Quarterly Report on Form 10-Q, you should understand that these statements are not guarantees of future performance or results. The forward-looking statements are subject to and involve risks, uncertainties and assumptions, and you should not place undue reliance on these forward-looking statements. Although we believe that these forward-looking statements are based on reasonable assumptions at the time they are made, you should be aware that many factors could affect our actual results or results of operations and could cause actual results to differ materially from those expressed in the forward-looking statements. Important factors that may materially affect such forward-looking statements include, but are not limited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and grow revenue from existing customers and new customers, and expand their usage of our solutions;</w:t>
            </w:r>
          </w:p>
        </w:tc>
      </w:tr>
    </w:tbl>
    <w:tbl>
      <w:tblPr>
        <w:tblW w:w="6981" w:type="dxa"/>
        <w:jc w:val="left"/>
        <w:tblInd w:w="0" w:type="dxa"/>
        <w:tblLayout w:type="fixed"/>
        <w:tblCellMar>
          <w:top w:w="28" w:type="dxa"/>
          <w:left w:w="28" w:type="dxa"/>
          <w:bottom w:w="28" w:type="dxa"/>
          <w:right w:w="28" w:type="dxa"/>
        </w:tblCellMar>
      </w:tblPr>
      <w:tblGrid>
        <w:gridCol w:w="124"/>
        <w:gridCol w:w="256"/>
        <w:gridCol w:w="66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and expand our strategic relationships with third parties;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adapt to technological change and successfully introduce new solutions or provide updates to existing solutions;</w:t>
            </w:r>
          </w:p>
        </w:tc>
      </w:tr>
    </w:tbl>
    <w:tbl>
      <w:tblPr>
        <w:tblW w:w="5946" w:type="dxa"/>
        <w:jc w:val="left"/>
        <w:tblInd w:w="0" w:type="dxa"/>
        <w:tblLayout w:type="fixed"/>
        <w:tblCellMar>
          <w:top w:w="28" w:type="dxa"/>
          <w:left w:w="28" w:type="dxa"/>
          <w:bottom w:w="28" w:type="dxa"/>
          <w:right w:w="28" w:type="dxa"/>
        </w:tblCellMar>
      </w:tblPr>
      <w:tblGrid>
        <w:gridCol w:w="124"/>
        <w:gridCol w:w="256"/>
        <w:gridCol w:w="55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failures in information technology or infrastructure;</w:t>
            </w:r>
          </w:p>
        </w:tc>
      </w:tr>
    </w:tbl>
    <w:tbl>
      <w:tblPr>
        <w:tblW w:w="8046" w:type="dxa"/>
        <w:jc w:val="left"/>
        <w:tblInd w:w="0" w:type="dxa"/>
        <w:tblLayout w:type="fixed"/>
        <w:tblCellMar>
          <w:top w:w="28" w:type="dxa"/>
          <w:left w:w="28" w:type="dxa"/>
          <w:bottom w:w="28" w:type="dxa"/>
          <w:right w:w="28" w:type="dxa"/>
        </w:tblCellMar>
      </w:tblPr>
      <w:tblGrid>
        <w:gridCol w:w="124"/>
        <w:gridCol w:w="256"/>
        <w:gridCol w:w="76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our reliance on government infrastructure to support our e-invoicing services;</w:t>
            </w:r>
          </w:p>
        </w:tc>
      </w:tr>
    </w:tbl>
    <w:tbl>
      <w:tblPr>
        <w:tblW w:w="7491" w:type="dxa"/>
        <w:jc w:val="left"/>
        <w:tblInd w:w="0" w:type="dxa"/>
        <w:tblLayout w:type="fixed"/>
        <w:tblCellMar>
          <w:top w:w="28" w:type="dxa"/>
          <w:left w:w="28" w:type="dxa"/>
          <w:bottom w:w="28" w:type="dxa"/>
          <w:right w:w="28" w:type="dxa"/>
        </w:tblCellMar>
      </w:tblPr>
      <w:tblGrid>
        <w:gridCol w:w="124"/>
        <w:gridCol w:w="256"/>
        <w:gridCol w:w="71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challenges in using and managing use of Artificial Intelligence (“AI”) in our business;</w:t>
            </w:r>
          </w:p>
        </w:tc>
      </w:tr>
    </w:tbl>
    <w:tbl>
      <w:tblPr>
        <w:tblW w:w="6516" w:type="dxa"/>
        <w:jc w:val="left"/>
        <w:tblInd w:w="0" w:type="dxa"/>
        <w:tblLayout w:type="fixed"/>
        <w:tblCellMar>
          <w:top w:w="28" w:type="dxa"/>
          <w:left w:w="28" w:type="dxa"/>
          <w:bottom w:w="28" w:type="dxa"/>
          <w:right w:w="28" w:type="dxa"/>
        </w:tblCellMar>
      </w:tblPr>
      <w:tblGrid>
        <w:gridCol w:w="124"/>
        <w:gridCol w:w="256"/>
        <w:gridCol w:w="61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incorrect or improper implementation, integration or use of our solutions; </w:t>
            </w:r>
          </w:p>
        </w:tc>
      </w:tr>
    </w:tbl>
    <w:tbl>
      <w:tblPr>
        <w:tblW w:w="6471" w:type="dxa"/>
        <w:jc w:val="left"/>
        <w:tblInd w:w="0" w:type="dxa"/>
        <w:tblLayout w:type="fixed"/>
        <w:tblCellMar>
          <w:top w:w="28" w:type="dxa"/>
          <w:left w:w="28" w:type="dxa"/>
          <w:bottom w:w="28" w:type="dxa"/>
          <w:right w:w="28" w:type="dxa"/>
        </w:tblCellMar>
      </w:tblPr>
      <w:tblGrid>
        <w:gridCol w:w="124"/>
        <w:gridCol w:w="256"/>
        <w:gridCol w:w="60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attract and retain qualified technical and tax-content personnel;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competitive pressures from other tax software and service providers and challenges of convincing businesses using native enterprise resource planning functions to switch to our software;</w:t>
            </w:r>
          </w:p>
        </w:tc>
      </w:tr>
    </w:tbl>
    <w:tbl>
      <w:tblPr>
        <w:tblW w:w="9186" w:type="dxa"/>
        <w:jc w:val="left"/>
        <w:tblInd w:w="0" w:type="dxa"/>
        <w:tblLayout w:type="fixed"/>
        <w:tblCellMar>
          <w:top w:w="28" w:type="dxa"/>
          <w:left w:w="28" w:type="dxa"/>
          <w:bottom w:w="28" w:type="dxa"/>
          <w:right w:w="28" w:type="dxa"/>
        </w:tblCellMar>
      </w:tblPr>
      <w:tblGrid>
        <w:gridCol w:w="124"/>
        <w:gridCol w:w="256"/>
        <w:gridCol w:w="8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accurately forecast our revenue and other future results of operations based on recent success;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offer specific software deployment methods based on changes to customers’ and partners’ software systems;</w:t>
            </w:r>
          </w:p>
        </w:tc>
      </w:tr>
    </w:tbl>
    <w:tbl>
      <w:tblPr>
        <w:tblW w:w="8316" w:type="dxa"/>
        <w:jc w:val="left"/>
        <w:tblInd w:w="0" w:type="dxa"/>
        <w:tblLayout w:type="fixed"/>
        <w:tblCellMar>
          <w:top w:w="28" w:type="dxa"/>
          <w:left w:w="28" w:type="dxa"/>
          <w:bottom w:w="28" w:type="dxa"/>
          <w:right w:w="28" w:type="dxa"/>
        </w:tblCellMar>
      </w:tblPr>
      <w:tblGrid>
        <w:gridCol w:w="124"/>
        <w:gridCol w:w="256"/>
        <w:gridCol w:w="79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continue making significant investments in software development and equipment;</w:t>
            </w:r>
          </w:p>
        </w:tc>
      </w:tr>
    </w:tbl>
    <w:tbl>
      <w:tblPr>
        <w:tblW w:w="9951" w:type="dxa"/>
        <w:jc w:val="left"/>
        <w:tblInd w:w="0" w:type="dxa"/>
        <w:tblLayout w:type="fixed"/>
        <w:tblCellMar>
          <w:top w:w="28" w:type="dxa"/>
          <w:left w:w="28" w:type="dxa"/>
          <w:bottom w:w="28" w:type="dxa"/>
          <w:right w:w="28" w:type="dxa"/>
        </w:tblCellMar>
      </w:tblPr>
      <w:tblGrid>
        <w:gridCol w:w="124"/>
        <w:gridCol w:w="256"/>
        <w:gridCol w:w="95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sustain and expand revenues, maintain profitability, and to effectively manage our anticipated growth;</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diversify our solutions by developing or introducing new solutions or acquiring and integrating additional businesses, products, services, or content;</w:t>
            </w:r>
          </w:p>
        </w:tc>
      </w:tr>
    </w:tbl>
    <w:tbl>
      <w:tblPr>
        <w:tblW w:w="9861" w:type="dxa"/>
        <w:jc w:val="left"/>
        <w:tblInd w:w="0" w:type="dxa"/>
        <w:tblLayout w:type="fixed"/>
        <w:tblCellMar>
          <w:top w:w="28" w:type="dxa"/>
          <w:left w:w="28" w:type="dxa"/>
          <w:bottom w:w="28" w:type="dxa"/>
          <w:right w:w="28" w:type="dxa"/>
        </w:tblCellMar>
      </w:tblPr>
      <w:tblGrid>
        <w:gridCol w:w="124"/>
        <w:gridCol w:w="256"/>
        <w:gridCol w:w="94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integrate acquired businesses and to realize the anticipated benefits of such acquisitions;</w:t>
            </w:r>
          </w:p>
        </w:tc>
      </w:tr>
    </w:tbl>
    <w:tbl>
      <w:tblPr>
        <w:tblW w:w="5301" w:type="dxa"/>
        <w:jc w:val="left"/>
        <w:tblInd w:w="0" w:type="dxa"/>
        <w:tblLayout w:type="fixed"/>
        <w:tblCellMar>
          <w:top w:w="28" w:type="dxa"/>
          <w:left w:w="28" w:type="dxa"/>
          <w:bottom w:w="28" w:type="dxa"/>
          <w:right w:w="28" w:type="dxa"/>
        </w:tblCellMar>
      </w:tblPr>
      <w:tblGrid>
        <w:gridCol w:w="124"/>
        <w:gridCol w:w="256"/>
        <w:gridCol w:w="49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the fluctuations in our results of operations;</w:t>
            </w:r>
          </w:p>
        </w:tc>
      </w:tr>
    </w:tbl>
    <w:tbl>
      <w:tblPr>
        <w:tblW w:w="5001" w:type="dxa"/>
        <w:jc w:val="left"/>
        <w:tblInd w:w="0" w:type="dxa"/>
        <w:tblLayout w:type="fixed"/>
        <w:tblCellMar>
          <w:top w:w="28" w:type="dxa"/>
          <w:left w:w="28" w:type="dxa"/>
          <w:bottom w:w="28" w:type="dxa"/>
          <w:right w:w="28" w:type="dxa"/>
        </w:tblCellMar>
      </w:tblPr>
      <w:tblGrid>
        <w:gridCol w:w="124"/>
        <w:gridCol w:w="256"/>
        <w:gridCol w:w="46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our expanding international operations;</w:t>
            </w:r>
          </w:p>
        </w:tc>
      </w:tr>
    </w:tbl>
    <w:tbl>
      <w:tblPr>
        <w:tblW w:w="9351" w:type="dxa"/>
        <w:jc w:val="left"/>
        <w:tblInd w:w="0" w:type="dxa"/>
        <w:tblLayout w:type="fixed"/>
        <w:tblCellMar>
          <w:top w:w="28" w:type="dxa"/>
          <w:left w:w="28" w:type="dxa"/>
          <w:bottom w:w="28" w:type="dxa"/>
          <w:right w:w="28" w:type="dxa"/>
        </w:tblCellMar>
      </w:tblPr>
      <w:tblGrid>
        <w:gridCol w:w="124"/>
        <w:gridCol w:w="256"/>
        <w:gridCol w:w="89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exposure to liability from errors, delays, fraud or system failures, which may not be covered by insurance;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8121" w:type="dxa"/>
        <w:jc w:val="left"/>
        <w:tblInd w:w="0" w:type="dxa"/>
        <w:tblLayout w:type="fixed"/>
        <w:tblCellMar>
          <w:top w:w="28" w:type="dxa"/>
          <w:left w:w="28" w:type="dxa"/>
          <w:bottom w:w="28" w:type="dxa"/>
          <w:right w:w="28" w:type="dxa"/>
        </w:tblCellMar>
      </w:tblPr>
      <w:tblGrid>
        <w:gridCol w:w="124"/>
        <w:gridCol w:w="256"/>
        <w:gridCol w:w="77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adapt to organizational changes and effectively implement strategic initiatives; </w:t>
            </w:r>
          </w:p>
        </w:tc>
      </w:tr>
    </w:tbl>
    <w:tbl>
      <w:tblPr>
        <w:tblW w:w="7191" w:type="dxa"/>
        <w:jc w:val="left"/>
        <w:tblInd w:w="0" w:type="dxa"/>
        <w:tblLayout w:type="fixed"/>
        <w:tblCellMar>
          <w:top w:w="28" w:type="dxa"/>
          <w:left w:w="28" w:type="dxa"/>
          <w:bottom w:w="28" w:type="dxa"/>
          <w:right w:w="28" w:type="dxa"/>
        </w:tblCellMar>
      </w:tblPr>
      <w:tblGrid>
        <w:gridCol w:w="124"/>
        <w:gridCol w:w="256"/>
        <w:gridCol w:w="68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our determinations of customers’ transaction tax and tax payments;</w:t>
            </w:r>
          </w:p>
        </w:tc>
      </w:tr>
    </w:tbl>
    <w:tbl>
      <w:tblPr>
        <w:tblW w:w="7746" w:type="dxa"/>
        <w:jc w:val="left"/>
        <w:tblInd w:w="0" w:type="dxa"/>
        <w:tblLayout w:type="fixed"/>
        <w:tblCellMar>
          <w:top w:w="28" w:type="dxa"/>
          <w:left w:w="28" w:type="dxa"/>
          <w:bottom w:w="28" w:type="dxa"/>
          <w:right w:w="28" w:type="dxa"/>
        </w:tblCellMar>
      </w:tblPr>
      <w:tblGrid>
        <w:gridCol w:w="124"/>
        <w:gridCol w:w="256"/>
        <w:gridCol w:w="73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changes in tax laws and regulations or their interpretation or enforcement;</w:t>
            </w:r>
          </w:p>
        </w:tc>
      </w:tr>
    </w:tbl>
    <w:tbl>
      <w:tblPr>
        <w:tblW w:w="5286" w:type="dxa"/>
        <w:jc w:val="left"/>
        <w:tblInd w:w="0" w:type="dxa"/>
        <w:tblLayout w:type="fixed"/>
        <w:tblCellMar>
          <w:top w:w="28" w:type="dxa"/>
          <w:left w:w="28" w:type="dxa"/>
          <w:bottom w:w="28" w:type="dxa"/>
          <w:right w:w="28" w:type="dxa"/>
        </w:tblCellMar>
      </w:tblPr>
      <w:tblGrid>
        <w:gridCol w:w="124"/>
        <w:gridCol w:w="256"/>
        <w:gridCol w:w="4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manage cybersecurity and data privacy risks;</w:t>
            </w:r>
          </w:p>
        </w:tc>
      </w:tr>
    </w:tbl>
    <w:tbl>
      <w:tblPr>
        <w:tblW w:w="5271" w:type="dxa"/>
        <w:jc w:val="left"/>
        <w:tblInd w:w="0" w:type="dxa"/>
        <w:tblLayout w:type="fixed"/>
        <w:tblCellMar>
          <w:top w:w="28" w:type="dxa"/>
          <w:left w:w="28" w:type="dxa"/>
          <w:bottom w:w="28" w:type="dxa"/>
          <w:right w:w="28" w:type="dxa"/>
        </w:tblCellMar>
      </w:tblPr>
      <w:tblGrid>
        <w:gridCol w:w="124"/>
        <w:gridCol w:w="256"/>
        <w:gridCol w:w="48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involvement in material legal proceedings and audits; </w:t>
            </w:r>
          </w:p>
        </w:tc>
      </w:tr>
    </w:tbl>
    <w:tbl>
      <w:tblPr>
        <w:tblW w:w="5766" w:type="dxa"/>
        <w:jc w:val="left"/>
        <w:tblInd w:w="0" w:type="dxa"/>
        <w:tblLayout w:type="fixed"/>
        <w:tblCellMar>
          <w:top w:w="28" w:type="dxa"/>
          <w:left w:w="28" w:type="dxa"/>
          <w:bottom w:w="28" w:type="dxa"/>
          <w:right w:w="28" w:type="dxa"/>
        </w:tblCellMar>
      </w:tblPr>
      <w:tblGrid>
        <w:gridCol w:w="124"/>
        <w:gridCol w:w="256"/>
        <w:gridCol w:w="5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undetected errors, bugs or defects in our software;</w:t>
            </w:r>
          </w:p>
        </w:tc>
      </w:tr>
    </w:tbl>
    <w:tbl>
      <w:tblPr>
        <w:tblW w:w="8256" w:type="dxa"/>
        <w:jc w:val="left"/>
        <w:tblInd w:w="0" w:type="dxa"/>
        <w:tblLayout w:type="fixed"/>
        <w:tblCellMar>
          <w:top w:w="28" w:type="dxa"/>
          <w:left w:w="28" w:type="dxa"/>
          <w:bottom w:w="28" w:type="dxa"/>
          <w:right w:w="28" w:type="dxa"/>
        </w:tblCellMar>
      </w:tblPr>
      <w:tblGrid>
        <w:gridCol w:w="124"/>
        <w:gridCol w:w="256"/>
        <w:gridCol w:w="78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utilization of open-source software, business processes and information systems;</w:t>
            </w:r>
          </w:p>
        </w:tc>
      </w:tr>
    </w:tbl>
    <w:tbl>
      <w:tblPr>
        <w:tblW w:w="5931" w:type="dxa"/>
        <w:jc w:val="left"/>
        <w:tblInd w:w="0" w:type="dxa"/>
        <w:tblLayout w:type="fixed"/>
        <w:tblCellMar>
          <w:top w:w="28" w:type="dxa"/>
          <w:left w:w="28" w:type="dxa"/>
          <w:bottom w:w="28" w:type="dxa"/>
          <w:right w:w="28" w:type="dxa"/>
        </w:tblCellMar>
      </w:tblPr>
      <w:tblGrid>
        <w:gridCol w:w="124"/>
        <w:gridCol w:w="256"/>
        <w:gridCol w:w="55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effectively protect, maintain, and enhance our brand;</w:t>
            </w:r>
          </w:p>
        </w:tc>
      </w:tr>
    </w:tbl>
    <w:tbl>
      <w:tblPr>
        <w:tblW w:w="7416" w:type="dxa"/>
        <w:jc w:val="left"/>
        <w:tblInd w:w="0" w:type="dxa"/>
        <w:tblLayout w:type="fixed"/>
        <w:tblCellMar>
          <w:top w:w="28" w:type="dxa"/>
          <w:left w:w="28" w:type="dxa"/>
          <w:bottom w:w="28" w:type="dxa"/>
          <w:right w:w="28" w:type="dxa"/>
        </w:tblCellMar>
      </w:tblPr>
      <w:tblGrid>
        <w:gridCol w:w="124"/>
        <w:gridCol w:w="256"/>
        <w:gridCol w:w="70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changes in application, scope, interpretation or enforcement of laws and regulations;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economic weakness and uncertainties, including the economic uncertainty created by the changing legal, regulatory, or taxation landscape in the United States, and disruption in the capital and credit markets;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disruptions related to natural disasters, epidemic outbreaks, including a global endemic or pandemic, terrorist acts, political events, or other events outside of our control;</w:t>
            </w:r>
          </w:p>
        </w:tc>
      </w:tr>
    </w:tbl>
    <w:tbl>
      <w:tblPr>
        <w:tblW w:w="6441" w:type="dxa"/>
        <w:jc w:val="left"/>
        <w:tblInd w:w="0" w:type="dxa"/>
        <w:tblLayout w:type="fixed"/>
        <w:tblCellMar>
          <w:top w:w="28" w:type="dxa"/>
          <w:left w:w="28" w:type="dxa"/>
          <w:bottom w:w="28" w:type="dxa"/>
          <w:right w:w="28" w:type="dxa"/>
        </w:tblCellMar>
      </w:tblPr>
      <w:tblGrid>
        <w:gridCol w:w="124"/>
        <w:gridCol w:w="256"/>
        <w:gridCol w:w="60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comply with anti-corruption, anti-bribery, and similar laws;</w:t>
            </w:r>
          </w:p>
        </w:tc>
      </w:tr>
    </w:tbl>
    <w:tbl>
      <w:tblPr>
        <w:tblW w:w="4341" w:type="dxa"/>
        <w:jc w:val="left"/>
        <w:tblInd w:w="0" w:type="dxa"/>
        <w:tblLayout w:type="fixed"/>
        <w:tblCellMar>
          <w:top w:w="28" w:type="dxa"/>
          <w:left w:w="28" w:type="dxa"/>
          <w:bottom w:w="28" w:type="dxa"/>
          <w:right w:w="28" w:type="dxa"/>
        </w:tblCellMar>
      </w:tblPr>
      <w:tblGrid>
        <w:gridCol w:w="124"/>
        <w:gridCol w:w="256"/>
        <w:gridCol w:w="39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protect our intellectual property;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interest rates, security ratings and market perceptions of the industry in which we operate, or our ability to obtain capital on commercially reasonable terms or at all;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an effective system of disclosure controls and internal control over financial reporting, or ability to remediate any material weakness in our internal controls;</w:t>
            </w:r>
          </w:p>
        </w:tc>
      </w:tr>
    </w:tbl>
    <w:tbl>
      <w:tblPr>
        <w:tblW w:w="6516" w:type="dxa"/>
        <w:jc w:val="left"/>
        <w:tblInd w:w="0" w:type="dxa"/>
        <w:tblLayout w:type="fixed"/>
        <w:tblCellMar>
          <w:top w:w="28" w:type="dxa"/>
          <w:left w:w="28" w:type="dxa"/>
          <w:bottom w:w="28" w:type="dxa"/>
          <w:right w:w="28" w:type="dxa"/>
        </w:tblCellMar>
      </w:tblPr>
      <w:tblGrid>
        <w:gridCol w:w="124"/>
        <w:gridCol w:w="256"/>
        <w:gridCol w:w="61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our Class A common stock and controlled company status;</w:t>
            </w:r>
          </w:p>
        </w:tc>
      </w:tr>
    </w:tbl>
    <w:tbl>
      <w:tblPr>
        <w:tblW w:w="7956" w:type="dxa"/>
        <w:jc w:val="left"/>
        <w:tblInd w:w="0" w:type="dxa"/>
        <w:tblLayout w:type="fixed"/>
        <w:tblCellMar>
          <w:top w:w="28" w:type="dxa"/>
          <w:left w:w="28" w:type="dxa"/>
          <w:bottom w:w="28" w:type="dxa"/>
          <w:right w:w="28" w:type="dxa"/>
        </w:tblCellMar>
      </w:tblPr>
      <w:tblGrid>
        <w:gridCol w:w="124"/>
        <w:gridCol w:w="256"/>
        <w:gridCol w:w="75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our Repurchase Program (as defined in the notes to the financial statements);</w:t>
            </w:r>
          </w:p>
        </w:tc>
      </w:tr>
    </w:tbl>
    <w:tbl>
      <w:tblPr>
        <w:tblW w:w="8016" w:type="dxa"/>
        <w:jc w:val="left"/>
        <w:tblInd w:w="0" w:type="dxa"/>
        <w:tblLayout w:type="fixed"/>
        <w:tblCellMar>
          <w:top w:w="28" w:type="dxa"/>
          <w:left w:w="28" w:type="dxa"/>
          <w:bottom w:w="28" w:type="dxa"/>
          <w:right w:w="28" w:type="dxa"/>
        </w:tblCellMar>
      </w:tblPr>
      <w:tblGrid>
        <w:gridCol w:w="124"/>
        <w:gridCol w:w="256"/>
        <w:gridCol w:w="76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our indebtedness and adherence to the covenants under our debt instruments;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effects of the Capped Call Transactions (as defined in the notes to the financial statements) and the actions of the Option Counterparties (as defined in the notes to the financial statements) and/or their respective affiliates; </w:t>
            </w:r>
          </w:p>
        </w:tc>
      </w:tr>
    </w:tbl>
    <w:tbl>
      <w:tblPr>
        <w:tblW w:w="3771" w:type="dxa"/>
        <w:jc w:val="left"/>
        <w:tblInd w:w="0" w:type="dxa"/>
        <w:tblLayout w:type="fixed"/>
        <w:tblCellMar>
          <w:top w:w="28" w:type="dxa"/>
          <w:left w:w="28" w:type="dxa"/>
          <w:bottom w:w="28" w:type="dxa"/>
          <w:right w:w="28" w:type="dxa"/>
        </w:tblCellMar>
      </w:tblPr>
      <w:tblGrid>
        <w:gridCol w:w="124"/>
        <w:gridCol w:w="256"/>
        <w:gridCol w:w="33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our Value Creation Plan;</w:t>
            </w:r>
          </w:p>
        </w:tc>
      </w:tr>
    </w:tbl>
    <w:tbl>
      <w:tblPr>
        <w:tblW w:w="8346" w:type="dxa"/>
        <w:jc w:val="left"/>
        <w:tblInd w:w="0" w:type="dxa"/>
        <w:tblLayout w:type="fixed"/>
        <w:tblCellMar>
          <w:top w:w="28" w:type="dxa"/>
          <w:left w:w="28" w:type="dxa"/>
          <w:bottom w:w="28" w:type="dxa"/>
          <w:right w:w="28" w:type="dxa"/>
        </w:tblCellMar>
      </w:tblPr>
      <w:tblGrid>
        <w:gridCol w:w="124"/>
        <w:gridCol w:w="256"/>
        <w:gridCol w:w="79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statements of belief and any statements of assumptions underlying any of the foregoing; and</w:t>
            </w:r>
          </w:p>
        </w:tc>
      </w:tr>
    </w:tbl>
    <w:tbl>
      <w:tblPr>
        <w:tblW w:w="3186" w:type="dxa"/>
        <w:jc w:val="left"/>
        <w:tblInd w:w="0" w:type="dxa"/>
        <w:tblLayout w:type="fixed"/>
        <w:tblCellMar>
          <w:top w:w="28" w:type="dxa"/>
          <w:left w:w="28" w:type="dxa"/>
          <w:bottom w:w="28" w:type="dxa"/>
          <w:right w:w="28" w:type="dxa"/>
        </w:tblCellMar>
      </w:tblPr>
      <w:tblGrid>
        <w:gridCol w:w="124"/>
        <w:gridCol w:w="256"/>
        <w:gridCol w:w="2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factors beyond our control.</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risks included here are not exhaustive, and additional factors could adversely affect our business and financial performance, including factors and risks included in our Annual Report on Form 10-K for the year ended December 31, 2025, filed with the Securities and Exchange Commission (the “SEC”) on February 24, 2026 (the “2025 Annual Report”). Moreover, we operate in a very competitive and rapidly changing environment. New risk factors emerge from time to time, and it is not possible for us to identify all such risk factors, nor can we assess the impact of all such risk factors on the business or the extent to which any factor, or combination of factors, may cause actual results to differ materially from those contained in any forward-looking statements. Given these risks and uncertainties, you should not place undue reliance on our forward-looking statements, and you should not rely on forward-looking statements as predictions of future events. The results, events, and circumstances reflected in the forward-looking statements may not be achieved or occur, and actual results, events, or circumstances could differ materially from those described in the forward-looking statements. The forward-looking statements made in this Quarterly Report on Form 10-Q speak only as of the date of this report. We undertake no obligation to update any forward-looking statements made in this report to reflect events or circumstances after the date of this report or to reflect new information or the occurrence of unanticipated events, except as required by law. If we update one or more forward-looking statements, no inference should be drawn that we will make additional updates with respect to those or other forward-looking statements.</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17"/>
        </w:rPr>
      </w:pPr>
      <w:bookmarkStart w:id="52" w:name="PARTIFINANCIALINFORMATION_19634"/>
      <w:bookmarkStart w:id="53" w:name="_45fef71a_0a37_4e22_80a5_f00adb987132"/>
      <w:bookmarkEnd w:id="52"/>
      <w:bookmarkEnd w:id="53"/>
      <w:r>
        <w:rPr>
          <w:rFonts w:ascii="Times New Roman;Times;serif" w:hAnsi="Times New Roman;Times;serif"/>
          <w:b/>
          <w:sz w:val="17"/>
        </w:rPr>
        <w:t>PART I - FINANCIAL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16"/>
        </w:rPr>
      </w:pPr>
      <w:bookmarkStart w:id="54" w:name="Item1FINANCIALSTATEMENTS_787624"/>
      <w:bookmarkEnd w:id="54"/>
      <w:r>
        <w:rPr>
          <w:rFonts w:ascii="Times New Roman;Times;serif" w:hAnsi="Times New Roman;Times;serif"/>
          <w:b/>
          <w:sz w:val="16"/>
        </w:rPr>
        <w:t>Item 1. FINANCIAL STATEMENTS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Vertex, Inc. and Subsidiaries</w:t>
      </w:r>
    </w:p>
    <w:p>
      <w:pPr>
        <w:pStyle w:val="TextBody"/>
        <w:bidi w:val="0"/>
        <w:spacing w:before="0" w:after="0"/>
        <w:ind w:left="0" w:right="0" w:hanging="0"/>
        <w:jc w:val="center"/>
        <w:rPr>
          <w:rFonts w:ascii="Times New Roman;Times;serif" w:hAnsi="Times New Roman;Times;serif"/>
          <w:b/>
          <w:sz w:val="16"/>
        </w:rPr>
      </w:pPr>
      <w:bookmarkStart w:id="55" w:name="CondensedConsolidatedBalanceSheets_41728"/>
      <w:bookmarkEnd w:id="55"/>
      <w:r>
        <w:rPr>
          <w:rFonts w:ascii="Times New Roman;Times;serif" w:hAnsi="Times New Roman;Times;serif"/>
          <w:b/>
          <w:sz w:val="16"/>
        </w:rPr>
        <w:t>Condensed Consolidated Balance Sheets</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2026 and December 31, 2025</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(Amounts in thousands, except per share data)</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56" w:name="Tc_os8BwyfuxkWmm42sMZxGbg_50_4"/>
      <w:bookmarkStart w:id="57" w:name="Tc_mnqa56YX20q3tS55Xdz5Zw_50_1"/>
      <w:bookmarkStart w:id="58" w:name="Tc_-adnpX0js0aky3b1FsRwvw_50_0"/>
      <w:bookmarkStart w:id="59" w:name="Tc_hnFGJVGgCkGPib1lRnpNfw_49_0"/>
      <w:bookmarkStart w:id="60" w:name="Tc_P7T30mMvekGbRwnc-cWgbw_48_0"/>
      <w:bookmarkStart w:id="61" w:name="Tc_yop_vmnrYUOFpVj5qMstog_47_0"/>
      <w:bookmarkStart w:id="62" w:name="Tc_0Uo-TMmLO0GOT0f80_aXPg_46_0"/>
      <w:bookmarkStart w:id="63" w:name="Tc_4L4XKinNG0u-Yb7-q5YnkQ_45_0"/>
      <w:bookmarkStart w:id="64" w:name="Tc_0SQKIg6Jo0CxuhOEoxjPXg_44_0"/>
      <w:bookmarkStart w:id="65" w:name="Tc_OeDkRq5XSk6rUVHAb9hyKQ_43_0"/>
      <w:bookmarkStart w:id="66" w:name="Tc_jnBBK-2JMkWTY0NNjitv1w_42_0"/>
      <w:bookmarkStart w:id="67" w:name="Tc_YkVWEuBoPk-QTR2uskgkWQ_41_0"/>
      <w:bookmarkStart w:id="68" w:name="Tc_oWso0uayxUOpz4p28oCBtg_40_0"/>
      <w:bookmarkStart w:id="69" w:name="Tc_J5clJsET6kGYqhuyhZcKjA_39_0"/>
      <w:bookmarkStart w:id="70" w:name="Tc_yq8Z9FSxekmxsLDDFasrmw_38_0"/>
      <w:bookmarkStart w:id="71" w:name="Tc_XmVg7wIn4USy4yD-mIOucQ_37_0"/>
      <w:bookmarkStart w:id="72" w:name="Tc_c3Y3KTmcE06CrrGDZiVTbg_36_0"/>
      <w:bookmarkStart w:id="73" w:name="Tc_LfjSvfXTtEC46LhQhaLXKw_35_0"/>
      <w:bookmarkStart w:id="74" w:name="Tc_ts4WH3Cdv0S-Zau0H2bkUA_34_0"/>
      <w:bookmarkStart w:id="75" w:name="Tc_jcLs0xcIWkGTeRxJV2p9Rg_33_0"/>
      <w:bookmarkStart w:id="76" w:name="Tc_FnsMoJhsSUuYlxQ3Pt1uwA_32_0"/>
      <w:bookmarkStart w:id="77" w:name="Tc_1Fc_Mqngb0qOLEkETmCaTg_31_0"/>
      <w:bookmarkStart w:id="78" w:name="Tc_lgEkwOmqa0uJBtXk7u6JEg_30_0"/>
      <w:bookmarkStart w:id="79" w:name="Tc_5ywrXGlkUkC0cHYd0raxJg_29_0"/>
      <w:bookmarkStart w:id="80" w:name="Tc_-O8SkoapRkmZI9-B4bZTlQ_28_0"/>
      <w:bookmarkStart w:id="81" w:name="Tc_xZJG6p137kCX1j3Dy9uKZg_27_0"/>
      <w:bookmarkStart w:id="82" w:name="Tc_FdNmHXK1akaKbRNz3mjGyQ_26_0"/>
      <w:bookmarkStart w:id="83" w:name="Tc_Iz9FyRd1M06XTlc-EN1gmA_25_0"/>
      <w:bookmarkStart w:id="84" w:name="Tc_xBauAWf6HU6WM7i_giVk-Q_24_0"/>
      <w:bookmarkStart w:id="85" w:name="Tc_N5WgvFT8vkOuWW-1Fqxlaw_23_0"/>
      <w:bookmarkStart w:id="86" w:name="Tc__gKtGEL8qUWsF_fIrqqsqA_22_4"/>
      <w:bookmarkStart w:id="87" w:name="Tc_uX10WOnpFkuSzeyu5om5oA_22_1"/>
      <w:bookmarkStart w:id="88" w:name="Tc_q6JUvrFkiUyCwq10BYWlTw_22_0"/>
      <w:bookmarkStart w:id="89" w:name="Tc_Nhxno3qy00KlrgDG0uvp0Q_21_0"/>
      <w:bookmarkStart w:id="90" w:name="Tc_o9xvg81ixkqtjwO0_F-N_A_20_5"/>
      <w:bookmarkStart w:id="91" w:name="Tc_1bhit2x6R0Cx0A4FZLAbQg_20_2"/>
      <w:bookmarkStart w:id="92" w:name="Tc_QiH8gWA6zkqlU48dVgKwOA_20_0"/>
      <w:bookmarkStart w:id="93" w:name="Tc_73fgxU47d0SZo4w0U6S4ww_19_4"/>
      <w:bookmarkStart w:id="94" w:name="Tc_sQfYYUWtU0KBAfHcwnN2Nw_19_1"/>
      <w:bookmarkStart w:id="95" w:name="Tc_Wdx_6KVkmkeEzck2KIFFMQ_19_0"/>
      <w:bookmarkStart w:id="96" w:name="Tc_2X8PME30r0KQfi_2cTPfrQ_18_0"/>
      <w:bookmarkStart w:id="97" w:name="Tc_hFtn_rEHAkWTJKUpJ03zrQ_17_0"/>
      <w:bookmarkStart w:id="98" w:name="Tc_TpYPBYdg6UOMrwKB-eHjEg_16_0"/>
      <w:bookmarkStart w:id="99" w:name="Tc_n1rhaMFuBUidmlltL39xXw_15_0"/>
      <w:bookmarkStart w:id="100" w:name="Tc_l_r2LIvc3EySkmc4C_Lwpw_14_0"/>
      <w:bookmarkStart w:id="101" w:name="Tc_-9f-4YdLT0KrNUVoi5AcYQ_13_0"/>
      <w:bookmarkStart w:id="102" w:name="Tc_WkaGlozb8kS5yUQJzFnwPw_12_0"/>
      <w:bookmarkStart w:id="103" w:name="Tc_7WasRpOJwUGxbwm3k3CIcA_11_0"/>
      <w:bookmarkStart w:id="104" w:name="Tc_vSZ9rP13MUmZjixuiCzAyg_10_0"/>
      <w:bookmarkStart w:id="105" w:name="Tc_mZsEqU_pBkiFsqiIbv3idw_9_0"/>
      <w:bookmarkStart w:id="106" w:name="Tc_rwRCJBgATEC1aQe9TzlhXA_8_0"/>
      <w:bookmarkStart w:id="107" w:name="Tc_cLz5u3Tf5UGOk0Ue5h_rzg_7_0"/>
      <w:bookmarkStart w:id="108" w:name="Tc_R9WDq3zbnk2KHicyDBU7fw_6_4"/>
      <w:bookmarkStart w:id="109" w:name="Tc_4zMJXXv19EKTlGBaTJ7xPQ_6_1"/>
      <w:bookmarkStart w:id="110" w:name="Tc_4xsXSWsQZEqx6WnTDvr3yg_6_0"/>
      <w:bookmarkStart w:id="111" w:name="Tc_Xb3Mb2efskmY_tGuPykTng_5_0"/>
      <w:bookmarkStart w:id="112" w:name="Tc_OX9CxrhzSEeJzjrEqtY9Ww_4_0"/>
      <w:bookmarkStart w:id="113" w:name="Tc_x7GqzDbx4kqSIvKFUqMS1Q_3_1"/>
      <w:bookmarkStart w:id="114" w:name="Tc_vSxDA6z8okqLwS--MYqmkw_2_4"/>
      <w:bookmarkStart w:id="115" w:name="Tc_K2JfmSGaRkyJz071g-UOFg_2_1"/>
      <w:bookmarkStart w:id="116" w:name="Tc_RkSCeKFLVky4wbnBRyaTlg_1_4"/>
      <w:bookmarkStart w:id="117" w:name="Tc_yhA646jja0OrJ5asWdzEvw_1_1"/>
      <w:bookmarkStart w:id="118" w:name="_bf713315_f8fd_4cb8_8c2b_575f331673ed"/>
      <w:bookmarkStart w:id="119" w:name="Tc_os8BwyfuxkWmm42sMZxGbg_50_4"/>
      <w:bookmarkStart w:id="120" w:name="Tc_mnqa56YX20q3tS55Xdz5Zw_50_1"/>
      <w:bookmarkStart w:id="121" w:name="Tc_-adnpX0js0aky3b1FsRwvw_50_0"/>
      <w:bookmarkStart w:id="122" w:name="Tc_hnFGJVGgCkGPib1lRnpNfw_49_0"/>
      <w:bookmarkStart w:id="123" w:name="Tc_P7T30mMvekGbRwnc-cWgbw_48_0"/>
      <w:bookmarkStart w:id="124" w:name="Tc_yop_vmnrYUOFpVj5qMstog_47_0"/>
      <w:bookmarkStart w:id="125" w:name="Tc_0Uo-TMmLO0GOT0f80_aXPg_46_0"/>
      <w:bookmarkStart w:id="126" w:name="Tc_4L4XKinNG0u-Yb7-q5YnkQ_45_0"/>
      <w:bookmarkStart w:id="127" w:name="Tc_0SQKIg6Jo0CxuhOEoxjPXg_44_0"/>
      <w:bookmarkStart w:id="128" w:name="Tc_OeDkRq5XSk6rUVHAb9hyKQ_43_0"/>
      <w:bookmarkStart w:id="129" w:name="Tc_jnBBK-2JMkWTY0NNjitv1w_42_0"/>
      <w:bookmarkStart w:id="130" w:name="Tc_YkVWEuBoPk-QTR2uskgkWQ_41_0"/>
      <w:bookmarkStart w:id="131" w:name="Tc_oWso0uayxUOpz4p28oCBtg_40_0"/>
      <w:bookmarkStart w:id="132" w:name="Tc_J5clJsET6kGYqhuyhZcKjA_39_0"/>
      <w:bookmarkStart w:id="133" w:name="Tc_yq8Z9FSxekmxsLDDFasrmw_38_0"/>
      <w:bookmarkStart w:id="134" w:name="Tc_XmVg7wIn4USy4yD-mIOucQ_37_0"/>
      <w:bookmarkStart w:id="135" w:name="Tc_c3Y3KTmcE06CrrGDZiVTbg_36_0"/>
      <w:bookmarkStart w:id="136" w:name="Tc_LfjSvfXTtEC46LhQhaLXKw_35_0"/>
      <w:bookmarkStart w:id="137" w:name="Tc_ts4WH3Cdv0S-Zau0H2bkUA_34_0"/>
      <w:bookmarkStart w:id="138" w:name="Tc_jcLs0xcIWkGTeRxJV2p9Rg_33_0"/>
      <w:bookmarkStart w:id="139" w:name="Tc_FnsMoJhsSUuYlxQ3Pt1uwA_32_0"/>
      <w:bookmarkStart w:id="140" w:name="Tc_1Fc_Mqngb0qOLEkETmCaTg_31_0"/>
      <w:bookmarkStart w:id="141" w:name="Tc_lgEkwOmqa0uJBtXk7u6JEg_30_0"/>
      <w:bookmarkStart w:id="142" w:name="Tc_5ywrXGlkUkC0cHYd0raxJg_29_0"/>
      <w:bookmarkStart w:id="143" w:name="Tc_-O8SkoapRkmZI9-B4bZTlQ_28_0"/>
      <w:bookmarkStart w:id="144" w:name="Tc_xZJG6p137kCX1j3Dy9uKZg_27_0"/>
      <w:bookmarkStart w:id="145" w:name="Tc_FdNmHXK1akaKbRNz3mjGyQ_26_0"/>
      <w:bookmarkStart w:id="146" w:name="Tc_Iz9FyRd1M06XTlc-EN1gmA_25_0"/>
      <w:bookmarkStart w:id="147" w:name="Tc_xBauAWf6HU6WM7i_giVk-Q_24_0"/>
      <w:bookmarkStart w:id="148" w:name="Tc_N5WgvFT8vkOuWW-1Fqxlaw_23_0"/>
      <w:bookmarkStart w:id="149" w:name="Tc__gKtGEL8qUWsF_fIrqqsqA_22_4"/>
      <w:bookmarkStart w:id="150" w:name="Tc_uX10WOnpFkuSzeyu5om5oA_22_1"/>
      <w:bookmarkStart w:id="151" w:name="Tc_q6JUvrFkiUyCwq10BYWlTw_22_0"/>
      <w:bookmarkStart w:id="152" w:name="Tc_Nhxno3qy00KlrgDG0uvp0Q_21_0"/>
      <w:bookmarkStart w:id="153" w:name="Tc_o9xvg81ixkqtjwO0_F-N_A_20_5"/>
      <w:bookmarkStart w:id="154" w:name="Tc_1bhit2x6R0Cx0A4FZLAbQg_20_2"/>
      <w:bookmarkStart w:id="155" w:name="Tc_QiH8gWA6zkqlU48dVgKwOA_20_0"/>
      <w:bookmarkStart w:id="156" w:name="Tc_73fgxU47d0SZo4w0U6S4ww_19_4"/>
      <w:bookmarkStart w:id="157" w:name="Tc_sQfYYUWtU0KBAfHcwnN2Nw_19_1"/>
      <w:bookmarkStart w:id="158" w:name="Tc_Wdx_6KVkmkeEzck2KIFFMQ_19_0"/>
      <w:bookmarkStart w:id="159" w:name="Tc_2X8PME30r0KQfi_2cTPfrQ_18_0"/>
      <w:bookmarkStart w:id="160" w:name="Tc_hFtn_rEHAkWTJKUpJ03zrQ_17_0"/>
      <w:bookmarkStart w:id="161" w:name="Tc_TpYPBYdg6UOMrwKB-eHjEg_16_0"/>
      <w:bookmarkStart w:id="162" w:name="Tc_n1rhaMFuBUidmlltL39xXw_15_0"/>
      <w:bookmarkStart w:id="163" w:name="Tc_l_r2LIvc3EySkmc4C_Lwpw_14_0"/>
      <w:bookmarkStart w:id="164" w:name="Tc_-9f-4YdLT0KrNUVoi5AcYQ_13_0"/>
      <w:bookmarkStart w:id="165" w:name="Tc_WkaGlozb8kS5yUQJzFnwPw_12_0"/>
      <w:bookmarkStart w:id="166" w:name="Tc_7WasRpOJwUGxbwm3k3CIcA_11_0"/>
      <w:bookmarkStart w:id="167" w:name="Tc_vSZ9rP13MUmZjixuiCzAyg_10_0"/>
      <w:bookmarkStart w:id="168" w:name="Tc_mZsEqU_pBkiFsqiIbv3idw_9_0"/>
      <w:bookmarkStart w:id="169" w:name="Tc_rwRCJBgATEC1aQe9TzlhXA_8_0"/>
      <w:bookmarkStart w:id="170" w:name="Tc_cLz5u3Tf5UGOk0Ue5h_rzg_7_0"/>
      <w:bookmarkStart w:id="171" w:name="Tc_R9WDq3zbnk2KHicyDBU7fw_6_4"/>
      <w:bookmarkStart w:id="172" w:name="Tc_4zMJXXv19EKTlGBaTJ7xPQ_6_1"/>
      <w:bookmarkStart w:id="173" w:name="Tc_4xsXSWsQZEqx6WnTDvr3yg_6_0"/>
      <w:bookmarkStart w:id="174" w:name="Tc_Xb3Mb2efskmY_tGuPykTng_5_0"/>
      <w:bookmarkStart w:id="175" w:name="Tc_OX9CxrhzSEeJzjrEqtY9Ww_4_0"/>
      <w:bookmarkStart w:id="176" w:name="Tc_x7GqzDbx4kqSIvKFUqMS1Q_3_1"/>
      <w:bookmarkStart w:id="177" w:name="Tc_vSxDA6z8okqLwS--MYqmkw_2_4"/>
      <w:bookmarkStart w:id="178" w:name="Tc_K2JfmSGaRkyJz071g-UOFg_2_1"/>
      <w:bookmarkStart w:id="179" w:name="Tc_RkSCeKFLVky4wbnBRyaTlg_1_4"/>
      <w:bookmarkStart w:id="180" w:name="Tc_yhA646jja0OrJ5asWdzEvw_1_1"/>
      <w:bookmarkStart w:id="181" w:name="_bf713315_f8fd_4cb8_8c2b_575f331673ed"/>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tbl>
      <w:tblPr>
        <w:tblW w:w="10205" w:type="dxa"/>
        <w:jc w:val="left"/>
        <w:tblInd w:w="0" w:type="dxa"/>
        <w:tblLayout w:type="fixed"/>
        <w:tblCellMar>
          <w:top w:w="0" w:type="dxa"/>
          <w:left w:w="0" w:type="dxa"/>
          <w:bottom w:w="0" w:type="dxa"/>
          <w:right w:w="0" w:type="dxa"/>
        </w:tblCellMar>
      </w:tblPr>
      <w:tblGrid>
        <w:gridCol w:w="7674"/>
        <w:gridCol w:w="196"/>
        <w:gridCol w:w="826"/>
        <w:gridCol w:w="346"/>
        <w:gridCol w:w="213"/>
        <w:gridCol w:w="950"/>
      </w:tblGrid>
      <w:tr>
        <w:trPr/>
        <w:tc>
          <w:tcPr>
            <w:tcW w:w="76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4872990" cy="175260"/>
                      <wp:effectExtent l="0" t="0" r="0" b="0"/>
                      <wp:wrapNone/>
                      <wp:docPr id="1" name="Frame1"/>
                      <a:graphic xmlns:a="http://schemas.openxmlformats.org/drawingml/2006/main">
                        <a:graphicData uri="http://schemas.microsoft.com/office/word/2010/wordprocessingShape">
                          <wps:wsp>
                            <wps:cNvSpPr txBox="1"/>
                            <wps:spPr>
                              <a:xfrm>
                                <a:off x="0" y="0"/>
                                <a:ext cx="4872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24460" cy="175260"/>
                      <wp:effectExtent l="0" t="0" r="0" b="0"/>
                      <wp:wrapNone/>
                      <wp:docPr id="2" name="Frame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524510" cy="175260"/>
                      <wp:effectExtent l="0" t="0" r="0" b="0"/>
                      <wp:wrapNone/>
                      <wp:docPr id="3" name="Frame3"/>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19710" cy="175260"/>
                      <wp:effectExtent l="0" t="0" r="0" b="0"/>
                      <wp:wrapNone/>
                      <wp:docPr id="4" name="Frame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35255" cy="175260"/>
                      <wp:effectExtent l="0" t="0" r="0" b="0"/>
                      <wp:wrapNone/>
                      <wp:docPr id="5" name="Frame5"/>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03250" cy="175260"/>
                      <wp:effectExtent l="0" t="0" r="0" b="0"/>
                      <wp:wrapNone/>
                      <wp:docPr id="6" name="Frame6"/>
                      <a:graphic xmlns:a="http://schemas.openxmlformats.org/drawingml/2006/main">
                        <a:graphicData uri="http://schemas.microsoft.com/office/word/2010/wordprocessingShape">
                          <wps:wsp>
                            <wps:cNvSpPr txBox="1"/>
                            <wps:spPr>
                              <a:xfrm>
                                <a:off x="0" y="0"/>
                                <a:ext cx="603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674" w:type="dxa"/>
            <w:tcBorders/>
            <w:vAlign w:val="center"/>
          </w:tcPr>
          <w:p>
            <w:pPr>
              <w:pStyle w:val="TableContents"/>
              <w:bidi w:val="0"/>
              <w:spacing w:before="0" w:after="1"/>
              <w:ind w:left="0" w:right="0" w:hanging="0"/>
              <w:jc w:val="left"/>
              <w:rPr/>
            </w:pPr>
            <w:r>
              <w:rPr/>
              <w:t>​</w:t>
            </w:r>
          </w:p>
        </w:tc>
        <w:tc>
          <w:tcPr>
            <w:tcW w:w="102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center"/>
              <w:rPr/>
            </w:pPr>
            <w:r>
              <w:rPr/>
              <w:t>  ​ ​ ​</w:t>
            </w:r>
          </w:p>
        </w:tc>
        <w:tc>
          <w:tcPr>
            <w:tcW w:w="116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674" w:type="dxa"/>
            <w:tcBorders/>
            <w:vAlign w:val="center"/>
          </w:tcPr>
          <w:p>
            <w:pPr>
              <w:pStyle w:val="TableContents"/>
              <w:bidi w:val="0"/>
              <w:spacing w:before="0" w:after="1"/>
              <w:ind w:left="0" w:right="0" w:hanging="0"/>
              <w:jc w:val="left"/>
              <w:rPr/>
            </w:pPr>
            <w:r>
              <w:rPr/>
              <w:t>​</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w:t>
            </w:r>
          </w:p>
        </w:tc>
        <w:tc>
          <w:tcPr>
            <w:tcW w:w="116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674" w:type="dxa"/>
            <w:tcBorders/>
            <w:vAlign w:val="center"/>
          </w:tcPr>
          <w:p>
            <w:pPr>
              <w:pStyle w:val="TableContents"/>
              <w:bidi w:val="0"/>
              <w:spacing w:before="0" w:after="1"/>
              <w:ind w:left="0" w:right="0" w:hanging="0"/>
              <w:jc w:val="left"/>
              <w:rPr/>
            </w:pPr>
            <w:r>
              <w:rPr/>
              <w:t>​</w:t>
            </w:r>
          </w:p>
        </w:tc>
        <w:tc>
          <w:tcPr>
            <w:tcW w:w="102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1"/>
              <w:ind w:left="0" w:right="0" w:hanging="0"/>
              <w:jc w:val="center"/>
              <w:rPr/>
            </w:pPr>
            <w:r>
              <w:rPr/>
              <w:t>  ​ ​ ​</w:t>
            </w:r>
          </w:p>
        </w:tc>
        <w:tc>
          <w:tcPr>
            <w:tcW w:w="213" w:type="dxa"/>
            <w:tcBorders/>
            <w:vAlign w:val="center"/>
          </w:tcPr>
          <w:p>
            <w:pPr>
              <w:pStyle w:val="TableContents"/>
              <w:bidi w:val="0"/>
              <w:spacing w:before="0" w:after="1"/>
              <w:ind w:left="0" w:right="0" w:hanging="0"/>
              <w:jc w:val="center"/>
              <w:rPr/>
            </w:pPr>
            <w:r>
              <w:rPr/>
              <w:t>​</w:t>
            </w:r>
          </w:p>
        </w:tc>
        <w:tc>
          <w:tcPr>
            <w:tcW w:w="950" w:type="dxa"/>
            <w:tcBorders/>
            <w:vAlign w:val="center"/>
          </w:tcPr>
          <w:p>
            <w:pPr>
              <w:pStyle w:val="TableContents"/>
              <w:bidi w:val="0"/>
              <w:spacing w:before="0" w:after="1"/>
              <w:ind w:left="0" w:right="0" w:hanging="0"/>
              <w:jc w:val="center"/>
              <w:rPr/>
            </w:pPr>
            <w:r>
              <w:rPr/>
              <w:t>​</w:t>
            </w:r>
          </w:p>
        </w:tc>
      </w:tr>
      <w:tr>
        <w:trPr/>
        <w:tc>
          <w:tcPr>
            <w:tcW w:w="7674" w:type="dxa"/>
            <w:tcBorders/>
            <w:shd w:fill="CCEEFF" w:val="clear"/>
            <w:vAlign w:val="center"/>
          </w:tcPr>
          <w:p>
            <w:pPr>
              <w:pStyle w:val="TableContents"/>
              <w:bidi w:val="0"/>
              <w:spacing w:before="0" w:after="1"/>
              <w:ind w:left="0" w:right="0" w:hanging="0"/>
              <w:jc w:val="both"/>
              <w:rPr>
                <w:rFonts w:ascii="Times New Roman;Times;serif" w:hAnsi="Times New Roman;Times;serif"/>
                <w:b/>
                <w:sz w:val="16"/>
              </w:rPr>
            </w:pPr>
            <w:r>
              <w:rPr>
                <w:rFonts w:ascii="Times New Roman;Times;serif" w:hAnsi="Times New Roman;Times;serif"/>
                <w:b/>
                <w:sz w:val="16"/>
              </w:rPr>
              <w:t>Assets</w:t>
            </w:r>
          </w:p>
        </w:tc>
        <w:tc>
          <w:tcPr>
            <w:tcW w:w="196" w:type="dxa"/>
            <w:tcBorders/>
            <w:shd w:fill="CCEEFF" w:val="clear"/>
            <w:vAlign w:val="center"/>
          </w:tcPr>
          <w:p>
            <w:pPr>
              <w:pStyle w:val="TableContents"/>
              <w:bidi w:val="0"/>
              <w:spacing w:before="0" w:after="1"/>
              <w:ind w:left="0" w:right="0" w:hanging="0"/>
              <w:jc w:val="center"/>
              <w:rPr/>
            </w:pPr>
            <w:r>
              <w:rPr/>
              <w:t>​</w:t>
            </w:r>
          </w:p>
        </w:tc>
        <w:tc>
          <w:tcPr>
            <w:tcW w:w="82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213" w:type="dxa"/>
            <w:tcBorders/>
            <w:shd w:fill="CCEEFF" w:val="clear"/>
            <w:vAlign w:val="center"/>
          </w:tcPr>
          <w:p>
            <w:pPr>
              <w:pStyle w:val="TableContents"/>
              <w:bidi w:val="0"/>
              <w:spacing w:before="0" w:after="1"/>
              <w:ind w:left="0" w:right="0" w:hanging="0"/>
              <w:jc w:val="center"/>
              <w:rPr/>
            </w:pPr>
            <w:r>
              <w:rPr/>
              <w:t>​</w:t>
            </w:r>
          </w:p>
        </w:tc>
        <w:tc>
          <w:tcPr>
            <w:tcW w:w="950" w:type="dxa"/>
            <w:tcBorders/>
            <w:shd w:fill="CCEEFF" w:val="clear"/>
            <w:vAlign w:val="center"/>
          </w:tcPr>
          <w:p>
            <w:pPr>
              <w:pStyle w:val="TableContents"/>
              <w:bidi w:val="0"/>
              <w:spacing w:before="0" w:after="1"/>
              <w:ind w:left="0" w:right="0" w:hanging="0"/>
              <w:jc w:val="center"/>
              <w:rPr/>
            </w:pPr>
            <w:r>
              <w:rPr/>
              <w:t>​</w:t>
            </w:r>
          </w:p>
        </w:tc>
      </w:tr>
      <w:tr>
        <w:trPr/>
        <w:tc>
          <w:tcPr>
            <w:tcW w:w="7674"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Current assets:</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213" w:type="dxa"/>
            <w:tcBorders/>
            <w:vAlign w:val="center"/>
          </w:tcPr>
          <w:p>
            <w:pPr>
              <w:pStyle w:val="TableContents"/>
              <w:bidi w:val="0"/>
              <w:spacing w:before="0" w:after="1"/>
              <w:ind w:left="0" w:right="0" w:hanging="0"/>
              <w:jc w:val="left"/>
              <w:rPr/>
            </w:pPr>
            <w:r>
              <w:rPr/>
              <w:t>​</w:t>
            </w:r>
          </w:p>
        </w:tc>
        <w:tc>
          <w:tcPr>
            <w:tcW w:w="950" w:type="dxa"/>
            <w:tcBorders/>
            <w:vAlign w:val="center"/>
          </w:tcPr>
          <w:p>
            <w:pPr>
              <w:pStyle w:val="TableContents"/>
              <w:bidi w:val="0"/>
              <w:spacing w:before="0" w:after="1"/>
              <w:ind w:left="0" w:right="0" w:hanging="0"/>
              <w:jc w:val="left"/>
              <w:rPr/>
            </w:pPr>
            <w:r>
              <w:rPr/>
              <w:t>​</w:t>
            </w:r>
          </w:p>
        </w:tc>
      </w:tr>
      <w:tr>
        <w:trPr/>
        <w:tc>
          <w:tcPr>
            <w:tcW w:w="767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230,489</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5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314,009</w:t>
            </w:r>
          </w:p>
        </w:tc>
      </w:tr>
      <w:tr>
        <w:trPr/>
        <w:tc>
          <w:tcPr>
            <w:tcW w:w="767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Funds held for customers</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26,497</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95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24,286</w:t>
            </w:r>
          </w:p>
        </w:tc>
      </w:tr>
      <w:tr>
        <w:trPr/>
        <w:tc>
          <w:tcPr>
            <w:tcW w:w="767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receivable, net of allowance of $12,271 and $11,466, respectively</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153,432</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95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183,446</w:t>
            </w:r>
          </w:p>
        </w:tc>
      </w:tr>
      <w:tr>
        <w:trPr/>
        <w:tc>
          <w:tcPr>
            <w:tcW w:w="767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Prepaid expenses and other current assets</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81,527</w:t>
            </w:r>
          </w:p>
        </w:tc>
        <w:tc>
          <w:tcPr>
            <w:tcW w:w="346"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5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38,966</w:t>
            </w:r>
          </w:p>
        </w:tc>
      </w:tr>
      <w:tr>
        <w:trPr/>
        <w:tc>
          <w:tcPr>
            <w:tcW w:w="767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current assets</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491,945</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560,707</w:t>
            </w:r>
          </w:p>
        </w:tc>
      </w:tr>
      <w:tr>
        <w:trPr/>
        <w:tc>
          <w:tcPr>
            <w:tcW w:w="7674"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Property and equipment, net of accumulated depreciation</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220,471</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95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209,727</w:t>
            </w:r>
          </w:p>
        </w:tc>
      </w:tr>
      <w:tr>
        <w:trPr/>
        <w:tc>
          <w:tcPr>
            <w:tcW w:w="7674" w:type="dxa"/>
            <w:tcBorders/>
            <w:shd w:fill="CCEEFF" w:val="clear"/>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Capitalized software, net of accumulated amortization</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34,262</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95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35,480</w:t>
            </w:r>
          </w:p>
        </w:tc>
      </w:tr>
      <w:tr>
        <w:trPr/>
        <w:tc>
          <w:tcPr>
            <w:tcW w:w="7674"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 xml:space="preserve">Goodwill and other intangible assets </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402,734</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95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396,006</w:t>
            </w:r>
          </w:p>
        </w:tc>
      </w:tr>
      <w:tr>
        <w:trPr/>
        <w:tc>
          <w:tcPr>
            <w:tcW w:w="7674" w:type="dxa"/>
            <w:tcBorders/>
            <w:shd w:fill="CCEEFF" w:val="clear"/>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Deferred commissions</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29,166</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95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31,907</w:t>
            </w:r>
          </w:p>
        </w:tc>
      </w:tr>
      <w:tr>
        <w:trPr/>
        <w:tc>
          <w:tcPr>
            <w:tcW w:w="7674"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Deferred income tax asset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127</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95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85</w:t>
            </w:r>
          </w:p>
        </w:tc>
      </w:tr>
      <w:tr>
        <w:trPr/>
        <w:tc>
          <w:tcPr>
            <w:tcW w:w="7674" w:type="dxa"/>
            <w:tcBorders/>
            <w:shd w:fill="CCEEFF" w:val="clear"/>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Operating lease right-of-use assets</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8,366</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95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9,678</w:t>
            </w:r>
          </w:p>
        </w:tc>
      </w:tr>
      <w:tr>
        <w:trPr/>
        <w:tc>
          <w:tcPr>
            <w:tcW w:w="7674"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 xml:space="preserve">Long-term investment </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15,000</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95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15,000</w:t>
            </w:r>
          </w:p>
        </w:tc>
      </w:tr>
      <w:tr>
        <w:trPr/>
        <w:tc>
          <w:tcPr>
            <w:tcW w:w="7674" w:type="dxa"/>
            <w:tcBorders/>
            <w:shd w:fill="CCEEFF" w:val="clear"/>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Other assets</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8,076</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12,245</w:t>
            </w:r>
          </w:p>
        </w:tc>
      </w:tr>
      <w:tr>
        <w:trPr/>
        <w:tc>
          <w:tcPr>
            <w:tcW w:w="767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assets</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1,210,147</w:t>
            </w:r>
          </w:p>
        </w:tc>
        <w:tc>
          <w:tcPr>
            <w:tcW w:w="346" w:type="dxa"/>
            <w:tcBorders/>
            <w:vAlign w:val="center"/>
          </w:tcPr>
          <w:p>
            <w:pPr>
              <w:pStyle w:val="TableContents"/>
              <w:bidi w:val="0"/>
              <w:spacing w:before="0" w:after="1"/>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5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1,270,835</w:t>
            </w:r>
          </w:p>
        </w:tc>
      </w:tr>
      <w:tr>
        <w:trPr/>
        <w:tc>
          <w:tcPr>
            <w:tcW w:w="7674" w:type="dxa"/>
            <w:tcBorders/>
            <w:shd w:fill="CCEEFF" w:val="clear"/>
            <w:vAlign w:val="center"/>
          </w:tcPr>
          <w:p>
            <w:pPr>
              <w:pStyle w:val="TableContents"/>
              <w:bidi w:val="0"/>
              <w:spacing w:before="0" w:after="1"/>
              <w:ind w:left="0" w:right="0" w:hanging="0"/>
              <w:jc w:val="both"/>
              <w:rPr>
                <w:rFonts w:ascii="Times New Roman;Times;serif" w:hAnsi="Times New Roman;Times;serif"/>
                <w:b/>
                <w:sz w:val="16"/>
              </w:rPr>
            </w:pPr>
            <w:r>
              <w:rPr>
                <w:rFonts w:ascii="Times New Roman;Times;serif" w:hAnsi="Times New Roman;Times;serif"/>
                <w:b/>
                <w:sz w:val="16"/>
              </w:rPr>
              <w:t>Liabilities and Stockholders' Equity</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950" w:type="dxa"/>
            <w:tcBorders/>
            <w:shd w:fill="CCEEFF" w:val="clear"/>
            <w:vAlign w:val="center"/>
          </w:tcPr>
          <w:p>
            <w:pPr>
              <w:pStyle w:val="TableContents"/>
              <w:bidi w:val="0"/>
              <w:spacing w:before="0" w:after="1"/>
              <w:ind w:left="0" w:right="0" w:hanging="0"/>
              <w:jc w:val="right"/>
              <w:rPr/>
            </w:pPr>
            <w:r>
              <w:rPr/>
              <w:t>​</w:t>
            </w:r>
          </w:p>
        </w:tc>
      </w:tr>
      <w:tr>
        <w:trPr/>
        <w:tc>
          <w:tcPr>
            <w:tcW w:w="7674"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Current liabilities:</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950" w:type="dxa"/>
            <w:tcBorders/>
            <w:vAlign w:val="center"/>
          </w:tcPr>
          <w:p>
            <w:pPr>
              <w:pStyle w:val="TableContents"/>
              <w:bidi w:val="0"/>
              <w:spacing w:before="0" w:after="1"/>
              <w:ind w:left="0" w:right="0" w:hanging="0"/>
              <w:jc w:val="right"/>
              <w:rPr/>
            </w:pPr>
            <w:r>
              <w:rPr/>
              <w:t>  ​</w:t>
            </w:r>
          </w:p>
        </w:tc>
      </w:tr>
      <w:tr>
        <w:trPr/>
        <w:tc>
          <w:tcPr>
            <w:tcW w:w="767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37,313</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5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37,557</w:t>
            </w:r>
          </w:p>
        </w:tc>
      </w:tr>
      <w:tr>
        <w:trPr/>
        <w:tc>
          <w:tcPr>
            <w:tcW w:w="767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Accrued expenses</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34,549</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95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43,642</w:t>
            </w:r>
          </w:p>
        </w:tc>
      </w:tr>
      <w:tr>
        <w:trPr/>
        <w:tc>
          <w:tcPr>
            <w:tcW w:w="767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Customer funds obligations</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24,639</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95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21,802</w:t>
            </w:r>
          </w:p>
        </w:tc>
      </w:tr>
      <w:tr>
        <w:trPr/>
        <w:tc>
          <w:tcPr>
            <w:tcW w:w="767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Accrued salaries and benefits</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20,612</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95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23,992</w:t>
            </w:r>
          </w:p>
        </w:tc>
      </w:tr>
      <w:tr>
        <w:trPr/>
        <w:tc>
          <w:tcPr>
            <w:tcW w:w="767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Accrued variable compensation</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27,552</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95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34,593</w:t>
            </w:r>
          </w:p>
        </w:tc>
      </w:tr>
      <w:tr>
        <w:trPr/>
        <w:tc>
          <w:tcPr>
            <w:tcW w:w="767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revenue, current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382,151</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95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382,839</w:t>
            </w:r>
          </w:p>
        </w:tc>
      </w:tr>
      <w:tr>
        <w:trPr/>
        <w:tc>
          <w:tcPr>
            <w:tcW w:w="767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portion of operating lease liabilities</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4,470</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95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4,283</w:t>
            </w:r>
          </w:p>
        </w:tc>
      </w:tr>
      <w:tr>
        <w:trPr/>
        <w:tc>
          <w:tcPr>
            <w:tcW w:w="767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portion of finance lease liabilities</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95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w:t>
            </w:r>
          </w:p>
        </w:tc>
      </w:tr>
      <w:tr>
        <w:trPr/>
        <w:tc>
          <w:tcPr>
            <w:tcW w:w="767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Purchase commitment and contingent consideration liabilities, current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33,100</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25,900</w:t>
            </w:r>
          </w:p>
        </w:tc>
      </w:tr>
      <w:tr>
        <w:trPr/>
        <w:tc>
          <w:tcPr>
            <w:tcW w:w="767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current liabilities</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564,419</w:t>
            </w:r>
          </w:p>
        </w:tc>
        <w:tc>
          <w:tcPr>
            <w:tcW w:w="346"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5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574,663</w:t>
            </w:r>
          </w:p>
        </w:tc>
      </w:tr>
      <w:tr>
        <w:trPr/>
        <w:tc>
          <w:tcPr>
            <w:tcW w:w="7674" w:type="dxa"/>
            <w:tcBorders/>
            <w:shd w:fill="CCEEFF" w:val="clear"/>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Deferred revenue, net of current portion</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4,750</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95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5,209</w:t>
            </w:r>
          </w:p>
        </w:tc>
      </w:tr>
      <w:tr>
        <w:trPr/>
        <w:tc>
          <w:tcPr>
            <w:tcW w:w="767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Debt, net of current portion</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338,605</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95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337,477</w:t>
            </w:r>
          </w:p>
        </w:tc>
      </w:tr>
      <w:tr>
        <w:trPr/>
        <w:tc>
          <w:tcPr>
            <w:tcW w:w="767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Operating lease liabilities, net of current portion</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6,776</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95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8,903</w:t>
            </w:r>
          </w:p>
        </w:tc>
      </w:tr>
      <w:tr>
        <w:trPr/>
        <w:tc>
          <w:tcPr>
            <w:tcW w:w="767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Finance lease liabilities, net of current portion</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95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w:t>
            </w:r>
          </w:p>
        </w:tc>
      </w:tr>
      <w:tr>
        <w:trPr/>
        <w:tc>
          <w:tcPr>
            <w:tcW w:w="767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Purchase commitment and contingent consideration liabilities, net of current portion</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40,900</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95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79,600</w:t>
            </w:r>
          </w:p>
        </w:tc>
      </w:tr>
      <w:tr>
        <w:trPr/>
        <w:tc>
          <w:tcPr>
            <w:tcW w:w="767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income tax liabilities</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13,172</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95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5,664</w:t>
            </w:r>
          </w:p>
        </w:tc>
      </w:tr>
      <w:tr>
        <w:trPr/>
        <w:tc>
          <w:tcPr>
            <w:tcW w:w="7674" w:type="dxa"/>
            <w:tcBorders/>
            <w:shd w:fill="CCEEFF" w:val="clear"/>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Deferred other liabilities</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380</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345</w:t>
            </w:r>
          </w:p>
        </w:tc>
      </w:tr>
      <w:tr>
        <w:trPr/>
        <w:tc>
          <w:tcPr>
            <w:tcW w:w="767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liabilities</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969,040</w:t>
            </w:r>
          </w:p>
        </w:tc>
        <w:tc>
          <w:tcPr>
            <w:tcW w:w="346"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5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1,011,915</w:t>
            </w:r>
          </w:p>
        </w:tc>
      </w:tr>
      <w:tr>
        <w:trPr/>
        <w:tc>
          <w:tcPr>
            <w:tcW w:w="7674" w:type="dxa"/>
            <w:tcBorders/>
            <w:shd w:fill="CCEEFF" w:val="clear"/>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Commitments and contingencies (Note 12)</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950" w:type="dxa"/>
            <w:tcBorders/>
            <w:shd w:fill="CCEEFF" w:val="clear"/>
            <w:vAlign w:val="center"/>
          </w:tcPr>
          <w:p>
            <w:pPr>
              <w:pStyle w:val="TableContents"/>
              <w:bidi w:val="0"/>
              <w:spacing w:before="0" w:after="1"/>
              <w:ind w:left="0" w:right="0" w:hanging="0"/>
              <w:jc w:val="right"/>
              <w:rPr/>
            </w:pPr>
            <w:r>
              <w:rPr/>
              <w:t>  ​</w:t>
            </w:r>
          </w:p>
        </w:tc>
      </w:tr>
      <w:tr>
        <w:trPr/>
        <w:tc>
          <w:tcPr>
            <w:tcW w:w="7674"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Stockholders' equity:</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950" w:type="dxa"/>
            <w:tcBorders/>
            <w:vAlign w:val="center"/>
          </w:tcPr>
          <w:p>
            <w:pPr>
              <w:pStyle w:val="TableContents"/>
              <w:bidi w:val="0"/>
              <w:spacing w:before="0" w:after="1"/>
              <w:ind w:left="0" w:right="0" w:hanging="0"/>
              <w:jc w:val="right"/>
              <w:rPr/>
            </w:pPr>
            <w:r>
              <w:rPr/>
              <w:t>  ​</w:t>
            </w:r>
          </w:p>
        </w:tc>
      </w:tr>
      <w:tr>
        <w:trPr/>
        <w:tc>
          <w:tcPr>
            <w:tcW w:w="767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Preferred shares, $0.001 par value, 30,000 shares authorized; no shares issued and outstanding</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950"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767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Class A voting common stock, $0.001 par value, 300,000 shares authorized; 79,414 and 77,580 shares issued and outstanding, respectively</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79</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95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w:t>
            </w:r>
          </w:p>
        </w:tc>
      </w:tr>
      <w:tr>
        <w:trPr/>
        <w:tc>
          <w:tcPr>
            <w:tcW w:w="767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Class B voting common stock, $0.001 par value, 150,000 shares authorized; 82,156 and 82,156 shares issued and outstanding, respectively</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82</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95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82</w:t>
            </w:r>
          </w:p>
        </w:tc>
      </w:tr>
      <w:tr>
        <w:trPr/>
        <w:tc>
          <w:tcPr>
            <w:tcW w:w="767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Treasury stock, at cost, 3,888 and 504 shares, respectively</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(56,696)</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95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(10,094)</w:t>
            </w:r>
          </w:p>
        </w:tc>
      </w:tr>
      <w:tr>
        <w:trPr/>
        <w:tc>
          <w:tcPr>
            <w:tcW w:w="767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Additional paid in capital</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347,768</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95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316,327</w:t>
            </w:r>
          </w:p>
        </w:tc>
      </w:tr>
      <w:tr>
        <w:trPr/>
        <w:tc>
          <w:tcPr>
            <w:tcW w:w="767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Accumulated deficit </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(39,571)</w:t>
            </w:r>
          </w:p>
        </w:tc>
        <w:tc>
          <w:tcPr>
            <w:tcW w:w="34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95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(46,104)</w:t>
            </w:r>
          </w:p>
        </w:tc>
      </w:tr>
      <w:tr>
        <w:trPr/>
        <w:tc>
          <w:tcPr>
            <w:tcW w:w="767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Accumulated other comprehensive loss</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(10,555)</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(1,368)</w:t>
            </w:r>
          </w:p>
        </w:tc>
      </w:tr>
      <w:tr>
        <w:trPr/>
        <w:tc>
          <w:tcPr>
            <w:tcW w:w="767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stockholders' equity</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241,107</w:t>
            </w:r>
          </w:p>
        </w:tc>
        <w:tc>
          <w:tcPr>
            <w:tcW w:w="346"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5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258,920</w:t>
            </w:r>
          </w:p>
        </w:tc>
      </w:tr>
      <w:tr>
        <w:trPr/>
        <w:tc>
          <w:tcPr>
            <w:tcW w:w="767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liabilities and stockholders' equity</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1,210,147</w:t>
            </w:r>
          </w:p>
        </w:tc>
        <w:tc>
          <w:tcPr>
            <w:tcW w:w="346" w:type="dxa"/>
            <w:tcBorders/>
            <w:shd w:fill="CCEEFF" w:val="clear"/>
            <w:vAlign w:val="center"/>
          </w:tcPr>
          <w:p>
            <w:pPr>
              <w:pStyle w:val="TableContents"/>
              <w:bidi w:val="0"/>
              <w:spacing w:before="0" w:after="1"/>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5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1,270,835</w:t>
            </w:r>
          </w:p>
        </w:tc>
      </w:tr>
      <w:tr>
        <w:trPr/>
        <w:tc>
          <w:tcPr>
            <w:tcW w:w="10205" w:type="dxa"/>
            <w:gridSpan w:val="6"/>
            <w:tcBorders/>
            <w:vAlign w:val="center"/>
          </w:tcPr>
          <w:p>
            <w:pPr>
              <w:pStyle w:val="TableContents"/>
              <w:bidi w:val="0"/>
              <w:spacing w:before="0" w:after="1"/>
              <w:ind w:left="0" w:right="0" w:hanging="0"/>
              <w:jc w:val="left"/>
              <w:rPr/>
            </w:pPr>
            <w:r>
              <w:rPr/>
              <w:t>​</w:t>
            </w:r>
          </w:p>
        </w:tc>
      </w:tr>
    </w:tbl>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18"/>
        </w:rPr>
      </w:pPr>
      <w:bookmarkStart w:id="182" w:name="CondensedConsolidatedStatementsofCompre"/>
      <w:bookmarkStart w:id="183" w:name="_15e47d8a_6966_4495_a04d_559959fc7095"/>
      <w:bookmarkEnd w:id="182"/>
      <w:bookmarkEnd w:id="183"/>
      <w:r>
        <w:rPr>
          <w:rFonts w:ascii="Times New Roman;Times;serif" w:hAnsi="Times New Roman;Times;serif"/>
          <w:b/>
          <w:sz w:val="18"/>
        </w:rPr>
        <w:t>Vertex, Inc. and Subsidiaries</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Condensed Consolidated Statements of Comprehensive Income (Loss) </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 the three and six months ended June 30, 2026 and 2025 (unaudited)</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(Amounts in thousands, except per share data)</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84" w:name="Tc_wm-EsQ6lX0iD0F707qD82Q_34_11"/>
      <w:bookmarkStart w:id="185" w:name="Tc_jKR38BYOu0ugtqVhHqqELQ_34_8"/>
      <w:bookmarkStart w:id="186" w:name="Tc_hxQPsgONFU2GEOz5rXETcg_34_5"/>
      <w:bookmarkStart w:id="187" w:name="Tc__zzDcnkDlUahvtngSWmveQ_34_2"/>
      <w:bookmarkStart w:id="188" w:name="Tc_glTBHlGdqkOIS-B371Ef0g_34_0"/>
      <w:bookmarkStart w:id="189" w:name="Tc_QoiHkCNpiUCvw5cvaScCZg_33_11"/>
      <w:bookmarkStart w:id="190" w:name="Tc_WgiWwy_qIkGx9L6fGwwatw_33_8"/>
      <w:bookmarkStart w:id="191" w:name="Tc_yW1fZz2nNkCb93Xf_EXGEw_33_5"/>
      <w:bookmarkStart w:id="192" w:name="Tc_fL2-UcmE8EiIzFLYff7pZw_33_2"/>
      <w:bookmarkStart w:id="193" w:name="Tc_-Z9Hf1hyLUCC9JgReE9Ibg_33_0"/>
      <w:bookmarkStart w:id="194" w:name="Tc_J4PL7oXR9E2XD4dpKdo62A_31_11"/>
      <w:bookmarkStart w:id="195" w:name="Tc__zjHVzaW70Olgi7oTMxd_Q_31_8"/>
      <w:bookmarkStart w:id="196" w:name="Tc_5l7S_pNVSUG-pEVRbgRVSA_31_5"/>
      <w:bookmarkStart w:id="197" w:name="Tc_cePGHMN4u0qs-i-v7PTK5w_31_2"/>
      <w:bookmarkStart w:id="198" w:name="Tc_pu6AbKqHdkGnnd-I0fAXpA_31_0"/>
      <w:bookmarkStart w:id="199" w:name="Tc__ZgAFXrqPUOR_c218bBHMw_30_0"/>
      <w:bookmarkStart w:id="200" w:name="Tc_0IIfEc4560q-Uzh9L5ZQkg_29_9"/>
      <w:bookmarkStart w:id="201" w:name="Tc_Ha1UnehZsU6Bu8WDLlx_BA_29_6"/>
      <w:bookmarkStart w:id="202" w:name="Tc_drtzYos6pEaOBNzAW6slCw_29_3"/>
      <w:bookmarkStart w:id="203" w:name="Tc_STTKscC_ckiyeCrdgZX9xg_29_0"/>
      <w:bookmarkStart w:id="204" w:name="Tc_B2dLye3CPEeOtpjEkkCYug_28_0"/>
      <w:bookmarkStart w:id="205" w:name="Tc_EmuIIIPSQU-B1hSBOvOPkw_27_0"/>
      <w:bookmarkStart w:id="206" w:name="Tc_Otjm3d0RHEGDJBAgVm_3bw_26_0"/>
      <w:bookmarkStart w:id="207" w:name="Tc_w-wTQEf68UKTYsTu4_Tp_Q_25_0"/>
      <w:bookmarkStart w:id="208" w:name="Tc_XlEOzyjwZkSGXQo-TULZEg_24_0"/>
      <w:bookmarkStart w:id="209" w:name="Tc_jDhR54ZEc0-V4VMOGt0g1g_23_0"/>
      <w:bookmarkStart w:id="210" w:name="Tc_oSviJk2k10C9xCQWPx9LcQ_22_0"/>
      <w:bookmarkStart w:id="211" w:name="Tc_Lo0jU8BByk2ifywpKreZfg_21_0"/>
      <w:bookmarkStart w:id="212" w:name="Tc_5j_TmMY2rkWLs4kxjjXJPA_20_0"/>
      <w:bookmarkStart w:id="213" w:name="Tc_BcaixgdrlUiaUspWi35Jww_19_0"/>
      <w:bookmarkStart w:id="214" w:name="Tc_ShGHLrqgikavViKIz9rFUQ_18_0"/>
      <w:bookmarkStart w:id="215" w:name="Tc_IHpoLGoYWEamJIlFgSEEvQ_17_0"/>
      <w:bookmarkStart w:id="216" w:name="Tc_fNhbYZ-Jm0KD7UHaNiSXEA_16_0"/>
      <w:bookmarkStart w:id="217" w:name="Tc_dQJMeagoNUu74NZwAwsicQ_15_0"/>
      <w:bookmarkStart w:id="218" w:name="Tc_G6gm8-upI0ubI5ewKkc17w_14_0"/>
      <w:bookmarkStart w:id="219" w:name="Tc_nFrghqTUTEuP0DaJRTSkew_13_0"/>
      <w:bookmarkStart w:id="220" w:name="Tc_lj1O9st3n0eLH95e9pbnsA_12_0"/>
      <w:bookmarkStart w:id="221" w:name="Tc_cWZxPRoAV0WKNbQLOI5h5A_11_0"/>
      <w:bookmarkStart w:id="222" w:name="Tc_zmdKLN-4y06DCjjc77VM0g_10_0"/>
      <w:bookmarkStart w:id="223" w:name="Tc_XwyTUUGVf02dO03-ULWWbw_9_0"/>
      <w:bookmarkStart w:id="224" w:name="Tc_QdDUUP-4nUOkQSuQtQf4qg_8_0"/>
      <w:bookmarkStart w:id="225" w:name="Tc_JmZWoqu4oEqQU_N-CzzFyw_7_0"/>
      <w:bookmarkStart w:id="226" w:name="Tc_fWRLkz_RLUiM-G-1uuRS2A_6_0"/>
      <w:bookmarkStart w:id="227" w:name="Tc_NwPADN1lf0mDGpEWQ5iLIg_5_11"/>
      <w:bookmarkStart w:id="228" w:name="Tc_OKCczrXcPkiltUcq1TYUwQ_5_8"/>
      <w:bookmarkStart w:id="229" w:name="Tc_D63Z6t6sJkSt5k5QKLdNWQ_5_5"/>
      <w:bookmarkStart w:id="230" w:name="Tc_J9ZbLOMsYkupZ2N5nMa8hQ_5_2"/>
      <w:bookmarkStart w:id="231" w:name="Tc_rf0XyGtMckaJzy-M5ZDKYQ_5_0"/>
      <w:bookmarkStart w:id="232" w:name="Tc_yREajm4euU2bSAfpmcUWUg_4_0"/>
      <w:bookmarkStart w:id="233" w:name="Tc_5aoPCrItfkKnjXnSjB3Xvg_3_8"/>
      <w:bookmarkStart w:id="234" w:name="Tc_gAXU-Nwq5Emjrrkm_4iGfg_3_2"/>
      <w:bookmarkStart w:id="235" w:name="Tc_AfQsLe3WHEG7yIHQ4GXrjQ_2_11"/>
      <w:bookmarkStart w:id="236" w:name="Tc_aFhukePd7k2XaQULU3otNA_2_8"/>
      <w:bookmarkStart w:id="237" w:name="Tc_RQzG46kkuEiGNfXUyCc2HQ_2_5"/>
      <w:bookmarkStart w:id="238" w:name="Tc_mNh9vWpldkiYrM59X7nqQg_2_2"/>
      <w:bookmarkStart w:id="239" w:name="Tc_nMmYVfuzGEyR-Sofrgq8BQ_1_8"/>
      <w:bookmarkStart w:id="240" w:name="Tc_4gUcd-s8cUm2azai2u4gDA_1_2"/>
      <w:bookmarkStart w:id="241" w:name="_4efb1144_cceb_4af3_a271_720eb64a402b"/>
      <w:bookmarkStart w:id="242" w:name="_da92a681_7ae9_40d0_9170_477a36357bde"/>
      <w:bookmarkStart w:id="243" w:name="Tc_wm-EsQ6lX0iD0F707qD82Q_34_11"/>
      <w:bookmarkStart w:id="244" w:name="Tc_jKR38BYOu0ugtqVhHqqELQ_34_8"/>
      <w:bookmarkStart w:id="245" w:name="Tc_hxQPsgONFU2GEOz5rXETcg_34_5"/>
      <w:bookmarkStart w:id="246" w:name="Tc__zzDcnkDlUahvtngSWmveQ_34_2"/>
      <w:bookmarkStart w:id="247" w:name="Tc_glTBHlGdqkOIS-B371Ef0g_34_0"/>
      <w:bookmarkStart w:id="248" w:name="Tc_QoiHkCNpiUCvw5cvaScCZg_33_11"/>
      <w:bookmarkStart w:id="249" w:name="Tc_WgiWwy_qIkGx9L6fGwwatw_33_8"/>
      <w:bookmarkStart w:id="250" w:name="Tc_yW1fZz2nNkCb93Xf_EXGEw_33_5"/>
      <w:bookmarkStart w:id="251" w:name="Tc_fL2-UcmE8EiIzFLYff7pZw_33_2"/>
      <w:bookmarkStart w:id="252" w:name="Tc_-Z9Hf1hyLUCC9JgReE9Ibg_33_0"/>
      <w:bookmarkStart w:id="253" w:name="Tc_J4PL7oXR9E2XD4dpKdo62A_31_11"/>
      <w:bookmarkStart w:id="254" w:name="Tc__zjHVzaW70Olgi7oTMxd_Q_31_8"/>
      <w:bookmarkStart w:id="255" w:name="Tc_5l7S_pNVSUG-pEVRbgRVSA_31_5"/>
      <w:bookmarkStart w:id="256" w:name="Tc_cePGHMN4u0qs-i-v7PTK5w_31_2"/>
      <w:bookmarkStart w:id="257" w:name="Tc_pu6AbKqHdkGnnd-I0fAXpA_31_0"/>
      <w:bookmarkStart w:id="258" w:name="Tc__ZgAFXrqPUOR_c218bBHMw_30_0"/>
      <w:bookmarkStart w:id="259" w:name="Tc_0IIfEc4560q-Uzh9L5ZQkg_29_9"/>
      <w:bookmarkStart w:id="260" w:name="Tc_Ha1UnehZsU6Bu8WDLlx_BA_29_6"/>
      <w:bookmarkStart w:id="261" w:name="Tc_drtzYos6pEaOBNzAW6slCw_29_3"/>
      <w:bookmarkStart w:id="262" w:name="Tc_STTKscC_ckiyeCrdgZX9xg_29_0"/>
      <w:bookmarkStart w:id="263" w:name="Tc_B2dLye3CPEeOtpjEkkCYug_28_0"/>
      <w:bookmarkStart w:id="264" w:name="Tc_EmuIIIPSQU-B1hSBOvOPkw_27_0"/>
      <w:bookmarkStart w:id="265" w:name="Tc_Otjm3d0RHEGDJBAgVm_3bw_26_0"/>
      <w:bookmarkStart w:id="266" w:name="Tc_w-wTQEf68UKTYsTu4_Tp_Q_25_0"/>
      <w:bookmarkStart w:id="267" w:name="Tc_XlEOzyjwZkSGXQo-TULZEg_24_0"/>
      <w:bookmarkStart w:id="268" w:name="Tc_jDhR54ZEc0-V4VMOGt0g1g_23_0"/>
      <w:bookmarkStart w:id="269" w:name="Tc_oSviJk2k10C9xCQWPx9LcQ_22_0"/>
      <w:bookmarkStart w:id="270" w:name="Tc_Lo0jU8BByk2ifywpKreZfg_21_0"/>
      <w:bookmarkStart w:id="271" w:name="Tc_5j_TmMY2rkWLs4kxjjXJPA_20_0"/>
      <w:bookmarkStart w:id="272" w:name="Tc_BcaixgdrlUiaUspWi35Jww_19_0"/>
      <w:bookmarkStart w:id="273" w:name="Tc_ShGHLrqgikavViKIz9rFUQ_18_0"/>
      <w:bookmarkStart w:id="274" w:name="Tc_IHpoLGoYWEamJIlFgSEEvQ_17_0"/>
      <w:bookmarkStart w:id="275" w:name="Tc_fNhbYZ-Jm0KD7UHaNiSXEA_16_0"/>
      <w:bookmarkStart w:id="276" w:name="Tc_dQJMeagoNUu74NZwAwsicQ_15_0"/>
      <w:bookmarkStart w:id="277" w:name="Tc_G6gm8-upI0ubI5ewKkc17w_14_0"/>
      <w:bookmarkStart w:id="278" w:name="Tc_nFrghqTUTEuP0DaJRTSkew_13_0"/>
      <w:bookmarkStart w:id="279" w:name="Tc_lj1O9st3n0eLH95e9pbnsA_12_0"/>
      <w:bookmarkStart w:id="280" w:name="Tc_cWZxPRoAV0WKNbQLOI5h5A_11_0"/>
      <w:bookmarkStart w:id="281" w:name="Tc_zmdKLN-4y06DCjjc77VM0g_10_0"/>
      <w:bookmarkStart w:id="282" w:name="Tc_XwyTUUGVf02dO03-ULWWbw_9_0"/>
      <w:bookmarkStart w:id="283" w:name="Tc_QdDUUP-4nUOkQSuQtQf4qg_8_0"/>
      <w:bookmarkStart w:id="284" w:name="Tc_JmZWoqu4oEqQU_N-CzzFyw_7_0"/>
      <w:bookmarkStart w:id="285" w:name="Tc_fWRLkz_RLUiM-G-1uuRS2A_6_0"/>
      <w:bookmarkStart w:id="286" w:name="Tc_NwPADN1lf0mDGpEWQ5iLIg_5_11"/>
      <w:bookmarkStart w:id="287" w:name="Tc_OKCczrXcPkiltUcq1TYUwQ_5_8"/>
      <w:bookmarkStart w:id="288" w:name="Tc_D63Z6t6sJkSt5k5QKLdNWQ_5_5"/>
      <w:bookmarkStart w:id="289" w:name="Tc_J9ZbLOMsYkupZ2N5nMa8hQ_5_2"/>
      <w:bookmarkStart w:id="290" w:name="Tc_rf0XyGtMckaJzy-M5ZDKYQ_5_0"/>
      <w:bookmarkStart w:id="291" w:name="Tc_yREajm4euU2bSAfpmcUWUg_4_0"/>
      <w:bookmarkStart w:id="292" w:name="Tc_5aoPCrItfkKnjXnSjB3Xvg_3_8"/>
      <w:bookmarkStart w:id="293" w:name="Tc_gAXU-Nwq5Emjrrkm_4iGfg_3_2"/>
      <w:bookmarkStart w:id="294" w:name="Tc_AfQsLe3WHEG7yIHQ4GXrjQ_2_11"/>
      <w:bookmarkStart w:id="295" w:name="Tc_aFhukePd7k2XaQULU3otNA_2_8"/>
      <w:bookmarkStart w:id="296" w:name="Tc_RQzG46kkuEiGNfXUyCc2HQ_2_5"/>
      <w:bookmarkStart w:id="297" w:name="Tc_mNh9vWpldkiYrM59X7nqQg_2_2"/>
      <w:bookmarkStart w:id="298" w:name="Tc_nMmYVfuzGEyR-Sofrgq8BQ_1_8"/>
      <w:bookmarkStart w:id="299" w:name="Tc_4gUcd-s8cUm2azai2u4gDA_1_2"/>
      <w:bookmarkStart w:id="300" w:name="_4efb1144_cceb_4af3_a271_720eb64a402b"/>
      <w:bookmarkStart w:id="301" w:name="_da92a681_7ae9_40d0_9170_477a36357bde"/>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p>
    <w:tbl>
      <w:tblPr>
        <w:tblW w:w="9736" w:type="dxa"/>
        <w:jc w:val="left"/>
        <w:tblInd w:w="0" w:type="dxa"/>
        <w:tblLayout w:type="fixed"/>
        <w:tblCellMar>
          <w:top w:w="0" w:type="dxa"/>
          <w:left w:w="0" w:type="dxa"/>
          <w:bottom w:w="0" w:type="dxa"/>
          <w:right w:w="0" w:type="dxa"/>
        </w:tblCellMar>
      </w:tblPr>
      <w:tblGrid>
        <w:gridCol w:w="4351"/>
        <w:gridCol w:w="346"/>
        <w:gridCol w:w="218"/>
        <w:gridCol w:w="804"/>
        <w:gridCol w:w="385"/>
        <w:gridCol w:w="218"/>
        <w:gridCol w:w="804"/>
        <w:gridCol w:w="346"/>
        <w:gridCol w:w="199"/>
        <w:gridCol w:w="734"/>
        <w:gridCol w:w="352"/>
        <w:gridCol w:w="199"/>
        <w:gridCol w:w="780"/>
      </w:tblGrid>
      <w:tr>
        <w:trPr/>
        <w:tc>
          <w:tcPr>
            <w:tcW w:w="4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762885" cy="175260"/>
                      <wp:effectExtent l="0" t="0" r="0" b="0"/>
                      <wp:wrapNone/>
                      <wp:docPr id="7" name="Frame7"/>
                      <a:graphic xmlns:a="http://schemas.openxmlformats.org/drawingml/2006/main">
                        <a:graphicData uri="http://schemas.microsoft.com/office/word/2010/wordprocessingShape">
                          <wps:wsp>
                            <wps:cNvSpPr txBox="1"/>
                            <wps:spPr>
                              <a:xfrm>
                                <a:off x="0" y="0"/>
                                <a:ext cx="2762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19710" cy="175260"/>
                      <wp:effectExtent l="0" t="0" r="0" b="0"/>
                      <wp:wrapNone/>
                      <wp:docPr id="8" name="Frame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38430" cy="175260"/>
                      <wp:effectExtent l="0" t="0" r="0" b="0"/>
                      <wp:wrapNone/>
                      <wp:docPr id="9" name="Frame9"/>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510540" cy="175260"/>
                      <wp:effectExtent l="0" t="0" r="0" b="0"/>
                      <wp:wrapNone/>
                      <wp:docPr id="10" name="Frame10"/>
                      <a:graphic xmlns:a="http://schemas.openxmlformats.org/drawingml/2006/main">
                        <a:graphicData uri="http://schemas.microsoft.com/office/word/2010/wordprocessingShape">
                          <wps:wsp>
                            <wps:cNvSpPr txBox="1"/>
                            <wps:spPr>
                              <a:xfrm>
                                <a:off x="0" y="0"/>
                                <a:ext cx="510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44475" cy="175260"/>
                      <wp:effectExtent l="0" t="0" r="0" b="0"/>
                      <wp:wrapNone/>
                      <wp:docPr id="11" name="Frame11"/>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38430" cy="175260"/>
                      <wp:effectExtent l="0" t="0" r="0" b="0"/>
                      <wp:wrapNone/>
                      <wp:docPr id="12" name="Frame12"/>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510540" cy="175260"/>
                      <wp:effectExtent l="0" t="0" r="0" b="0"/>
                      <wp:wrapNone/>
                      <wp:docPr id="13" name="Frame13"/>
                      <a:graphic xmlns:a="http://schemas.openxmlformats.org/drawingml/2006/main">
                        <a:graphicData uri="http://schemas.microsoft.com/office/word/2010/wordprocessingShape">
                          <wps:wsp>
                            <wps:cNvSpPr txBox="1"/>
                            <wps:spPr>
                              <a:xfrm>
                                <a:off x="0" y="0"/>
                                <a:ext cx="510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19710" cy="175260"/>
                      <wp:effectExtent l="0" t="0" r="0" b="0"/>
                      <wp:wrapNone/>
                      <wp:docPr id="14" name="Frame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26365" cy="175260"/>
                      <wp:effectExtent l="0" t="0" r="0" b="0"/>
                      <wp:wrapNone/>
                      <wp:docPr id="15" name="Frame15"/>
                      <a:graphic xmlns:a="http://schemas.openxmlformats.org/drawingml/2006/main">
                        <a:graphicData uri="http://schemas.microsoft.com/office/word/2010/wordprocessingShape">
                          <wps:wsp>
                            <wps:cNvSpPr txBox="1"/>
                            <wps:spPr>
                              <a:xfrm>
                                <a:off x="0" y="0"/>
                                <a:ext cx="126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466090" cy="175260"/>
                      <wp:effectExtent l="0" t="0" r="0" b="0"/>
                      <wp:wrapNone/>
                      <wp:docPr id="16" name="Frame16"/>
                      <a:graphic xmlns:a="http://schemas.openxmlformats.org/drawingml/2006/main">
                        <a:graphicData uri="http://schemas.microsoft.com/office/word/2010/wordprocessingShape">
                          <wps:wsp>
                            <wps:cNvSpPr txBox="1"/>
                            <wps:spPr>
                              <a:xfrm>
                                <a:off x="0" y="0"/>
                                <a:ext cx="466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23520" cy="175260"/>
                      <wp:effectExtent l="0" t="0" r="0" b="0"/>
                      <wp:wrapNone/>
                      <wp:docPr id="17" name="Frame17"/>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26365" cy="175260"/>
                      <wp:effectExtent l="0" t="0" r="0" b="0"/>
                      <wp:wrapNone/>
                      <wp:docPr id="18" name="Frame18"/>
                      <a:graphic xmlns:a="http://schemas.openxmlformats.org/drawingml/2006/main">
                        <a:graphicData uri="http://schemas.microsoft.com/office/word/2010/wordprocessingShape">
                          <wps:wsp>
                            <wps:cNvSpPr txBox="1"/>
                            <wps:spPr>
                              <a:xfrm>
                                <a:off x="0" y="0"/>
                                <a:ext cx="126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495300" cy="175260"/>
                      <wp:effectExtent l="0" t="0" r="0" b="0"/>
                      <wp:wrapNone/>
                      <wp:docPr id="19" name="Frame19"/>
                      <a:graphic xmlns:a="http://schemas.openxmlformats.org/drawingml/2006/main">
                        <a:graphicData uri="http://schemas.microsoft.com/office/word/2010/wordprocessingShape">
                          <wps:wsp>
                            <wps:cNvSpPr txBox="1"/>
                            <wps:spPr>
                              <a:xfrm>
                                <a:off x="0" y="0"/>
                                <a:ext cx="495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42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Three months ended June 30, </w:t>
            </w:r>
          </w:p>
        </w:tc>
        <w:tc>
          <w:tcPr>
            <w:tcW w:w="346" w:type="dxa"/>
            <w:tcBorders/>
            <w:vAlign w:val="center"/>
          </w:tcPr>
          <w:p>
            <w:pPr>
              <w:pStyle w:val="TableContents"/>
              <w:bidi w:val="0"/>
              <w:spacing w:before="0" w:after="0"/>
              <w:ind w:left="0" w:right="0" w:hanging="0"/>
              <w:jc w:val="center"/>
              <w:rPr/>
            </w:pPr>
            <w:r>
              <w:rPr/>
              <w:t>​</w:t>
            </w:r>
          </w:p>
        </w:tc>
        <w:tc>
          <w:tcPr>
            <w:tcW w:w="226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Six months ended June 30, </w:t>
            </w:r>
          </w:p>
        </w:tc>
      </w:tr>
      <w:tr>
        <w:trPr/>
        <w:tc>
          <w:tcPr>
            <w:tcW w:w="4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85" w:type="dxa"/>
            <w:tcBorders/>
            <w:vAlign w:val="center"/>
          </w:tcPr>
          <w:p>
            <w:pPr>
              <w:pStyle w:val="TableContents"/>
              <w:bidi w:val="0"/>
              <w:spacing w:before="0" w:after="0"/>
              <w:ind w:left="0" w:right="0" w:hanging="0"/>
              <w:jc w:val="center"/>
              <w:rPr/>
            </w:pPr>
            <w:r>
              <w:rPr/>
              <w:t>​</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0"/>
              <w:ind w:left="0" w:right="0" w:hanging="0"/>
              <w:jc w:val="center"/>
              <w:rPr/>
            </w:pPr>
            <w:r>
              <w:rPr/>
              <w:t>​</w:t>
            </w:r>
          </w:p>
        </w:tc>
        <w:tc>
          <w:tcPr>
            <w:tcW w:w="93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52" w:type="dxa"/>
            <w:tcBorders/>
            <w:vAlign w:val="center"/>
          </w:tcPr>
          <w:p>
            <w:pPr>
              <w:pStyle w:val="TableContents"/>
              <w:bidi w:val="0"/>
              <w:spacing w:before="0" w:after="0"/>
              <w:ind w:left="0" w:right="0" w:hanging="0"/>
              <w:jc w:val="center"/>
              <w:rPr/>
            </w:pPr>
            <w:r>
              <w:rPr/>
              <w:t>​</w:t>
            </w:r>
          </w:p>
        </w:tc>
        <w:tc>
          <w:tcPr>
            <w:tcW w:w="9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9736"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429" w:type="dxa"/>
            <w:gridSpan w:val="5"/>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(unaudited)</w:t>
            </w:r>
          </w:p>
        </w:tc>
        <w:tc>
          <w:tcPr>
            <w:tcW w:w="346" w:type="dxa"/>
            <w:tcBorders/>
            <w:vAlign w:val="center"/>
          </w:tcPr>
          <w:p>
            <w:pPr>
              <w:pStyle w:val="TableContents"/>
              <w:bidi w:val="0"/>
              <w:spacing w:before="0" w:after="0"/>
              <w:ind w:left="0" w:right="0" w:hanging="0"/>
              <w:jc w:val="center"/>
              <w:rPr/>
            </w:pPr>
            <w:r>
              <w:rPr/>
              <w:t>​</w:t>
            </w:r>
          </w:p>
        </w:tc>
        <w:tc>
          <w:tcPr>
            <w:tcW w:w="2264" w:type="dxa"/>
            <w:gridSpan w:val="5"/>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(unaudited)</w:t>
            </w:r>
          </w:p>
        </w:tc>
      </w:tr>
      <w:tr>
        <w:trPr/>
        <w:tc>
          <w:tcPr>
            <w:tcW w:w="4351" w:type="dxa"/>
            <w:tcBorders/>
            <w:shd w:fill="CCEEFF" w:val="clear"/>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Revenues:</w:t>
            </w:r>
          </w:p>
        </w:tc>
        <w:tc>
          <w:tcPr>
            <w:tcW w:w="346" w:type="dxa"/>
            <w:tcBorders/>
            <w:shd w:fill="CCEEFF" w:val="clear"/>
            <w:vAlign w:val="center"/>
          </w:tcPr>
          <w:p>
            <w:pPr>
              <w:pStyle w:val="TableContents"/>
              <w:bidi w:val="0"/>
              <w:spacing w:before="0" w:after="0"/>
              <w:ind w:left="0" w:right="0" w:hanging="0"/>
              <w:jc w:val="left"/>
              <w:rPr/>
            </w:pPr>
            <w:r>
              <w:rPr/>
              <w:t>  ​ ​ ​</w:t>
            </w:r>
          </w:p>
        </w:tc>
        <w:tc>
          <w:tcPr>
            <w:tcW w:w="218"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right"/>
              <w:rPr/>
            </w:pPr>
            <w:r>
              <w:rPr/>
              <w:t>  ​</w:t>
            </w:r>
          </w:p>
        </w:tc>
        <w:tc>
          <w:tcPr>
            <w:tcW w:w="385" w:type="dxa"/>
            <w:tcBorders/>
            <w:shd w:fill="CCEEFF" w:val="clear"/>
            <w:vAlign w:val="center"/>
          </w:tcPr>
          <w:p>
            <w:pPr>
              <w:pStyle w:val="TableContents"/>
              <w:bidi w:val="0"/>
              <w:spacing w:before="0" w:after="0"/>
              <w:ind w:left="0" w:right="0" w:hanging="0"/>
              <w:jc w:val="left"/>
              <w:rPr/>
            </w:pPr>
            <w:r>
              <w:rPr/>
              <w:t>  ​ ​ ​</w:t>
            </w:r>
          </w:p>
        </w:tc>
        <w:tc>
          <w:tcPr>
            <w:tcW w:w="218"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right"/>
              <w:rPr/>
            </w:pPr>
            <w:r>
              <w:rPr/>
              <w:t>  ​ ​ ​</w:t>
            </w:r>
          </w:p>
        </w:tc>
        <w:tc>
          <w:tcPr>
            <w:tcW w:w="199" w:type="dxa"/>
            <w:tcBorders/>
            <w:shd w:fill="CCEEFF" w:val="clear"/>
            <w:vAlign w:val="center"/>
          </w:tcPr>
          <w:p>
            <w:pPr>
              <w:pStyle w:val="TableContents"/>
              <w:bidi w:val="0"/>
              <w:spacing w:before="0" w:after="0"/>
              <w:ind w:left="0" w:right="0" w:hanging="0"/>
              <w:jc w:val="left"/>
              <w:rPr/>
            </w:pPr>
            <w:r>
              <w:rPr/>
              <w:t>​</w:t>
            </w:r>
          </w:p>
        </w:tc>
        <w:tc>
          <w:tcPr>
            <w:tcW w:w="734"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pPr>
            <w:r>
              <w:rPr/>
              <w:t>  ​ ​ ​</w:t>
            </w:r>
          </w:p>
        </w:tc>
        <w:tc>
          <w:tcPr>
            <w:tcW w:w="199" w:type="dxa"/>
            <w:tcBorders/>
            <w:shd w:fill="CCEEFF" w:val="clear"/>
            <w:vAlign w:val="center"/>
          </w:tcPr>
          <w:p>
            <w:pPr>
              <w:pStyle w:val="TableContents"/>
              <w:bidi w:val="0"/>
              <w:spacing w:before="0" w:after="0"/>
              <w:ind w:left="0" w:right="0" w:hanging="0"/>
              <w:jc w:val="left"/>
              <w:rPr/>
            </w:pPr>
            <w:r>
              <w:rPr/>
              <w:t>​</w:t>
            </w:r>
          </w:p>
        </w:tc>
        <w:tc>
          <w:tcPr>
            <w:tcW w:w="780" w:type="dxa"/>
            <w:tcBorders/>
            <w:shd w:fill="CCEEFF" w:val="clear"/>
            <w:vAlign w:val="center"/>
          </w:tcPr>
          <w:p>
            <w:pPr>
              <w:pStyle w:val="TableContents"/>
              <w:bidi w:val="0"/>
              <w:spacing w:before="0" w:after="0"/>
              <w:ind w:left="0" w:right="0" w:hanging="0"/>
              <w:jc w:val="left"/>
              <w:rPr/>
            </w:pPr>
            <w:r>
              <w:rPr/>
              <w:t>​</w:t>
            </w:r>
          </w:p>
        </w:tc>
      </w:tr>
      <w:tr>
        <w:trPr/>
        <w:tc>
          <w:tcPr>
            <w:tcW w:w="435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Software subscriptions</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174,753</w:t>
            </w:r>
          </w:p>
        </w:tc>
        <w:tc>
          <w:tcPr>
            <w:tcW w:w="385"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157,844</w:t>
            </w:r>
          </w:p>
        </w:tc>
        <w:tc>
          <w:tcPr>
            <w:tcW w:w="346" w:type="dxa"/>
            <w:tcBorders/>
            <w:vAlign w:val="center"/>
          </w:tcPr>
          <w:p>
            <w:pPr>
              <w:pStyle w:val="TableContents"/>
              <w:bidi w:val="0"/>
              <w:spacing w:before="0" w:after="0"/>
              <w:ind w:left="0" w:right="0" w:hanging="0"/>
              <w:jc w:val="right"/>
              <w:rPr/>
            </w:pPr>
            <w:r>
              <w:rPr/>
              <w:t>​</w:t>
            </w:r>
          </w:p>
        </w:tc>
        <w:tc>
          <w:tcPr>
            <w:tcW w:w="19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3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341,899</w:t>
            </w:r>
          </w:p>
        </w:tc>
        <w:tc>
          <w:tcPr>
            <w:tcW w:w="352"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8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308,605</w:t>
            </w:r>
          </w:p>
        </w:tc>
      </w:tr>
      <w:tr>
        <w:trPr/>
        <w:tc>
          <w:tcPr>
            <w:tcW w:w="435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Services</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29,217</w:t>
            </w:r>
          </w:p>
        </w:tc>
        <w:tc>
          <w:tcPr>
            <w:tcW w:w="385"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26,715</w:t>
            </w:r>
          </w:p>
        </w:tc>
        <w:tc>
          <w:tcPr>
            <w:tcW w:w="346" w:type="dxa"/>
            <w:tcBorders/>
            <w:shd w:fill="CCEEFF" w:val="clear"/>
            <w:vAlign w:val="center"/>
          </w:tcPr>
          <w:p>
            <w:pPr>
              <w:pStyle w:val="TableContents"/>
              <w:bidi w:val="0"/>
              <w:spacing w:before="0" w:after="0"/>
              <w:ind w:left="0" w:right="0" w:hanging="0"/>
              <w:jc w:val="right"/>
              <w:rPr/>
            </w:pPr>
            <w:r>
              <w:rPr/>
              <w:t>​</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58,717</w:t>
            </w:r>
          </w:p>
        </w:tc>
        <w:tc>
          <w:tcPr>
            <w:tcW w:w="352" w:type="dxa"/>
            <w:tcBorders/>
            <w:shd w:fill="CCEEFF" w:val="clear"/>
            <w:vAlign w:val="center"/>
          </w:tcPr>
          <w:p>
            <w:pPr>
              <w:pStyle w:val="TableContents"/>
              <w:bidi w:val="0"/>
              <w:spacing w:before="0" w:after="0"/>
              <w:ind w:left="0" w:right="0" w:hanging="0"/>
              <w:jc w:val="left"/>
              <w:rPr/>
            </w:pPr>
            <w:r>
              <w:rPr/>
              <w:t>​</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53,016</w:t>
            </w:r>
          </w:p>
        </w:tc>
      </w:tr>
      <w:tr>
        <w:trPr/>
        <w:tc>
          <w:tcPr>
            <w:tcW w:w="435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revenues</w:t>
            </w:r>
          </w:p>
        </w:tc>
        <w:tc>
          <w:tcPr>
            <w:tcW w:w="346"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203,970</w:t>
            </w:r>
          </w:p>
        </w:tc>
        <w:tc>
          <w:tcPr>
            <w:tcW w:w="385"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184,559</w:t>
            </w:r>
          </w:p>
        </w:tc>
        <w:tc>
          <w:tcPr>
            <w:tcW w:w="346" w:type="dxa"/>
            <w:tcBorders/>
            <w:vAlign w:val="center"/>
          </w:tcPr>
          <w:p>
            <w:pPr>
              <w:pStyle w:val="TableContents"/>
              <w:bidi w:val="0"/>
              <w:spacing w:before="0" w:after="0"/>
              <w:ind w:left="0" w:right="0" w:hanging="0"/>
              <w:jc w:val="right"/>
              <w:rPr/>
            </w:pPr>
            <w:r>
              <w:rPr/>
              <w:t>​</w:t>
            </w:r>
          </w:p>
        </w:tc>
        <w:tc>
          <w:tcPr>
            <w:tcW w:w="1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400,616</w:t>
            </w:r>
          </w:p>
        </w:tc>
        <w:tc>
          <w:tcPr>
            <w:tcW w:w="352" w:type="dxa"/>
            <w:tcBorders/>
            <w:vAlign w:val="center"/>
          </w:tcPr>
          <w:p>
            <w:pPr>
              <w:pStyle w:val="TableContents"/>
              <w:bidi w:val="0"/>
              <w:spacing w:before="0" w:after="0"/>
              <w:ind w:left="0" w:right="0" w:hanging="0"/>
              <w:jc w:val="left"/>
              <w:rPr/>
            </w:pPr>
            <w:r>
              <w:rPr/>
              <w:t>​</w:t>
            </w:r>
          </w:p>
        </w:tc>
        <w:tc>
          <w:tcPr>
            <w:tcW w:w="19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361,621</w:t>
            </w:r>
          </w:p>
        </w:tc>
      </w:tr>
      <w:tr>
        <w:trPr/>
        <w:tc>
          <w:tcPr>
            <w:tcW w:w="4351" w:type="dxa"/>
            <w:tcBorders/>
            <w:shd w:fill="CCEEFF" w:val="clear"/>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Cost of revenues:</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804" w:type="dxa"/>
            <w:tcBorders/>
            <w:shd w:fill="CCEEFF" w:val="clear"/>
            <w:vAlign w:val="center"/>
          </w:tcPr>
          <w:p>
            <w:pPr>
              <w:pStyle w:val="TableContents"/>
              <w:bidi w:val="0"/>
              <w:spacing w:before="0" w:after="0"/>
              <w:ind w:left="0" w:right="0" w:hanging="0"/>
              <w:jc w:val="right"/>
              <w:rPr/>
            </w:pPr>
            <w:r>
              <w:rPr/>
              <w:t>​</w:t>
            </w:r>
          </w:p>
        </w:tc>
        <w:tc>
          <w:tcPr>
            <w:tcW w:w="385"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80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734" w:type="dxa"/>
            <w:tcBorders/>
            <w:shd w:fill="CCEEFF" w:val="clear"/>
            <w:vAlign w:val="center"/>
          </w:tcPr>
          <w:p>
            <w:pPr>
              <w:pStyle w:val="TableContents"/>
              <w:bidi w:val="0"/>
              <w:spacing w:before="0" w:after="0"/>
              <w:ind w:left="0" w:right="0" w:hanging="0"/>
              <w:jc w:val="right"/>
              <w:rPr/>
            </w:pPr>
            <w:r>
              <w:rPr/>
              <w:t>​</w:t>
            </w:r>
          </w:p>
        </w:tc>
        <w:tc>
          <w:tcPr>
            <w:tcW w:w="352"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780" w:type="dxa"/>
            <w:tcBorders/>
            <w:shd w:fill="CCEEFF" w:val="clear"/>
            <w:vAlign w:val="center"/>
          </w:tcPr>
          <w:p>
            <w:pPr>
              <w:pStyle w:val="TableContents"/>
              <w:bidi w:val="0"/>
              <w:spacing w:before="0" w:after="0"/>
              <w:ind w:left="0" w:right="0" w:hanging="0"/>
              <w:jc w:val="right"/>
              <w:rPr/>
            </w:pPr>
            <w:r>
              <w:rPr/>
              <w:t>​</w:t>
            </w:r>
          </w:p>
        </w:tc>
      </w:tr>
      <w:tr>
        <w:trPr/>
        <w:tc>
          <w:tcPr>
            <w:tcW w:w="435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Software subscriptions</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 </w:t>
            </w:r>
          </w:p>
        </w:tc>
        <w:tc>
          <w:tcPr>
            <w:tcW w:w="80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52,170</w:t>
            </w:r>
          </w:p>
        </w:tc>
        <w:tc>
          <w:tcPr>
            <w:tcW w:w="385"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 </w:t>
            </w:r>
          </w:p>
        </w:tc>
        <w:tc>
          <w:tcPr>
            <w:tcW w:w="80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44,459</w:t>
            </w:r>
          </w:p>
        </w:tc>
        <w:tc>
          <w:tcPr>
            <w:tcW w:w="346" w:type="dxa"/>
            <w:tcBorders/>
            <w:vAlign w:val="center"/>
          </w:tcPr>
          <w:p>
            <w:pPr>
              <w:pStyle w:val="TableContents"/>
              <w:bidi w:val="0"/>
              <w:spacing w:before="0" w:after="0"/>
              <w:ind w:left="0" w:right="0" w:hanging="0"/>
              <w:jc w:val="right"/>
              <w:rPr/>
            </w:pPr>
            <w:r>
              <w:rPr/>
              <w:t>​</w:t>
            </w:r>
          </w:p>
        </w:tc>
        <w:tc>
          <w:tcPr>
            <w:tcW w:w="199" w:type="dxa"/>
            <w:tcBorders/>
            <w:vAlign w:val="center"/>
          </w:tcPr>
          <w:p>
            <w:pPr>
              <w:pStyle w:val="TableContents"/>
              <w:bidi w:val="0"/>
              <w:spacing w:before="0" w:after="0"/>
              <w:ind w:left="0" w:right="0" w:hanging="0"/>
              <w:jc w:val="left"/>
              <w:rPr/>
            </w:pPr>
            <w:r>
              <w:rPr/>
              <w:t>​</w:t>
            </w:r>
          </w:p>
        </w:tc>
        <w:tc>
          <w:tcPr>
            <w:tcW w:w="73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103,346</w:t>
            </w:r>
          </w:p>
        </w:tc>
        <w:tc>
          <w:tcPr>
            <w:tcW w:w="352"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w:t>
            </w:r>
          </w:p>
        </w:tc>
        <w:tc>
          <w:tcPr>
            <w:tcW w:w="78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88,704</w:t>
            </w:r>
          </w:p>
        </w:tc>
      </w:tr>
      <w:tr>
        <w:trPr/>
        <w:tc>
          <w:tcPr>
            <w:tcW w:w="435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Services</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20,500</w:t>
            </w:r>
          </w:p>
        </w:tc>
        <w:tc>
          <w:tcPr>
            <w:tcW w:w="385"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18,900</w:t>
            </w:r>
          </w:p>
        </w:tc>
        <w:tc>
          <w:tcPr>
            <w:tcW w:w="346" w:type="dxa"/>
            <w:tcBorders/>
            <w:shd w:fill="CCEEFF" w:val="clear"/>
            <w:vAlign w:val="center"/>
          </w:tcPr>
          <w:p>
            <w:pPr>
              <w:pStyle w:val="TableContents"/>
              <w:bidi w:val="0"/>
              <w:spacing w:before="0" w:after="0"/>
              <w:ind w:left="0" w:right="0" w:hanging="0"/>
              <w:jc w:val="right"/>
              <w:rPr/>
            </w:pPr>
            <w:r>
              <w:rPr/>
              <w:t>​</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41,101</w:t>
            </w:r>
          </w:p>
        </w:tc>
        <w:tc>
          <w:tcPr>
            <w:tcW w:w="352" w:type="dxa"/>
            <w:tcBorders/>
            <w:shd w:fill="CCEEFF" w:val="clear"/>
            <w:vAlign w:val="center"/>
          </w:tcPr>
          <w:p>
            <w:pPr>
              <w:pStyle w:val="TableContents"/>
              <w:bidi w:val="0"/>
              <w:spacing w:before="0" w:after="0"/>
              <w:ind w:left="0" w:right="0" w:hanging="0"/>
              <w:jc w:val="left"/>
              <w:rPr/>
            </w:pPr>
            <w:r>
              <w:rPr/>
              <w:t>​</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38,723</w:t>
            </w:r>
          </w:p>
        </w:tc>
      </w:tr>
      <w:tr>
        <w:trPr/>
        <w:tc>
          <w:tcPr>
            <w:tcW w:w="435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cost of revenues</w:t>
            </w:r>
          </w:p>
        </w:tc>
        <w:tc>
          <w:tcPr>
            <w:tcW w:w="346"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72,670</w:t>
            </w:r>
          </w:p>
        </w:tc>
        <w:tc>
          <w:tcPr>
            <w:tcW w:w="385"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63,359</w:t>
            </w:r>
          </w:p>
        </w:tc>
        <w:tc>
          <w:tcPr>
            <w:tcW w:w="346" w:type="dxa"/>
            <w:tcBorders/>
            <w:vAlign w:val="center"/>
          </w:tcPr>
          <w:p>
            <w:pPr>
              <w:pStyle w:val="TableContents"/>
              <w:bidi w:val="0"/>
              <w:spacing w:before="0" w:after="0"/>
              <w:ind w:left="0" w:right="0" w:hanging="0"/>
              <w:jc w:val="right"/>
              <w:rPr/>
            </w:pPr>
            <w:r>
              <w:rPr/>
              <w:t>​</w:t>
            </w:r>
          </w:p>
        </w:tc>
        <w:tc>
          <w:tcPr>
            <w:tcW w:w="1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144,447</w:t>
            </w:r>
          </w:p>
        </w:tc>
        <w:tc>
          <w:tcPr>
            <w:tcW w:w="352" w:type="dxa"/>
            <w:tcBorders/>
            <w:vAlign w:val="center"/>
          </w:tcPr>
          <w:p>
            <w:pPr>
              <w:pStyle w:val="TableContents"/>
              <w:bidi w:val="0"/>
              <w:spacing w:before="0" w:after="0"/>
              <w:ind w:left="0" w:right="0" w:hanging="0"/>
              <w:jc w:val="left"/>
              <w:rPr/>
            </w:pPr>
            <w:r>
              <w:rPr/>
              <w:t>​</w:t>
            </w:r>
          </w:p>
        </w:tc>
        <w:tc>
          <w:tcPr>
            <w:tcW w:w="19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127,427</w:t>
            </w:r>
          </w:p>
        </w:tc>
      </w:tr>
      <w:tr>
        <w:trPr/>
        <w:tc>
          <w:tcPr>
            <w:tcW w:w="435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131,300</w:t>
            </w:r>
          </w:p>
        </w:tc>
        <w:tc>
          <w:tcPr>
            <w:tcW w:w="385"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121,200</w:t>
            </w:r>
          </w:p>
        </w:tc>
        <w:tc>
          <w:tcPr>
            <w:tcW w:w="346" w:type="dxa"/>
            <w:tcBorders/>
            <w:shd w:fill="CCEEFF" w:val="clear"/>
            <w:vAlign w:val="center"/>
          </w:tcPr>
          <w:p>
            <w:pPr>
              <w:pStyle w:val="TableContents"/>
              <w:bidi w:val="0"/>
              <w:spacing w:before="0" w:after="0"/>
              <w:ind w:left="0" w:right="0" w:hanging="0"/>
              <w:jc w:val="right"/>
              <w:rPr/>
            </w:pPr>
            <w:r>
              <w:rPr/>
              <w:t>​</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256,169</w:t>
            </w:r>
          </w:p>
        </w:tc>
        <w:tc>
          <w:tcPr>
            <w:tcW w:w="352" w:type="dxa"/>
            <w:tcBorders/>
            <w:shd w:fill="CCEEFF" w:val="clear"/>
            <w:vAlign w:val="center"/>
          </w:tcPr>
          <w:p>
            <w:pPr>
              <w:pStyle w:val="TableContents"/>
              <w:bidi w:val="0"/>
              <w:spacing w:before="0" w:after="0"/>
              <w:ind w:left="0" w:right="0" w:hanging="0"/>
              <w:jc w:val="left"/>
              <w:rPr/>
            </w:pPr>
            <w:r>
              <w:rPr/>
              <w:t>​</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234,194</w:t>
            </w:r>
          </w:p>
        </w:tc>
      </w:tr>
      <w:tr>
        <w:trPr/>
        <w:tc>
          <w:tcPr>
            <w:tcW w:w="4351"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Operating expenses:</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 </w:t>
            </w:r>
          </w:p>
        </w:tc>
        <w:tc>
          <w:tcPr>
            <w:tcW w:w="804" w:type="dxa"/>
            <w:tcBorders/>
            <w:vAlign w:val="center"/>
          </w:tcPr>
          <w:p>
            <w:pPr>
              <w:pStyle w:val="TableContents"/>
              <w:bidi w:val="0"/>
              <w:spacing w:before="0" w:after="0"/>
              <w:ind w:left="0" w:right="0" w:hanging="0"/>
              <w:jc w:val="right"/>
              <w:rPr/>
            </w:pPr>
            <w:r>
              <w:rPr/>
              <w:t>​</w:t>
            </w:r>
          </w:p>
        </w:tc>
        <w:tc>
          <w:tcPr>
            <w:tcW w:w="385"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 </w:t>
            </w:r>
          </w:p>
        </w:tc>
        <w:tc>
          <w:tcPr>
            <w:tcW w:w="80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9" w:type="dxa"/>
            <w:tcBorders/>
            <w:vAlign w:val="center"/>
          </w:tcPr>
          <w:p>
            <w:pPr>
              <w:pStyle w:val="TableContents"/>
              <w:bidi w:val="0"/>
              <w:spacing w:before="0" w:after="0"/>
              <w:ind w:left="0" w:right="0" w:hanging="0"/>
              <w:jc w:val="left"/>
              <w:rPr/>
            </w:pPr>
            <w:r>
              <w:rPr/>
              <w:t>​</w:t>
            </w:r>
          </w:p>
        </w:tc>
        <w:tc>
          <w:tcPr>
            <w:tcW w:w="734" w:type="dxa"/>
            <w:tcBorders/>
            <w:vAlign w:val="center"/>
          </w:tcPr>
          <w:p>
            <w:pPr>
              <w:pStyle w:val="TableContents"/>
              <w:bidi w:val="0"/>
              <w:spacing w:before="0" w:after="0"/>
              <w:ind w:left="0" w:right="0" w:hanging="0"/>
              <w:jc w:val="right"/>
              <w:rPr/>
            </w:pPr>
            <w:r>
              <w:rPr/>
              <w:t>​</w:t>
            </w:r>
          </w:p>
        </w:tc>
        <w:tc>
          <w:tcPr>
            <w:tcW w:w="352"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w:t>
            </w:r>
          </w:p>
        </w:tc>
        <w:tc>
          <w:tcPr>
            <w:tcW w:w="780" w:type="dxa"/>
            <w:tcBorders/>
            <w:vAlign w:val="center"/>
          </w:tcPr>
          <w:p>
            <w:pPr>
              <w:pStyle w:val="TableContents"/>
              <w:bidi w:val="0"/>
              <w:spacing w:before="0" w:after="0"/>
              <w:ind w:left="0" w:right="0" w:hanging="0"/>
              <w:jc w:val="right"/>
              <w:rPr/>
            </w:pPr>
            <w:r>
              <w:rPr/>
              <w:t>​</w:t>
            </w:r>
          </w:p>
        </w:tc>
      </w:tr>
      <w:tr>
        <w:trPr/>
        <w:tc>
          <w:tcPr>
            <w:tcW w:w="435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Research and development</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24,805</w:t>
            </w:r>
          </w:p>
        </w:tc>
        <w:tc>
          <w:tcPr>
            <w:tcW w:w="385"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20,582</w:t>
            </w:r>
          </w:p>
        </w:tc>
        <w:tc>
          <w:tcPr>
            <w:tcW w:w="346" w:type="dxa"/>
            <w:tcBorders/>
            <w:shd w:fill="CCEEFF" w:val="clear"/>
            <w:vAlign w:val="center"/>
          </w:tcPr>
          <w:p>
            <w:pPr>
              <w:pStyle w:val="TableContents"/>
              <w:bidi w:val="0"/>
              <w:spacing w:before="0" w:after="0"/>
              <w:ind w:left="0" w:right="0" w:hanging="0"/>
              <w:jc w:val="right"/>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73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49,355</w:t>
            </w:r>
          </w:p>
        </w:tc>
        <w:tc>
          <w:tcPr>
            <w:tcW w:w="352"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78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41,468</w:t>
            </w:r>
          </w:p>
        </w:tc>
      </w:tr>
      <w:tr>
        <w:trPr/>
        <w:tc>
          <w:tcPr>
            <w:tcW w:w="435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Selling and marketing</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 </w:t>
            </w:r>
          </w:p>
        </w:tc>
        <w:tc>
          <w:tcPr>
            <w:tcW w:w="80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51,899</w:t>
            </w:r>
          </w:p>
        </w:tc>
        <w:tc>
          <w:tcPr>
            <w:tcW w:w="385"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 </w:t>
            </w:r>
          </w:p>
        </w:tc>
        <w:tc>
          <w:tcPr>
            <w:tcW w:w="80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48,454</w:t>
            </w:r>
          </w:p>
        </w:tc>
        <w:tc>
          <w:tcPr>
            <w:tcW w:w="346" w:type="dxa"/>
            <w:tcBorders/>
            <w:vAlign w:val="center"/>
          </w:tcPr>
          <w:p>
            <w:pPr>
              <w:pStyle w:val="TableContents"/>
              <w:bidi w:val="0"/>
              <w:spacing w:before="0" w:after="0"/>
              <w:ind w:left="0" w:right="0" w:hanging="0"/>
              <w:jc w:val="right"/>
              <w:rPr/>
            </w:pPr>
            <w:r>
              <w:rPr/>
              <w:t>​</w:t>
            </w:r>
          </w:p>
        </w:tc>
        <w:tc>
          <w:tcPr>
            <w:tcW w:w="199" w:type="dxa"/>
            <w:tcBorders/>
            <w:vAlign w:val="center"/>
          </w:tcPr>
          <w:p>
            <w:pPr>
              <w:pStyle w:val="TableContents"/>
              <w:bidi w:val="0"/>
              <w:spacing w:before="0" w:after="0"/>
              <w:ind w:left="0" w:right="0" w:hanging="0"/>
              <w:jc w:val="left"/>
              <w:rPr/>
            </w:pPr>
            <w:r>
              <w:rPr/>
              <w:t>​</w:t>
            </w:r>
          </w:p>
        </w:tc>
        <w:tc>
          <w:tcPr>
            <w:tcW w:w="73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104,534</w:t>
            </w:r>
          </w:p>
        </w:tc>
        <w:tc>
          <w:tcPr>
            <w:tcW w:w="352"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w:t>
            </w:r>
          </w:p>
        </w:tc>
        <w:tc>
          <w:tcPr>
            <w:tcW w:w="78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96,609</w:t>
            </w:r>
          </w:p>
        </w:tc>
      </w:tr>
      <w:tr>
        <w:trPr/>
        <w:tc>
          <w:tcPr>
            <w:tcW w:w="435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51,142</w:t>
            </w:r>
          </w:p>
        </w:tc>
        <w:tc>
          <w:tcPr>
            <w:tcW w:w="385"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43,392</w:t>
            </w:r>
          </w:p>
        </w:tc>
        <w:tc>
          <w:tcPr>
            <w:tcW w:w="346" w:type="dxa"/>
            <w:tcBorders/>
            <w:shd w:fill="CCEEFF" w:val="clear"/>
            <w:vAlign w:val="center"/>
          </w:tcPr>
          <w:p>
            <w:pPr>
              <w:pStyle w:val="TableContents"/>
              <w:bidi w:val="0"/>
              <w:spacing w:before="0" w:after="0"/>
              <w:ind w:left="0" w:right="0" w:hanging="0"/>
              <w:jc w:val="right"/>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73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105,481</w:t>
            </w:r>
          </w:p>
        </w:tc>
        <w:tc>
          <w:tcPr>
            <w:tcW w:w="352"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78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88,420</w:t>
            </w:r>
          </w:p>
        </w:tc>
      </w:tr>
      <w:tr>
        <w:trPr/>
        <w:tc>
          <w:tcPr>
            <w:tcW w:w="435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 </w:t>
            </w:r>
          </w:p>
        </w:tc>
        <w:tc>
          <w:tcPr>
            <w:tcW w:w="80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6,720</w:t>
            </w:r>
          </w:p>
        </w:tc>
        <w:tc>
          <w:tcPr>
            <w:tcW w:w="385"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 </w:t>
            </w:r>
          </w:p>
        </w:tc>
        <w:tc>
          <w:tcPr>
            <w:tcW w:w="80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6,187</w:t>
            </w:r>
          </w:p>
        </w:tc>
        <w:tc>
          <w:tcPr>
            <w:tcW w:w="346" w:type="dxa"/>
            <w:tcBorders/>
            <w:vAlign w:val="center"/>
          </w:tcPr>
          <w:p>
            <w:pPr>
              <w:pStyle w:val="TableContents"/>
              <w:bidi w:val="0"/>
              <w:spacing w:before="0" w:after="0"/>
              <w:ind w:left="0" w:right="0" w:hanging="0"/>
              <w:jc w:val="right"/>
              <w:rPr/>
            </w:pPr>
            <w:r>
              <w:rPr/>
              <w:t>​</w:t>
            </w:r>
          </w:p>
        </w:tc>
        <w:tc>
          <w:tcPr>
            <w:tcW w:w="199" w:type="dxa"/>
            <w:tcBorders/>
            <w:vAlign w:val="center"/>
          </w:tcPr>
          <w:p>
            <w:pPr>
              <w:pStyle w:val="TableContents"/>
              <w:bidi w:val="0"/>
              <w:spacing w:before="0" w:after="0"/>
              <w:ind w:left="0" w:right="0" w:hanging="0"/>
              <w:jc w:val="left"/>
              <w:rPr/>
            </w:pPr>
            <w:r>
              <w:rPr/>
              <w:t>​</w:t>
            </w:r>
          </w:p>
        </w:tc>
        <w:tc>
          <w:tcPr>
            <w:tcW w:w="73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13,162</w:t>
            </w:r>
          </w:p>
        </w:tc>
        <w:tc>
          <w:tcPr>
            <w:tcW w:w="352"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w:t>
            </w:r>
          </w:p>
        </w:tc>
        <w:tc>
          <w:tcPr>
            <w:tcW w:w="78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12,067</w:t>
            </w:r>
          </w:p>
        </w:tc>
      </w:tr>
      <w:tr>
        <w:trPr/>
        <w:tc>
          <w:tcPr>
            <w:tcW w:w="435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 in fair value of acquisition contingent earn-outs</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w:t>
            </w:r>
          </w:p>
        </w:tc>
        <w:tc>
          <w:tcPr>
            <w:tcW w:w="385"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2,300</w:t>
            </w:r>
          </w:p>
        </w:tc>
        <w:tc>
          <w:tcPr>
            <w:tcW w:w="346" w:type="dxa"/>
            <w:tcBorders/>
            <w:shd w:fill="CCEEFF" w:val="clear"/>
            <w:vAlign w:val="center"/>
          </w:tcPr>
          <w:p>
            <w:pPr>
              <w:pStyle w:val="TableContents"/>
              <w:bidi w:val="0"/>
              <w:spacing w:before="0" w:after="0"/>
              <w:ind w:left="0" w:right="0" w:hanging="0"/>
              <w:jc w:val="right"/>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73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(5,838)</w:t>
            </w:r>
          </w:p>
        </w:tc>
        <w:tc>
          <w:tcPr>
            <w:tcW w:w="352"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78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(12,400)</w:t>
            </w:r>
          </w:p>
        </w:tc>
      </w:tr>
      <w:tr>
        <w:trPr/>
        <w:tc>
          <w:tcPr>
            <w:tcW w:w="435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operating expense, net</w:t>
            </w:r>
          </w:p>
        </w:tc>
        <w:tc>
          <w:tcPr>
            <w:tcW w:w="346"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1,277</w:t>
            </w:r>
          </w:p>
        </w:tc>
        <w:tc>
          <w:tcPr>
            <w:tcW w:w="385"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4,149</w:t>
            </w:r>
          </w:p>
        </w:tc>
        <w:tc>
          <w:tcPr>
            <w:tcW w:w="346" w:type="dxa"/>
            <w:tcBorders/>
            <w:vAlign w:val="center"/>
          </w:tcPr>
          <w:p>
            <w:pPr>
              <w:pStyle w:val="TableContents"/>
              <w:bidi w:val="0"/>
              <w:spacing w:before="0" w:after="0"/>
              <w:ind w:left="0" w:right="0" w:hanging="0"/>
              <w:jc w:val="right"/>
              <w:rPr/>
            </w:pPr>
            <w:r>
              <w:rPr/>
              <w:t>​</w:t>
            </w:r>
          </w:p>
        </w:tc>
        <w:tc>
          <w:tcPr>
            <w:tcW w:w="1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4,524</w:t>
            </w:r>
          </w:p>
        </w:tc>
        <w:tc>
          <w:tcPr>
            <w:tcW w:w="352" w:type="dxa"/>
            <w:tcBorders/>
            <w:vAlign w:val="center"/>
          </w:tcPr>
          <w:p>
            <w:pPr>
              <w:pStyle w:val="TableContents"/>
              <w:bidi w:val="0"/>
              <w:spacing w:before="0" w:after="0"/>
              <w:ind w:left="0" w:right="0" w:hanging="0"/>
              <w:jc w:val="left"/>
              <w:rPr/>
            </w:pPr>
            <w:r>
              <w:rPr/>
              <w:t>​</w:t>
            </w:r>
          </w:p>
        </w:tc>
        <w:tc>
          <w:tcPr>
            <w:tcW w:w="1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7,408</w:t>
            </w:r>
          </w:p>
        </w:tc>
      </w:tr>
      <w:tr>
        <w:trPr/>
        <w:tc>
          <w:tcPr>
            <w:tcW w:w="435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135,743</w:t>
            </w:r>
          </w:p>
        </w:tc>
        <w:tc>
          <w:tcPr>
            <w:tcW w:w="385"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125,064</w:t>
            </w:r>
          </w:p>
        </w:tc>
        <w:tc>
          <w:tcPr>
            <w:tcW w:w="346" w:type="dxa"/>
            <w:tcBorders/>
            <w:shd w:fill="CCEEFF" w:val="clear"/>
            <w:vAlign w:val="center"/>
          </w:tcPr>
          <w:p>
            <w:pPr>
              <w:pStyle w:val="TableContents"/>
              <w:bidi w:val="0"/>
              <w:spacing w:before="0" w:after="0"/>
              <w:ind w:left="0" w:right="0" w:hanging="0"/>
              <w:jc w:val="right"/>
              <w:rPr/>
            </w:pPr>
            <w:r>
              <w:rPr/>
              <w:t>​</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271,218</w:t>
            </w:r>
          </w:p>
        </w:tc>
        <w:tc>
          <w:tcPr>
            <w:tcW w:w="352" w:type="dxa"/>
            <w:tcBorders/>
            <w:shd w:fill="CCEEFF" w:val="clear"/>
            <w:vAlign w:val="center"/>
          </w:tcPr>
          <w:p>
            <w:pPr>
              <w:pStyle w:val="TableContents"/>
              <w:bidi w:val="0"/>
              <w:spacing w:before="0" w:after="0"/>
              <w:ind w:left="0" w:right="0" w:hanging="0"/>
              <w:jc w:val="left"/>
              <w:rPr/>
            </w:pPr>
            <w:r>
              <w:rPr/>
              <w:t>​</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233,572</w:t>
            </w:r>
          </w:p>
        </w:tc>
      </w:tr>
      <w:tr>
        <w:trPr/>
        <w:tc>
          <w:tcPr>
            <w:tcW w:w="435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(loss) from operations</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 </w:t>
            </w:r>
          </w:p>
        </w:tc>
        <w:tc>
          <w:tcPr>
            <w:tcW w:w="80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(4,443)</w:t>
            </w:r>
          </w:p>
        </w:tc>
        <w:tc>
          <w:tcPr>
            <w:tcW w:w="385"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 </w:t>
            </w:r>
          </w:p>
        </w:tc>
        <w:tc>
          <w:tcPr>
            <w:tcW w:w="80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(3,864)</w:t>
            </w:r>
          </w:p>
        </w:tc>
        <w:tc>
          <w:tcPr>
            <w:tcW w:w="346" w:type="dxa"/>
            <w:tcBorders/>
            <w:vAlign w:val="center"/>
          </w:tcPr>
          <w:p>
            <w:pPr>
              <w:pStyle w:val="TableContents"/>
              <w:bidi w:val="0"/>
              <w:spacing w:before="0" w:after="0"/>
              <w:ind w:left="0" w:right="0" w:hanging="0"/>
              <w:jc w:val="right"/>
              <w:rPr/>
            </w:pPr>
            <w:r>
              <w:rPr/>
              <w:t>​</w:t>
            </w:r>
          </w:p>
        </w:tc>
        <w:tc>
          <w:tcPr>
            <w:tcW w:w="199" w:type="dxa"/>
            <w:tcBorders/>
            <w:vAlign w:val="center"/>
          </w:tcPr>
          <w:p>
            <w:pPr>
              <w:pStyle w:val="TableContents"/>
              <w:bidi w:val="0"/>
              <w:spacing w:before="0" w:after="0"/>
              <w:ind w:left="0" w:right="0" w:hanging="0"/>
              <w:jc w:val="left"/>
              <w:rPr/>
            </w:pPr>
            <w:r>
              <w:rPr/>
              <w:t>​</w:t>
            </w:r>
          </w:p>
        </w:tc>
        <w:tc>
          <w:tcPr>
            <w:tcW w:w="73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(15,049)</w:t>
            </w:r>
          </w:p>
        </w:tc>
        <w:tc>
          <w:tcPr>
            <w:tcW w:w="352"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w:t>
            </w:r>
          </w:p>
        </w:tc>
        <w:tc>
          <w:tcPr>
            <w:tcW w:w="78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622</w:t>
            </w:r>
          </w:p>
        </w:tc>
      </w:tr>
      <w:tr>
        <w:trPr/>
        <w:tc>
          <w:tcPr>
            <w:tcW w:w="4351" w:type="dxa"/>
            <w:tcBorders/>
            <w:shd w:fill="CCEEFF" w:val="clear"/>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Other (income)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804" w:type="dxa"/>
            <w:tcBorders/>
            <w:shd w:fill="CCEEFF" w:val="clear"/>
            <w:vAlign w:val="center"/>
          </w:tcPr>
          <w:p>
            <w:pPr>
              <w:pStyle w:val="TableContents"/>
              <w:bidi w:val="0"/>
              <w:spacing w:before="0" w:after="0"/>
              <w:ind w:left="0" w:right="0" w:hanging="0"/>
              <w:jc w:val="right"/>
              <w:rPr/>
            </w:pPr>
            <w:r>
              <w:rPr/>
              <w:t>​</w:t>
            </w:r>
          </w:p>
        </w:tc>
        <w:tc>
          <w:tcPr>
            <w:tcW w:w="385"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80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734" w:type="dxa"/>
            <w:tcBorders/>
            <w:shd w:fill="CCEEFF" w:val="clear"/>
            <w:vAlign w:val="center"/>
          </w:tcPr>
          <w:p>
            <w:pPr>
              <w:pStyle w:val="TableContents"/>
              <w:bidi w:val="0"/>
              <w:spacing w:before="0" w:after="0"/>
              <w:ind w:left="0" w:right="0" w:hanging="0"/>
              <w:jc w:val="right"/>
              <w:rPr/>
            </w:pPr>
            <w:r>
              <w:rPr/>
              <w:t>​</w:t>
            </w:r>
          </w:p>
        </w:tc>
        <w:tc>
          <w:tcPr>
            <w:tcW w:w="352"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780" w:type="dxa"/>
            <w:tcBorders/>
            <w:shd w:fill="CCEEFF" w:val="clear"/>
            <w:vAlign w:val="center"/>
          </w:tcPr>
          <w:p>
            <w:pPr>
              <w:pStyle w:val="TableContents"/>
              <w:bidi w:val="0"/>
              <w:spacing w:before="0" w:after="0"/>
              <w:ind w:left="0" w:right="0" w:hanging="0"/>
              <w:jc w:val="right"/>
              <w:rPr/>
            </w:pPr>
            <w:r>
              <w:rPr/>
              <w:t>​</w:t>
            </w:r>
          </w:p>
        </w:tc>
      </w:tr>
      <w:tr>
        <w:trPr/>
        <w:tc>
          <w:tcPr>
            <w:tcW w:w="435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income, net</w:t>
            </w:r>
          </w:p>
        </w:tc>
        <w:tc>
          <w:tcPr>
            <w:tcW w:w="346"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(344)</w:t>
            </w:r>
          </w:p>
        </w:tc>
        <w:tc>
          <w:tcPr>
            <w:tcW w:w="385"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(1,228)</w:t>
            </w:r>
          </w:p>
        </w:tc>
        <w:tc>
          <w:tcPr>
            <w:tcW w:w="346" w:type="dxa"/>
            <w:tcBorders/>
            <w:vAlign w:val="center"/>
          </w:tcPr>
          <w:p>
            <w:pPr>
              <w:pStyle w:val="TableContents"/>
              <w:bidi w:val="0"/>
              <w:spacing w:before="0" w:after="0"/>
              <w:ind w:left="0" w:right="0" w:hanging="0"/>
              <w:jc w:val="right"/>
              <w:rPr/>
            </w:pPr>
            <w:r>
              <w:rPr/>
              <w:t>​</w:t>
            </w:r>
          </w:p>
        </w:tc>
        <w:tc>
          <w:tcPr>
            <w:tcW w:w="1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(1,301)</w:t>
            </w:r>
          </w:p>
        </w:tc>
        <w:tc>
          <w:tcPr>
            <w:tcW w:w="352" w:type="dxa"/>
            <w:tcBorders/>
            <w:vAlign w:val="center"/>
          </w:tcPr>
          <w:p>
            <w:pPr>
              <w:pStyle w:val="TableContents"/>
              <w:bidi w:val="0"/>
              <w:spacing w:before="0" w:after="0"/>
              <w:ind w:left="0" w:right="0" w:hanging="0"/>
              <w:jc w:val="left"/>
              <w:rPr/>
            </w:pPr>
            <w:r>
              <w:rPr/>
              <w:t>​</w:t>
            </w:r>
          </w:p>
        </w:tc>
        <w:tc>
          <w:tcPr>
            <w:tcW w:w="1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(2,767)</w:t>
            </w:r>
          </w:p>
        </w:tc>
      </w:tr>
      <w:tr>
        <w:trPr/>
        <w:tc>
          <w:tcPr>
            <w:tcW w:w="435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(loss)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(4,099)</w:t>
            </w:r>
          </w:p>
        </w:tc>
        <w:tc>
          <w:tcPr>
            <w:tcW w:w="385"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(2,636)</w:t>
            </w:r>
          </w:p>
        </w:tc>
        <w:tc>
          <w:tcPr>
            <w:tcW w:w="346" w:type="dxa"/>
            <w:tcBorders/>
            <w:shd w:fill="CCEEFF" w:val="clear"/>
            <w:vAlign w:val="center"/>
          </w:tcPr>
          <w:p>
            <w:pPr>
              <w:pStyle w:val="TableContents"/>
              <w:bidi w:val="0"/>
              <w:spacing w:before="0" w:after="0"/>
              <w:ind w:left="0" w:right="0" w:hanging="0"/>
              <w:jc w:val="right"/>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73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(13,748)</w:t>
            </w:r>
          </w:p>
        </w:tc>
        <w:tc>
          <w:tcPr>
            <w:tcW w:w="352"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pPr>
            <w:r>
              <w:rPr/>
              <w:t> </w:t>
            </w:r>
          </w:p>
        </w:tc>
        <w:tc>
          <w:tcPr>
            <w:tcW w:w="78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3,389</w:t>
            </w:r>
          </w:p>
        </w:tc>
      </w:tr>
      <w:tr>
        <w:trPr/>
        <w:tc>
          <w:tcPr>
            <w:tcW w:w="4351"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Income tax benefit</w:t>
            </w:r>
          </w:p>
        </w:tc>
        <w:tc>
          <w:tcPr>
            <w:tcW w:w="346"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(13,142)</w:t>
            </w:r>
          </w:p>
        </w:tc>
        <w:tc>
          <w:tcPr>
            <w:tcW w:w="385"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(1,675)</w:t>
            </w:r>
          </w:p>
        </w:tc>
        <w:tc>
          <w:tcPr>
            <w:tcW w:w="346" w:type="dxa"/>
            <w:tcBorders/>
            <w:vAlign w:val="center"/>
          </w:tcPr>
          <w:p>
            <w:pPr>
              <w:pStyle w:val="TableContents"/>
              <w:bidi w:val="0"/>
              <w:spacing w:before="0" w:after="0"/>
              <w:ind w:left="0" w:right="0" w:hanging="0"/>
              <w:jc w:val="right"/>
              <w:rPr/>
            </w:pPr>
            <w:r>
              <w:rPr/>
              <w:t>​</w:t>
            </w:r>
          </w:p>
        </w:tc>
        <w:tc>
          <w:tcPr>
            <w:tcW w:w="1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(20,281)</w:t>
            </w:r>
          </w:p>
        </w:tc>
        <w:tc>
          <w:tcPr>
            <w:tcW w:w="352" w:type="dxa"/>
            <w:tcBorders/>
            <w:vAlign w:val="center"/>
          </w:tcPr>
          <w:p>
            <w:pPr>
              <w:pStyle w:val="TableContents"/>
              <w:bidi w:val="0"/>
              <w:spacing w:before="0" w:after="0"/>
              <w:ind w:left="0" w:right="0" w:hanging="0"/>
              <w:jc w:val="left"/>
              <w:rPr/>
            </w:pPr>
            <w:r>
              <w:rPr/>
              <w:t>​</w:t>
            </w:r>
          </w:p>
        </w:tc>
        <w:tc>
          <w:tcPr>
            <w:tcW w:w="1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(6,780)</w:t>
            </w:r>
          </w:p>
        </w:tc>
      </w:tr>
      <w:tr>
        <w:trPr/>
        <w:tc>
          <w:tcPr>
            <w:tcW w:w="435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9,043</w:t>
            </w:r>
          </w:p>
        </w:tc>
        <w:tc>
          <w:tcPr>
            <w:tcW w:w="385"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(961)</w:t>
            </w:r>
          </w:p>
        </w:tc>
        <w:tc>
          <w:tcPr>
            <w:tcW w:w="346" w:type="dxa"/>
            <w:tcBorders/>
            <w:shd w:fill="CCEEFF" w:val="clear"/>
            <w:vAlign w:val="center"/>
          </w:tcPr>
          <w:p>
            <w:pPr>
              <w:pStyle w:val="TableContents"/>
              <w:bidi w:val="0"/>
              <w:spacing w:before="0" w:after="0"/>
              <w:ind w:left="0" w:right="0" w:hanging="0"/>
              <w:jc w:val="right"/>
              <w:rPr/>
            </w:pPr>
            <w:r>
              <w:rPr/>
              <w:t>​</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6,533</w:t>
            </w:r>
          </w:p>
        </w:tc>
        <w:tc>
          <w:tcPr>
            <w:tcW w:w="352" w:type="dxa"/>
            <w:tcBorders/>
            <w:shd w:fill="CCEEFF" w:val="clear"/>
            <w:vAlign w:val="center"/>
          </w:tcPr>
          <w:p>
            <w:pPr>
              <w:pStyle w:val="TableContents"/>
              <w:bidi w:val="0"/>
              <w:spacing w:before="0" w:after="0"/>
              <w:ind w:left="0" w:right="0" w:hanging="0"/>
              <w:jc w:val="left"/>
              <w:rPr/>
            </w:pPr>
            <w:r>
              <w:rPr/>
              <w:t>​</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10,169</w:t>
            </w:r>
          </w:p>
        </w:tc>
      </w:tr>
      <w:tr>
        <w:trPr/>
        <w:tc>
          <w:tcPr>
            <w:tcW w:w="435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comprehensive (income) loss:</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 </w:t>
            </w:r>
          </w:p>
        </w:tc>
        <w:tc>
          <w:tcPr>
            <w:tcW w:w="804" w:type="dxa"/>
            <w:tcBorders/>
            <w:vAlign w:val="center"/>
          </w:tcPr>
          <w:p>
            <w:pPr>
              <w:pStyle w:val="TableContents"/>
              <w:bidi w:val="0"/>
              <w:spacing w:before="0" w:after="0"/>
              <w:ind w:left="0" w:right="0" w:hanging="0"/>
              <w:jc w:val="left"/>
              <w:rPr/>
            </w:pPr>
            <w:r>
              <w:rPr/>
              <w:t>​</w:t>
            </w:r>
          </w:p>
        </w:tc>
        <w:tc>
          <w:tcPr>
            <w:tcW w:w="385"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w:t>
            </w:r>
          </w:p>
        </w:tc>
        <w:tc>
          <w:tcPr>
            <w:tcW w:w="734"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w:t>
            </w:r>
          </w:p>
        </w:tc>
        <w:tc>
          <w:tcPr>
            <w:tcW w:w="780" w:type="dxa"/>
            <w:tcBorders/>
            <w:vAlign w:val="center"/>
          </w:tcPr>
          <w:p>
            <w:pPr>
              <w:pStyle w:val="TableContents"/>
              <w:bidi w:val="0"/>
              <w:spacing w:before="0" w:after="0"/>
              <w:ind w:left="0" w:right="0" w:hanging="0"/>
              <w:jc w:val="left"/>
              <w:rPr/>
            </w:pPr>
            <w:r>
              <w:rPr/>
              <w:t>​</w:t>
            </w:r>
          </w:p>
        </w:tc>
      </w:tr>
      <w:tr>
        <w:trPr/>
        <w:tc>
          <w:tcPr>
            <w:tcW w:w="435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Foreign currency translation adjustments, net of tax</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2,737</w:t>
            </w:r>
          </w:p>
        </w:tc>
        <w:tc>
          <w:tcPr>
            <w:tcW w:w="385"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(29,734)</w:t>
            </w:r>
          </w:p>
        </w:tc>
        <w:tc>
          <w:tcPr>
            <w:tcW w:w="346" w:type="dxa"/>
            <w:tcBorders/>
            <w:shd w:fill="CCEEFF" w:val="clear"/>
            <w:vAlign w:val="center"/>
          </w:tcPr>
          <w:p>
            <w:pPr>
              <w:pStyle w:val="TableContents"/>
              <w:bidi w:val="0"/>
              <w:spacing w:before="0" w:after="0"/>
              <w:ind w:left="0" w:right="0" w:hanging="0"/>
              <w:jc w:val="right"/>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73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9,187</w:t>
            </w:r>
          </w:p>
        </w:tc>
        <w:tc>
          <w:tcPr>
            <w:tcW w:w="352"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78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(44,839)</w:t>
            </w:r>
          </w:p>
        </w:tc>
      </w:tr>
      <w:tr>
        <w:trPr/>
        <w:tc>
          <w:tcPr>
            <w:tcW w:w="435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Unrealized loss on investments, net of tax</w:t>
            </w:r>
          </w:p>
        </w:tc>
        <w:tc>
          <w:tcPr>
            <w:tcW w:w="346"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85"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52" w:type="dxa"/>
            <w:tcBorders/>
            <w:vAlign w:val="center"/>
          </w:tcPr>
          <w:p>
            <w:pPr>
              <w:pStyle w:val="TableContents"/>
              <w:bidi w:val="0"/>
              <w:spacing w:before="0" w:after="0"/>
              <w:ind w:left="0" w:right="0" w:hanging="0"/>
              <w:jc w:val="left"/>
              <w:rPr/>
            </w:pPr>
            <w:r>
              <w:rPr/>
              <w:t>​</w:t>
            </w:r>
          </w:p>
        </w:tc>
        <w:tc>
          <w:tcPr>
            <w:tcW w:w="1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w:t>
            </w:r>
          </w:p>
        </w:tc>
      </w:tr>
      <w:tr>
        <w:trPr/>
        <w:tc>
          <w:tcPr>
            <w:tcW w:w="435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other comprehensive income (loss), net of tax</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2,737</w:t>
            </w:r>
          </w:p>
        </w:tc>
        <w:tc>
          <w:tcPr>
            <w:tcW w:w="385"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(29,734)</w:t>
            </w:r>
          </w:p>
        </w:tc>
        <w:tc>
          <w:tcPr>
            <w:tcW w:w="346" w:type="dxa"/>
            <w:tcBorders/>
            <w:shd w:fill="CCEEFF" w:val="clear"/>
            <w:vAlign w:val="center"/>
          </w:tcPr>
          <w:p>
            <w:pPr>
              <w:pStyle w:val="TableContents"/>
              <w:bidi w:val="0"/>
              <w:spacing w:before="0" w:after="0"/>
              <w:ind w:left="0" w:right="0" w:hanging="0"/>
              <w:jc w:val="right"/>
              <w:rPr/>
            </w:pPr>
            <w:r>
              <w:rPr/>
              <w:t>​</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9,187</w:t>
            </w:r>
          </w:p>
        </w:tc>
        <w:tc>
          <w:tcPr>
            <w:tcW w:w="352" w:type="dxa"/>
            <w:tcBorders/>
            <w:shd w:fill="CCEEFF" w:val="clear"/>
            <w:vAlign w:val="center"/>
          </w:tcPr>
          <w:p>
            <w:pPr>
              <w:pStyle w:val="TableContents"/>
              <w:bidi w:val="0"/>
              <w:spacing w:before="0" w:after="0"/>
              <w:ind w:left="0" w:right="0" w:hanging="0"/>
              <w:jc w:val="left"/>
              <w:rPr/>
            </w:pPr>
            <w:r>
              <w:rPr/>
              <w:t>​</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(44,830)</w:t>
            </w:r>
          </w:p>
        </w:tc>
      </w:tr>
      <w:tr>
        <w:trPr/>
        <w:tc>
          <w:tcPr>
            <w:tcW w:w="435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comprehensive income (loss)</w:t>
            </w:r>
          </w:p>
        </w:tc>
        <w:tc>
          <w:tcPr>
            <w:tcW w:w="346" w:type="dxa"/>
            <w:tcBorders/>
            <w:vAlign w:val="center"/>
          </w:tcPr>
          <w:p>
            <w:pPr>
              <w:pStyle w:val="TableContents"/>
              <w:bidi w:val="0"/>
              <w:spacing w:before="0" w:after="0"/>
              <w:ind w:left="0" w:right="0" w:hanging="0"/>
              <w:jc w:val="left"/>
              <w:rPr/>
            </w:pPr>
            <w:r>
              <w:rPr/>
              <w:t>​</w:t>
            </w:r>
          </w:p>
        </w:tc>
        <w:tc>
          <w:tcPr>
            <w:tcW w:w="21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6,306</w:t>
            </w:r>
          </w:p>
        </w:tc>
        <w:tc>
          <w:tcPr>
            <w:tcW w:w="385" w:type="dxa"/>
            <w:tcBorders/>
            <w:vAlign w:val="center"/>
          </w:tcPr>
          <w:p>
            <w:pPr>
              <w:pStyle w:val="TableContents"/>
              <w:bidi w:val="0"/>
              <w:spacing w:before="0" w:after="0"/>
              <w:ind w:left="0" w:right="0" w:hanging="0"/>
              <w:jc w:val="left"/>
              <w:rPr/>
            </w:pPr>
            <w:r>
              <w:rPr/>
              <w:t>​</w:t>
            </w:r>
          </w:p>
        </w:tc>
        <w:tc>
          <w:tcPr>
            <w:tcW w:w="21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28,773</w:t>
            </w:r>
          </w:p>
        </w:tc>
        <w:tc>
          <w:tcPr>
            <w:tcW w:w="346" w:type="dxa"/>
            <w:tcBorders/>
            <w:vAlign w:val="center"/>
          </w:tcPr>
          <w:p>
            <w:pPr>
              <w:pStyle w:val="TableContents"/>
              <w:bidi w:val="0"/>
              <w:spacing w:before="0" w:after="0"/>
              <w:ind w:left="0" w:right="0" w:hanging="0"/>
              <w:jc w:val="right"/>
              <w:rPr/>
            </w:pPr>
            <w:r>
              <w:rPr/>
              <w:t>​</w:t>
            </w:r>
          </w:p>
        </w:tc>
        <w:tc>
          <w:tcPr>
            <w:tcW w:w="19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3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(2,654)</w:t>
            </w:r>
          </w:p>
        </w:tc>
        <w:tc>
          <w:tcPr>
            <w:tcW w:w="352" w:type="dxa"/>
            <w:tcBorders/>
            <w:vAlign w:val="center"/>
          </w:tcPr>
          <w:p>
            <w:pPr>
              <w:pStyle w:val="TableContents"/>
              <w:bidi w:val="0"/>
              <w:spacing w:before="0" w:after="0"/>
              <w:ind w:left="0" w:right="0" w:hanging="0"/>
              <w:jc w:val="left"/>
              <w:rPr/>
            </w:pPr>
            <w:r>
              <w:rPr/>
              <w:t>​</w:t>
            </w:r>
          </w:p>
        </w:tc>
        <w:tc>
          <w:tcPr>
            <w:tcW w:w="19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8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54,999</w:t>
            </w:r>
          </w:p>
        </w:tc>
      </w:tr>
      <w:tr>
        <w:trPr/>
        <w:tc>
          <w:tcPr>
            <w:tcW w:w="43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right"/>
              <w:rPr/>
            </w:pPr>
            <w:r>
              <w:rPr/>
              <w:t>​</w:t>
            </w:r>
          </w:p>
        </w:tc>
        <w:tc>
          <w:tcPr>
            <w:tcW w:w="804" w:type="dxa"/>
            <w:tcBorders/>
            <w:shd w:fill="CCEEFF" w:val="clear"/>
            <w:vAlign w:val="center"/>
          </w:tcPr>
          <w:p>
            <w:pPr>
              <w:pStyle w:val="TableContents"/>
              <w:bidi w:val="0"/>
              <w:spacing w:before="0" w:after="0"/>
              <w:ind w:left="0" w:right="0" w:hanging="0"/>
              <w:jc w:val="right"/>
              <w:rPr/>
            </w:pPr>
            <w:r>
              <w:rPr/>
              <w:t>​</w:t>
            </w:r>
          </w:p>
        </w:tc>
        <w:tc>
          <w:tcPr>
            <w:tcW w:w="385"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right"/>
              <w:rPr/>
            </w:pPr>
            <w:r>
              <w:rPr/>
              <w:t>​</w:t>
            </w:r>
          </w:p>
        </w:tc>
        <w:tc>
          <w:tcPr>
            <w:tcW w:w="80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9" w:type="dxa"/>
            <w:tcBorders/>
            <w:shd w:fill="CCEEFF" w:val="clear"/>
            <w:vAlign w:val="center"/>
          </w:tcPr>
          <w:p>
            <w:pPr>
              <w:pStyle w:val="TableContents"/>
              <w:bidi w:val="0"/>
              <w:spacing w:before="0" w:after="0"/>
              <w:ind w:left="0" w:right="0" w:hanging="0"/>
              <w:jc w:val="right"/>
              <w:rPr/>
            </w:pPr>
            <w:r>
              <w:rPr/>
              <w:t>​</w:t>
            </w:r>
          </w:p>
        </w:tc>
        <w:tc>
          <w:tcPr>
            <w:tcW w:w="734" w:type="dxa"/>
            <w:tcBorders/>
            <w:shd w:fill="CCEEFF" w:val="clear"/>
            <w:vAlign w:val="center"/>
          </w:tcPr>
          <w:p>
            <w:pPr>
              <w:pStyle w:val="TableContents"/>
              <w:bidi w:val="0"/>
              <w:spacing w:before="0" w:after="0"/>
              <w:ind w:left="0" w:right="0" w:hanging="0"/>
              <w:jc w:val="right"/>
              <w:rPr/>
            </w:pPr>
            <w:r>
              <w:rPr/>
              <w:t>​</w:t>
            </w:r>
          </w:p>
        </w:tc>
        <w:tc>
          <w:tcPr>
            <w:tcW w:w="352"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right"/>
              <w:rPr/>
            </w:pPr>
            <w:r>
              <w:rPr/>
              <w:t>​</w:t>
            </w:r>
          </w:p>
        </w:tc>
        <w:tc>
          <w:tcPr>
            <w:tcW w:w="780" w:type="dxa"/>
            <w:tcBorders/>
            <w:shd w:fill="CCEEFF" w:val="clear"/>
            <w:vAlign w:val="center"/>
          </w:tcPr>
          <w:p>
            <w:pPr>
              <w:pStyle w:val="TableContents"/>
              <w:bidi w:val="0"/>
              <w:spacing w:before="0" w:after="0"/>
              <w:ind w:left="0" w:right="0" w:hanging="0"/>
              <w:jc w:val="right"/>
              <w:rPr/>
            </w:pPr>
            <w:r>
              <w:rPr/>
              <w:t>​</w:t>
            </w:r>
          </w:p>
        </w:tc>
      </w:tr>
      <w:tr>
        <w:trPr/>
        <w:tc>
          <w:tcPr>
            <w:tcW w:w="4351"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Net income (loss) per share of Class A and Class B, basic</w:t>
            </w:r>
          </w:p>
        </w:tc>
        <w:tc>
          <w:tcPr>
            <w:tcW w:w="346" w:type="dxa"/>
            <w:tcBorders/>
            <w:vAlign w:val="center"/>
          </w:tcPr>
          <w:p>
            <w:pPr>
              <w:pStyle w:val="TableContents"/>
              <w:bidi w:val="0"/>
              <w:spacing w:before="0" w:after="0"/>
              <w:ind w:left="0" w:right="0" w:hanging="0"/>
              <w:jc w:val="left"/>
              <w:rPr/>
            </w:pPr>
            <w:r>
              <w:rPr/>
              <w:t>​</w:t>
            </w:r>
          </w:p>
        </w:tc>
        <w:tc>
          <w:tcPr>
            <w:tcW w:w="21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0.06</w:t>
            </w:r>
          </w:p>
        </w:tc>
        <w:tc>
          <w:tcPr>
            <w:tcW w:w="385" w:type="dxa"/>
            <w:tcBorders/>
            <w:vAlign w:val="center"/>
          </w:tcPr>
          <w:p>
            <w:pPr>
              <w:pStyle w:val="TableContents"/>
              <w:bidi w:val="0"/>
              <w:spacing w:before="0" w:after="0"/>
              <w:ind w:left="0" w:right="0" w:hanging="0"/>
              <w:jc w:val="left"/>
              <w:rPr/>
            </w:pPr>
            <w:r>
              <w:rPr/>
              <w:t>​</w:t>
            </w:r>
          </w:p>
        </w:tc>
        <w:tc>
          <w:tcPr>
            <w:tcW w:w="21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(0.01)</w:t>
            </w:r>
          </w:p>
        </w:tc>
        <w:tc>
          <w:tcPr>
            <w:tcW w:w="346" w:type="dxa"/>
            <w:tcBorders/>
            <w:vAlign w:val="center"/>
          </w:tcPr>
          <w:p>
            <w:pPr>
              <w:pStyle w:val="TableContents"/>
              <w:bidi w:val="0"/>
              <w:spacing w:before="0" w:after="0"/>
              <w:ind w:left="0" w:right="0" w:hanging="0"/>
              <w:jc w:val="right"/>
              <w:rPr/>
            </w:pPr>
            <w:r>
              <w:rPr/>
              <w:t>​</w:t>
            </w:r>
          </w:p>
        </w:tc>
        <w:tc>
          <w:tcPr>
            <w:tcW w:w="19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3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0.04</w:t>
            </w:r>
          </w:p>
        </w:tc>
        <w:tc>
          <w:tcPr>
            <w:tcW w:w="352" w:type="dxa"/>
            <w:tcBorders/>
            <w:vAlign w:val="center"/>
          </w:tcPr>
          <w:p>
            <w:pPr>
              <w:pStyle w:val="TableContents"/>
              <w:bidi w:val="0"/>
              <w:spacing w:before="0" w:after="0"/>
              <w:ind w:left="0" w:right="0" w:hanging="0"/>
              <w:jc w:val="left"/>
              <w:rPr/>
            </w:pPr>
            <w:r>
              <w:rPr/>
              <w:t>​</w:t>
            </w:r>
          </w:p>
        </w:tc>
        <w:tc>
          <w:tcPr>
            <w:tcW w:w="19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8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0.06</w:t>
            </w:r>
          </w:p>
        </w:tc>
      </w:tr>
      <w:tr>
        <w:trPr/>
        <w:tc>
          <w:tcPr>
            <w:tcW w:w="4351" w:type="dxa"/>
            <w:tcBorders/>
            <w:shd w:fill="CCEEFF" w:val="clear"/>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Net income (loss) per share of Class A and Class B, diluted</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0.06</w:t>
            </w:r>
          </w:p>
        </w:tc>
        <w:tc>
          <w:tcPr>
            <w:tcW w:w="385" w:type="dxa"/>
            <w:tcBorders/>
            <w:shd w:fill="CCEEFF" w:val="clear"/>
            <w:vAlign w:val="center"/>
          </w:tcPr>
          <w:p>
            <w:pPr>
              <w:pStyle w:val="TableContents"/>
              <w:bidi w:val="0"/>
              <w:spacing w:before="0" w:after="0"/>
              <w:ind w:left="0" w:right="0" w:hanging="0"/>
              <w:jc w:val="left"/>
              <w:rPr/>
            </w:pPr>
            <w:r>
              <w:rPr/>
              <w:t>​</w:t>
            </w:r>
          </w:p>
        </w:tc>
        <w:tc>
          <w:tcPr>
            <w:tcW w:w="21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(0.01)</w:t>
            </w:r>
          </w:p>
        </w:tc>
        <w:tc>
          <w:tcPr>
            <w:tcW w:w="346" w:type="dxa"/>
            <w:tcBorders/>
            <w:shd w:fill="CCEEFF" w:val="clear"/>
            <w:vAlign w:val="center"/>
          </w:tcPr>
          <w:p>
            <w:pPr>
              <w:pStyle w:val="TableContents"/>
              <w:bidi w:val="0"/>
              <w:spacing w:before="0" w:after="0"/>
              <w:ind w:left="0" w:right="0" w:hanging="0"/>
              <w:jc w:val="right"/>
              <w:rPr/>
            </w:pPr>
            <w:r>
              <w:rPr/>
              <w:t>​</w:t>
            </w:r>
          </w:p>
        </w:tc>
        <w:tc>
          <w:tcPr>
            <w:tcW w:w="1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0.04</w:t>
            </w:r>
          </w:p>
        </w:tc>
        <w:tc>
          <w:tcPr>
            <w:tcW w:w="352" w:type="dxa"/>
            <w:tcBorders/>
            <w:shd w:fill="CCEEFF" w:val="clear"/>
            <w:vAlign w:val="center"/>
          </w:tcPr>
          <w:p>
            <w:pPr>
              <w:pStyle w:val="TableContents"/>
              <w:bidi w:val="0"/>
              <w:spacing w:before="0" w:after="0"/>
              <w:ind w:left="0" w:right="0" w:hanging="0"/>
              <w:jc w:val="left"/>
              <w:rPr/>
            </w:pPr>
            <w:r>
              <w:rPr/>
              <w:t>​</w:t>
            </w:r>
          </w:p>
        </w:tc>
        <w:tc>
          <w:tcPr>
            <w:tcW w:w="1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8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0.06</w:t>
            </w:r>
          </w:p>
        </w:tc>
      </w:tr>
      <w:tr>
        <w:trPr/>
        <w:tc>
          <w:tcPr>
            <w:tcW w:w="4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right"/>
              <w:rPr/>
            </w:pPr>
            <w:r>
              <w:rPr/>
              <w:t>​</w:t>
            </w:r>
          </w:p>
        </w:tc>
        <w:tc>
          <w:tcPr>
            <w:tcW w:w="385"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9" w:type="dxa"/>
            <w:tcBorders/>
            <w:vAlign w:val="center"/>
          </w:tcPr>
          <w:p>
            <w:pPr>
              <w:pStyle w:val="TableContents"/>
              <w:bidi w:val="0"/>
              <w:spacing w:before="0" w:after="0"/>
              <w:ind w:left="0" w:right="0" w:hanging="0"/>
              <w:jc w:val="left"/>
              <w:rPr/>
            </w:pPr>
            <w:r>
              <w:rPr/>
              <w:t>​</w:t>
            </w:r>
          </w:p>
        </w:tc>
        <w:tc>
          <w:tcPr>
            <w:tcW w:w="734" w:type="dxa"/>
            <w:tcBorders/>
            <w:vAlign w:val="center"/>
          </w:tcPr>
          <w:p>
            <w:pPr>
              <w:pStyle w:val="TableContents"/>
              <w:bidi w:val="0"/>
              <w:spacing w:before="0" w:after="0"/>
              <w:ind w:left="0" w:right="0" w:hanging="0"/>
              <w:jc w:val="right"/>
              <w:rPr/>
            </w:pPr>
            <w:r>
              <w:rPr/>
              <w:t>​</w:t>
            </w:r>
          </w:p>
        </w:tc>
        <w:tc>
          <w:tcPr>
            <w:tcW w:w="352"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w:t>
            </w:r>
          </w:p>
        </w:tc>
        <w:tc>
          <w:tcPr>
            <w:tcW w:w="780"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center"/>
        <w:rPr/>
      </w:pPr>
      <w:r>
        <w:rPr/>
        <w:t>​</w:t>
      </w:r>
    </w:p>
    <w:p>
      <w:pPr>
        <w:pStyle w:val="TextBody"/>
        <w:bidi w:val="0"/>
        <w:spacing w:before="0" w:after="0"/>
        <w:ind w:left="0" w:right="0" w:firstLine="360"/>
        <w:jc w:val="center"/>
        <w:rPr>
          <w:rFonts w:ascii="Times New Roman;Times;serif" w:hAnsi="Times New Roman;Times;serif"/>
          <w:sz w:val="18"/>
        </w:rPr>
      </w:pPr>
      <w:r>
        <w:rPr>
          <w:rFonts w:ascii="Times New Roman;Times;serif" w:hAnsi="Times New Roman;Times;serif"/>
          <w:sz w:val="18"/>
        </w:rPr>
        <w:t xml:space="preserve">The accompanying notes are an integral part of these condensed consolidated financial statements.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bookmarkStart w:id="302" w:name="_93495c31_b5ca_4686_84cf_2a8232297f25"/>
      <w:bookmarkEnd w:id="302"/>
      <w:r>
        <w:rPr/>
        <w:t>​</w:t>
      </w:r>
    </w:p>
    <w:p>
      <w:pPr>
        <w:pStyle w:val="Normal"/>
        <w:bidi w:val="0"/>
        <w:spacing w:before="0" w:after="0"/>
        <w:jc w:val="left"/>
        <w:rPr>
          <w:sz w:val="4"/>
          <w:szCs w:val="4"/>
        </w:rPr>
      </w:pPr>
      <w:r>
        <w:rPr>
          <w:sz w:val="4"/>
          <w:szCs w:val="4"/>
        </w:rPr>
      </w:r>
      <w:bookmarkStart w:id="303" w:name="CondensedConsolidatedStatementsofChanges"/>
      <w:bookmarkStart w:id="304" w:name="CondensedConsolidatedStatementsofChanges"/>
      <w:bookmarkEnd w:id="304"/>
    </w:p>
    <w:tbl>
      <w:tblPr>
        <w:tblW w:w="6241" w:type="dxa"/>
        <w:jc w:val="left"/>
        <w:tblInd w:w="0" w:type="dxa"/>
        <w:tblLayout w:type="fixed"/>
        <w:tblCellMar>
          <w:top w:w="0" w:type="dxa"/>
          <w:left w:w="0" w:type="dxa"/>
          <w:bottom w:w="0" w:type="dxa"/>
          <w:right w:w="0" w:type="dxa"/>
        </w:tblCellMar>
      </w:tblPr>
      <w:tblGrid>
        <w:gridCol w:w="6241"/>
      </w:tblGrid>
      <w:tr>
        <w:trPr/>
        <w:tc>
          <w:tcPr>
            <w:tcW w:w="6241" w:type="dxa"/>
            <w:tcBorders/>
            <w:vAlign w:val="center"/>
          </w:tcPr>
          <w:p>
            <w:pPr>
              <w:pStyle w:val="TableContents"/>
              <w:bidi w:val="0"/>
              <w:spacing w:before="0" w:after="0"/>
              <w:ind w:left="0" w:right="0" w:hanging="0"/>
              <w:jc w:val="left"/>
              <w:rPr/>
            </w:pPr>
            <w:r>
              <w:rPr/>
              <w:t>​</w:t>
            </w:r>
          </w:p>
        </w:tc>
      </w:tr>
      <w:tr>
        <w:trPr/>
        <w:tc>
          <w:tcPr>
            <w:tcW w:w="6241" w:type="dxa"/>
            <w:tcBorders/>
            <w:vAlign w:val="center"/>
          </w:tcPr>
          <w:p>
            <w:pPr>
              <w:pStyle w:val="TableContents"/>
              <w:bidi w:val="0"/>
              <w:spacing w:before="0" w:after="0"/>
              <w:ind w:left="0" w:right="0" w:hanging="0"/>
              <w:jc w:val="left"/>
              <w:rPr/>
            </w:pPr>
            <w:r>
              <w:rPr/>
              <w:t>​</w:t>
            </w:r>
          </w:p>
        </w:tc>
      </w:tr>
      <w:tr>
        <w:trPr/>
        <w:tc>
          <w:tcPr>
            <w:tcW w:w="62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Condensed Consolidated Statements of Changes in Stockholders’ Equity</w:t>
            </w:r>
            <w:r>
              <w:rPr>
                <w:rFonts w:ascii="Times New Roman;Times;serif" w:hAnsi="Times New Roman;Times;serif"/>
                <w:sz w:val="20"/>
              </w:rPr>
              <w:t xml:space="preserve"> </w:t>
            </w:r>
          </w:p>
        </w:tc>
      </w:tr>
      <w:tr>
        <w:trPr/>
        <w:tc>
          <w:tcPr>
            <w:tcW w:w="62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 the three and six months ended June 30, 2026 and 2025 (unaudited)</w:t>
            </w:r>
          </w:p>
        </w:tc>
      </w:tr>
      <w:tr>
        <w:trPr/>
        <w:tc>
          <w:tcPr>
            <w:tcW w:w="62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(Amounts in thousands)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05" w:name="Tc_KgMgR9R4KEaGP9F3WTXw3w_25_26"/>
      <w:bookmarkStart w:id="306" w:name="Tc_zFoCmjWteEKPdhTZefHluQ_25_23"/>
      <w:bookmarkStart w:id="307" w:name="Tc_ANLauvQctUmSSk0x1xI19g_25_20"/>
      <w:bookmarkStart w:id="308" w:name="Tc_80FhxLLg6EaX_5-xaxAICg_25_17"/>
      <w:bookmarkStart w:id="309" w:name="Tc_d461sgnh-0-_MVriP8QGqw_25_14"/>
      <w:bookmarkStart w:id="310" w:name="Tc_TYl8HoXVsUecTyJ9_5cLxw_25_9"/>
      <w:bookmarkStart w:id="311" w:name="Tc_OZzqLJUMxEOAE4S46YRxbA_25_4"/>
      <w:bookmarkStart w:id="312" w:name="Tc_3yIjgG4ecUmmQXNh4kp2tQ_25_0"/>
      <w:bookmarkStart w:id="313" w:name="Tc_c-PlG_a6lEO7wOKlTbnPhw_24_24"/>
      <w:bookmarkStart w:id="314" w:name="Tc_Py9xIUpk506tJtqggIAfyw_24_18"/>
      <w:bookmarkStart w:id="315" w:name="Tc_kkCYMpPtaUOyiKSH8jdyXw_24_15"/>
      <w:bookmarkStart w:id="316" w:name="Tc_eKylhUCkU0-E2SalS4LdRA_24_12"/>
      <w:bookmarkStart w:id="317" w:name="Tc_REkxx20yr0OXzwdrNNcF3Q_24_10"/>
      <w:bookmarkStart w:id="318" w:name="Tc_--Pin5T45kuwNzZzNrqU2g_24_7"/>
      <w:bookmarkStart w:id="319" w:name="Tc_HfL_ZzOJL0id4khs-DperQ_24_5"/>
      <w:bookmarkStart w:id="320" w:name="Tc_ofUPwLBCGkKkvSj8HYc30g_24_2"/>
      <w:bookmarkStart w:id="321" w:name="Tc_lrSBvar7202xZzrsE0cCNw_24_0"/>
      <w:bookmarkStart w:id="322" w:name="Tc_1r_FPXNKUkyxinjHrN_GQA_23_21"/>
      <w:bookmarkStart w:id="323" w:name="Tc_HSsAVumuvUyClEswdIFilw_23_18"/>
      <w:bookmarkStart w:id="324" w:name="Tc_eND5mbt8ZE-HN2LvFrnrsA_23_15"/>
      <w:bookmarkStart w:id="325" w:name="Tc_Oz3KAM84pEuKrzMv_mQV3A_23_12"/>
      <w:bookmarkStart w:id="326" w:name="Tc_6PJZopijr0C-vmjP0eVpLw_23_10"/>
      <w:bookmarkStart w:id="327" w:name="Tc_wRKX4S_2nEmEC9v1kI64WQ_23_7"/>
      <w:bookmarkStart w:id="328" w:name="Tc_-LlQnVRp_EagAQOfGHqHig_23_5"/>
      <w:bookmarkStart w:id="329" w:name="Tc_UpTb3MPKhkeVcdmk0gUJFw_23_2"/>
      <w:bookmarkStart w:id="330" w:name="Tc_Aj9rsJQIOk-E6hJdGG6IBg_23_0"/>
      <w:bookmarkStart w:id="331" w:name="Tc_DwHAN8JsDk2UpA7GWT7A0w_22_24"/>
      <w:bookmarkStart w:id="332" w:name="Tc_R8TTV39hoE6cipxdf9ih4g_22_21"/>
      <w:bookmarkStart w:id="333" w:name="Tc_HT2bd5pwdUuE-GxnVb2EAw_22_15"/>
      <w:bookmarkStart w:id="334" w:name="Tc_LeZuAKzoWUKWHNEyAKwt1Q_22_12"/>
      <w:bookmarkStart w:id="335" w:name="Tc_mxabaXSiEECf7z3-fT3_hw_22_10"/>
      <w:bookmarkStart w:id="336" w:name="Tc_EQuWmH1oS0mz0KDfA0luNw_22_7"/>
      <w:bookmarkStart w:id="337" w:name="Tc_SaUDigETWEqKzdJVUQE0Eg_22_5"/>
      <w:bookmarkStart w:id="338" w:name="Tc_zprdYUT6OkWcHmk1CacNug_22_2"/>
      <w:bookmarkStart w:id="339" w:name="Tc_KpVAve302k-jaMSppUz60g_22_0"/>
      <w:bookmarkStart w:id="340" w:name="Tc_fuZZm5vpvkGF3HS_-Dw9Iw_21_24"/>
      <w:bookmarkStart w:id="341" w:name="Tc_-DKtwsUBik6yAr3rmV4HMg_21_21"/>
      <w:bookmarkStart w:id="342" w:name="Tc_aJHXPhBUBk24kfVuXhUDvg_21_10"/>
      <w:bookmarkStart w:id="343" w:name="Tc_R8ObVS1wpkutwd8oHl5ZDw_21_7"/>
      <w:bookmarkStart w:id="344" w:name="Tc_aGKj9JR0OkiuQna1LNiQoQ_21_5"/>
      <w:bookmarkStart w:id="345" w:name="Tc_PqpxUq4E1UKD7BJQf64BtQ_21_2"/>
      <w:bookmarkStart w:id="346" w:name="Tc_Jq2pM1Am5kq9-IQUEt_aNw_21_0"/>
      <w:bookmarkStart w:id="347" w:name="Tc_G4_Bng5Ln02YDOoPMNvhMA_20_24"/>
      <w:bookmarkStart w:id="348" w:name="Tc_iXUtlt4IvUeit1meILZlwA_20_21"/>
      <w:bookmarkStart w:id="349" w:name="Tc_0IsfDVLX10CSot4JAFyU0A_20_15"/>
      <w:bookmarkStart w:id="350" w:name="Tc_BHDH1KwsLke9ZYgNorNuhg_20_12"/>
      <w:bookmarkStart w:id="351" w:name="Tc_wxYxzREolE-dLZgVJWoFFA_20_10"/>
      <w:bookmarkStart w:id="352" w:name="Tc_CJh_ozNMpke54AwwSl8yyg_20_7"/>
      <w:bookmarkStart w:id="353" w:name="Tc_O-oQqXENUEqvAtQYKtk3PQ_20_5"/>
      <w:bookmarkStart w:id="354" w:name="Tc_SeJtZPVjuEa3AgRLqFpdAg_20_0"/>
      <w:bookmarkStart w:id="355" w:name="Tc_cmqOAViPnEyyV6HRV6P7ng_19_24"/>
      <w:bookmarkStart w:id="356" w:name="Tc_MMK13vhuh0mZvf8vqVlQdA_19_21"/>
      <w:bookmarkStart w:id="357" w:name="Tc_Snn1i3IhAku2fc256hfvjw_19_15"/>
      <w:bookmarkStart w:id="358" w:name="Tc_k-Y-eXZA_0WVrdpolLKosw_19_12"/>
      <w:bookmarkStart w:id="359" w:name="Tc_LZIqNZHs40-1mCTPvwFfXA_19_10"/>
      <w:bookmarkStart w:id="360" w:name="Tc_dYw0LIMaDUO7FG2ITzpO7w_19_7"/>
      <w:bookmarkStart w:id="361" w:name="Tc_VExQKnLtfkiVITT-JgSz2A_19_5"/>
      <w:bookmarkStart w:id="362" w:name="Tc_2OhacpTPEkuoN-yJ1qzQrw_19_2"/>
      <w:bookmarkStart w:id="363" w:name="Tc_lFx3ahboW0ezOCBz_q3jcw_19_0"/>
      <w:bookmarkStart w:id="364" w:name="Tc_WM1viRl-ZEqmI-V_b6leGQ_18_27"/>
      <w:bookmarkStart w:id="365" w:name="Tc_fA3JR_0-UkCPVUnWLBwkcg_18_24"/>
      <w:bookmarkStart w:id="366" w:name="Tc_6sCppNitb0e52U4QHDui8Q_18_21"/>
      <w:bookmarkStart w:id="367" w:name="Tc_A-i14dDT80CBcu1HI4W8Zg_18_18"/>
      <w:bookmarkStart w:id="368" w:name="Tc_n0uxTQB6ekWngJmx8x2loQ_18_15"/>
      <w:bookmarkStart w:id="369" w:name="Tc_xox86-6Cakee8nKiukqZow_18_12"/>
      <w:bookmarkStart w:id="370" w:name="Tc_YK0-5AJrSkKXjzghY_lBQA_18_10"/>
      <w:bookmarkStart w:id="371" w:name="Tc_CJVF9Ob1YU6ptkblH-ssCg_18_7"/>
      <w:bookmarkStart w:id="372" w:name="Tc_ViA2bxkg3kOW5_43QOHkIg_18_5"/>
      <w:bookmarkStart w:id="373" w:name="Tc_4CQpqxZkpUmYF53jSXKUnw_18_0"/>
      <w:bookmarkStart w:id="374" w:name="Tc_gGIMXPI8f0-3wiInCmKkzA_17_24"/>
      <w:bookmarkStart w:id="375" w:name="Tc_5kGktzAosEK-8hqFAtSimg_17_21"/>
      <w:bookmarkStart w:id="376" w:name="Tc_dW5B8uwj20mtnWY-39nhDA_17_15"/>
      <w:bookmarkStart w:id="377" w:name="Tc_CsDUwu_tlUaVixQcqu5k9w_17_12"/>
      <w:bookmarkStart w:id="378" w:name="Tc_k5aWqsukq0mpLVJBgZZK3g_17_10"/>
      <w:bookmarkStart w:id="379" w:name="Tc_EXkundlYlEqt0Tyv9-HIpw_17_7"/>
      <w:bookmarkStart w:id="380" w:name="Tc_6WyjooFwH02DAirmwwhtGA_17_5"/>
      <w:bookmarkStart w:id="381" w:name="Tc_Vtd-ys1LTE6oSjI3_952bg_17_0"/>
      <w:bookmarkStart w:id="382" w:name="Tc_K2oKf5XCyEGS-x2nclSwhw_16_24"/>
      <w:bookmarkStart w:id="383" w:name="Tc_6r4rQvroY06yKH4zKy1VCw_16_21"/>
      <w:bookmarkStart w:id="384" w:name="Tc_kG6NWyP6QU-wViLzrBpLlQ_16_15"/>
      <w:bookmarkStart w:id="385" w:name="Tc_5UU0Z8P960mGu8jPQHeM5Q_16_12"/>
      <w:bookmarkStart w:id="386" w:name="Tc_rTYwxQKpgEKpBdDVwYLUZA_16_10"/>
      <w:bookmarkStart w:id="387" w:name="Tc_VfHgqbmXlk21Uqb-SEI0HQ_16_7"/>
      <w:bookmarkStart w:id="388" w:name="Tc_Wd5CUC0n4kyoqoZNlJ5aPw_16_5"/>
      <w:bookmarkStart w:id="389" w:name="Tc_AsUioQ9R_U-7uD1gWZrDWQ_16_0"/>
      <w:bookmarkStart w:id="390" w:name="Tc_wjMrnFPL_USlZeJq6XjGNA_15_26"/>
      <w:bookmarkStart w:id="391" w:name="Tc_EQ6cfJwM7kifH5wC5MNRKw_15_23"/>
      <w:bookmarkStart w:id="392" w:name="Tc_UJYcd5DS1EaT2_7Zrj3NyA_15_20"/>
      <w:bookmarkStart w:id="393" w:name="Tc_A8KKnBHmPUqT7Qh_HeZb0w_15_17"/>
      <w:bookmarkStart w:id="394" w:name="Tc_UDYvf6XCOEOLB0nX_Uxl2w_15_14"/>
      <w:bookmarkStart w:id="395" w:name="Tc_CmEGjB8gaE-P2lF5E8AG0g_15_9"/>
      <w:bookmarkStart w:id="396" w:name="Tc_ortDI_NOEUK2JQ56iafGwA_15_4"/>
      <w:bookmarkStart w:id="397" w:name="Tc_bYIqE5H190WQo6WP_qf4gg_15_0"/>
      <w:bookmarkStart w:id="398" w:name="Tc_zKUqrJcVoU6K7ZPtuDi2QA_14_24"/>
      <w:bookmarkStart w:id="399" w:name="Tc_eW4bn5ff_UuSwT3RS-Bv2Q_14_18"/>
      <w:bookmarkStart w:id="400" w:name="Tc_RngNHdZLR0CMEbOJtzfxkw_14_15"/>
      <w:bookmarkStart w:id="401" w:name="Tc_2jrTCTazG0i7Jom-7Ycp0w_14_12"/>
      <w:bookmarkStart w:id="402" w:name="Tc_G4WJ0Mibb0eHG7toCGYkeA_14_10"/>
      <w:bookmarkStart w:id="403" w:name="Tc_DnexmhXvNUSNF1cquHVxUA_14_7"/>
      <w:bookmarkStart w:id="404" w:name="Tc_0ff25CP8E0K-rS7GWscHtg_14_5"/>
      <w:bookmarkStart w:id="405" w:name="Tc__WqqmTqakkadTob5JxYRoQ_14_2"/>
      <w:bookmarkStart w:id="406" w:name="Tc_sAF-MmFQjE2QWXAkXZF11Q_14_0"/>
      <w:bookmarkStart w:id="407" w:name="Tc_xxbm0sg7hkaE0ZHllxoULw_13_21"/>
      <w:bookmarkStart w:id="408" w:name="Tc_lW_FjrLmZkmErR7ENaJ_lw_13_18"/>
      <w:bookmarkStart w:id="409" w:name="Tc_EdhelFEaoUORCkcpQDGTXQ_13_15"/>
      <w:bookmarkStart w:id="410" w:name="Tc_CnFANu8T1EeULSzXXq20GA_13_12"/>
      <w:bookmarkStart w:id="411" w:name="Tc_zXd0jmqPNkmKLVSMg9IW3g_13_10"/>
      <w:bookmarkStart w:id="412" w:name="Tc_tr9YQwGUDE2D9_YLA7BCXQ_13_7"/>
      <w:bookmarkStart w:id="413" w:name="Tc_GNlDIQXQpkuVOGbR__ed-g_13_5"/>
      <w:bookmarkStart w:id="414" w:name="Tc_EF7FfU2hfkq_VVl0F8e_XQ_13_2"/>
      <w:bookmarkStart w:id="415" w:name="Tc_xz2q4wln8EOqmlfn1ZfKGg_13_0"/>
      <w:bookmarkStart w:id="416" w:name="Tc_W5a7gNa-sk6QcVvUuYov7w_12_24"/>
      <w:bookmarkStart w:id="417" w:name="Tc_7jaz8PQZBEWdNVyZ_t1uTQ_12_21"/>
      <w:bookmarkStart w:id="418" w:name="Tc_dkOFnRpL_EGSt0uKaaE38g_12_15"/>
      <w:bookmarkStart w:id="419" w:name="Tc_khbEtu0cBkOjVPnnHA0ubA_12_12"/>
      <w:bookmarkStart w:id="420" w:name="Tc_MdfaU0IsTEuMKNSiAJeYYA_12_10"/>
      <w:bookmarkStart w:id="421" w:name="Tc_7TvYLktlu0aPJYDSaMHP8w_12_7"/>
      <w:bookmarkStart w:id="422" w:name="Tc_67rJsDrook-rhTFhaXw8UA_12_5"/>
      <w:bookmarkStart w:id="423" w:name="Tc_Jdvphht1zESv3mVHs5PLcQ_12_2"/>
      <w:bookmarkStart w:id="424" w:name="Tc_7ILsCTMfeEujRXbs4-G9Bg_12_0"/>
      <w:bookmarkStart w:id="425" w:name="Tc_8GuLc3Xkw0qSuegL9nG5BQ_11_24"/>
      <w:bookmarkStart w:id="426" w:name="Tc_UG84_uOv90GtnabxWEf05A_11_21"/>
      <w:bookmarkStart w:id="427" w:name="Tc_GQPRwJEEkUaNL4wd6gu4Kg_11_10"/>
      <w:bookmarkStart w:id="428" w:name="Tc_35-3z0QCO0W84RKZafmdpA_11_7"/>
      <w:bookmarkStart w:id="429" w:name="Tc_QZ8H3-rscEGaaFMwRMjynw_11_5"/>
      <w:bookmarkStart w:id="430" w:name="Tc_ZeyI0vxBdEikugthXYoUDQ_11_2"/>
      <w:bookmarkStart w:id="431" w:name="Tc_3ZwStM4apEu3Newo5W3wJA_11_0"/>
      <w:bookmarkStart w:id="432" w:name="Tc_pPhm7clnp0SL1vJipijkMw_10_24"/>
      <w:bookmarkStart w:id="433" w:name="Tc_p0c0Y9usZ06N1_rbvrECTw_10_21"/>
      <w:bookmarkStart w:id="434" w:name="Tc_sgs2QwFt3ECwvEfKspvpsg_10_15"/>
      <w:bookmarkStart w:id="435" w:name="Tc_4gPa3UFJAUKNab1Bvx0nTw_10_12"/>
      <w:bookmarkStart w:id="436" w:name="Tc_Z7eAGiME7UeW4CLUbcpGrQ_10_10"/>
      <w:bookmarkStart w:id="437" w:name="Tc_0c7BCOFOuE-VYqBt7dXRTA_10_7"/>
      <w:bookmarkStart w:id="438" w:name="Tc_Pg4CpsZvm0Kjudb5KQg-eQ_10_0"/>
      <w:bookmarkStart w:id="439" w:name="Tc_qivCvdbJa0GJyx3iwWJa0A_9_24"/>
      <w:bookmarkStart w:id="440" w:name="Tc_-f7U3O7e8k2gG-MH6NUg8Q_9_21"/>
      <w:bookmarkStart w:id="441" w:name="Tc_1ehFMbCpOkiQw6q7whVF2Q_9_15"/>
      <w:bookmarkStart w:id="442" w:name="Tc_n2qoQH7N8kK-Tv1My7W_Bg_9_12"/>
      <w:bookmarkStart w:id="443" w:name="Tc_bhJ_Z74kkUSesVN8OQrkrQ_9_10"/>
      <w:bookmarkStart w:id="444" w:name="Tc_5sY5xT4SVEKWJzOj2NGjCA_9_7"/>
      <w:bookmarkStart w:id="445" w:name="Tc_VZb663c8EEiWQ-wsaC_QGw_9_5"/>
      <w:bookmarkStart w:id="446" w:name="Tc_SDwkVa6pt0iB7ScmDYNKoA_9_2"/>
      <w:bookmarkStart w:id="447" w:name="Tc_Aqzs_j5wpEWRz_JHKWxj5g_9_0"/>
      <w:bookmarkStart w:id="448" w:name="Tc_NeW6pfxJ4EOoF13cBO08mQ_8_24"/>
      <w:bookmarkStart w:id="449" w:name="Tc_PwbQlbX0Uk-JY2x4J-LeRg_8_21"/>
      <w:bookmarkStart w:id="450" w:name="Tc_V7pIMOVMAk-3PUiIwm-ikw_8_15"/>
      <w:bookmarkStart w:id="451" w:name="Tc_8pF2PfW1DE-fA8GzTbhgYA_8_12"/>
      <w:bookmarkStart w:id="452" w:name="Tc_1ab4GnRuQEC3d_ZOjNLixA_8_10"/>
      <w:bookmarkStart w:id="453" w:name="Tc_2mdMwFkcoUOhtegWCj7kkQ_8_7"/>
      <w:bookmarkStart w:id="454" w:name="Tc_CkZFBhlFOEif6BYFEmFS6w_8_0"/>
      <w:bookmarkStart w:id="455" w:name="Tc_8b6iyb8wgUaz2FRvj7m1vQ_7_24"/>
      <w:bookmarkStart w:id="456" w:name="Tc_7zv0w5_PsU6uo35ULwzL0A_7_21"/>
      <w:bookmarkStart w:id="457" w:name="Tc_i9ndGyXRp0q0ES2ug19AxA_7_15"/>
      <w:bookmarkStart w:id="458" w:name="Tc_Vx-WAfIKxUaz96Opnm3gEQ_7_12"/>
      <w:bookmarkStart w:id="459" w:name="Tc_ux2qAiM0ikCl1IL1Kil8aQ_7_10"/>
      <w:bookmarkStart w:id="460" w:name="Tc_LMIbXZuFt0K3rGjGly3IRg_7_7"/>
      <w:bookmarkStart w:id="461" w:name="Tc_QoJgp5EH2kaAFnWZXykzqg_7_5"/>
      <w:bookmarkStart w:id="462" w:name="Tc_0yb2xDTsIUGnSNaeE72u4A_7_0"/>
      <w:bookmarkStart w:id="463" w:name="Tc_ZfOsKD2wwkCOfOx-w148bg_6_26"/>
      <w:bookmarkStart w:id="464" w:name="Tc_GYE9uWzvnUO3p5CQlzIhOw_6_23"/>
      <w:bookmarkStart w:id="465" w:name="Tc_Ec6sicFLFkWZui65V_g52Q_6_20"/>
      <w:bookmarkStart w:id="466" w:name="Tc_5dNoANT6a0e4zuLNuFG4fg_6_17"/>
      <w:bookmarkStart w:id="467" w:name="Tc_ogMflAzwrEKXSfBalh5J5A_6_14"/>
      <w:bookmarkStart w:id="468" w:name="Tc_Cze6tJTcLU-juyrEG0btrA_6_9"/>
      <w:bookmarkStart w:id="469" w:name="Tc_0LcminbDxUCioGKKUSMV3w_6_4"/>
      <w:bookmarkStart w:id="470" w:name="Tc_QKlAuVg3bEaCthsApj5LwQ_6_0"/>
      <w:bookmarkStart w:id="471" w:name="Tc_cPqrWHRi0k-E6ndmlPnclQ_5_26"/>
      <w:bookmarkStart w:id="472" w:name="Tc_bBrnFpw-2kKoziuzTCcLew_5_23"/>
      <w:bookmarkStart w:id="473" w:name="Tc_LdtsPDfJOkG6AR1ceAfZrQ_5_20"/>
      <w:bookmarkStart w:id="474" w:name="Tc_nJnUOuiUTUiN4oVOfRMYkg_5_17"/>
      <w:bookmarkStart w:id="475" w:name="Tc_8Co8RT0zbkGravhz0YTSfA_5_15"/>
      <w:bookmarkStart w:id="476" w:name="Tc_H5tQQMJhwE-qkM-4RKXKFg_5_12"/>
      <w:bookmarkStart w:id="477" w:name="Tc_PcGzWRNjLky6AUO6lF7Rfg_5_9"/>
      <w:bookmarkStart w:id="478" w:name="Tc_AkdOioj20kS6H3QGhyZ_7A_5_7"/>
      <w:bookmarkStart w:id="479" w:name="Tc_9Zzj1NafbUWz-3WNF5PMCg_5_4"/>
      <w:bookmarkStart w:id="480" w:name="Tc_VX5A9Yx__U6lsubUGyhwqw_5_2"/>
      <w:bookmarkStart w:id="481" w:name="Tc_tNCrPj9ZTkKXkYH3AktwOQ_4_26"/>
      <w:bookmarkStart w:id="482" w:name="Tc_gz28fRxU50u2HHlmdGq8Rg_4_23"/>
      <w:bookmarkStart w:id="483" w:name="Tc_RWkGTzvH_kipGz6wkYB4MA_4_20"/>
      <w:bookmarkStart w:id="484" w:name="Tc_bHFBw_gQ_UOE_i16evCARA_4_17"/>
      <w:bookmarkStart w:id="485" w:name="Tc_0AWepn29gUqdn4Lqa9FXdg_4_15"/>
      <w:bookmarkStart w:id="486" w:name="Tc_xHYgpcoiH02AAZG3giyCFg_4_12"/>
      <w:bookmarkStart w:id="487" w:name="Tc_sC81MyqPPEmEqOuHenYKZA_4_9"/>
      <w:bookmarkStart w:id="488" w:name="Tc_kykvRyUak0e5FSXCLXMnRQ_4_7"/>
      <w:bookmarkStart w:id="489" w:name="Tc_4eg7q1L9tkeY8hWsb_rnXQ_4_4"/>
      <w:bookmarkStart w:id="490" w:name="Tc_NrFwl1Ts5kCTJIfgIHekGw_4_2"/>
      <w:bookmarkStart w:id="491" w:name="Tc_tBAALHFjC0W_2YtlsuUnoQ_3_26"/>
      <w:bookmarkStart w:id="492" w:name="Tc_fhjGC_uvAEW9bOF6EcsFJQ_3_23"/>
      <w:bookmarkStart w:id="493" w:name="Tc_nXy5N3CQ3UaNHVKJR3cLtw_3_17"/>
      <w:bookmarkStart w:id="494" w:name="Tc_8_cNUMfLn0mfmHmLWlxiFA_3_9"/>
      <w:bookmarkStart w:id="495" w:name="Tc_LhsGrQoZnUuHnpjrchoJLQ_3_7"/>
      <w:bookmarkStart w:id="496" w:name="Tc_Y9Eto9DEhkagTdHYs5je9Q_3_4"/>
      <w:bookmarkStart w:id="497" w:name="Tc_X1-X_Ys3nkmq64OEV9SXkA_3_2"/>
      <w:bookmarkStart w:id="498" w:name="Tc_L8PuX9yp_U2jGcX61vhOgw_2_23"/>
      <w:bookmarkStart w:id="499" w:name="Tc_AAl1fBHMI0uaOo0aOWeEuQ_2_12"/>
      <w:bookmarkStart w:id="500" w:name="Tc_WDgBpDyTtk-OUFC56lm1OQ_2_2"/>
      <w:bookmarkStart w:id="501" w:name="_a17fef93_5e71_4b53_a86b_bfc67f6215a5"/>
      <w:bookmarkStart w:id="502" w:name="Tc_KgMgR9R4KEaGP9F3WTXw3w_25_26"/>
      <w:bookmarkStart w:id="503" w:name="Tc_zFoCmjWteEKPdhTZefHluQ_25_23"/>
      <w:bookmarkStart w:id="504" w:name="Tc_ANLauvQctUmSSk0x1xI19g_25_20"/>
      <w:bookmarkStart w:id="505" w:name="Tc_80FhxLLg6EaX_5-xaxAICg_25_17"/>
      <w:bookmarkStart w:id="506" w:name="Tc_d461sgnh-0-_MVriP8QGqw_25_14"/>
      <w:bookmarkStart w:id="507" w:name="Tc_TYl8HoXVsUecTyJ9_5cLxw_25_9"/>
      <w:bookmarkStart w:id="508" w:name="Tc_OZzqLJUMxEOAE4S46YRxbA_25_4"/>
      <w:bookmarkStart w:id="509" w:name="Tc_3yIjgG4ecUmmQXNh4kp2tQ_25_0"/>
      <w:bookmarkStart w:id="510" w:name="Tc_c-PlG_a6lEO7wOKlTbnPhw_24_24"/>
      <w:bookmarkStart w:id="511" w:name="Tc_Py9xIUpk506tJtqggIAfyw_24_18"/>
      <w:bookmarkStart w:id="512" w:name="Tc_kkCYMpPtaUOyiKSH8jdyXw_24_15"/>
      <w:bookmarkStart w:id="513" w:name="Tc_eKylhUCkU0-E2SalS4LdRA_24_12"/>
      <w:bookmarkStart w:id="514" w:name="Tc_REkxx20yr0OXzwdrNNcF3Q_24_10"/>
      <w:bookmarkStart w:id="515" w:name="Tc_--Pin5T45kuwNzZzNrqU2g_24_7"/>
      <w:bookmarkStart w:id="516" w:name="Tc_HfL_ZzOJL0id4khs-DperQ_24_5"/>
      <w:bookmarkStart w:id="517" w:name="Tc_ofUPwLBCGkKkvSj8HYc30g_24_2"/>
      <w:bookmarkStart w:id="518" w:name="Tc_lrSBvar7202xZzrsE0cCNw_24_0"/>
      <w:bookmarkStart w:id="519" w:name="Tc_1r_FPXNKUkyxinjHrN_GQA_23_21"/>
      <w:bookmarkStart w:id="520" w:name="Tc_HSsAVumuvUyClEswdIFilw_23_18"/>
      <w:bookmarkStart w:id="521" w:name="Tc_eND5mbt8ZE-HN2LvFrnrsA_23_15"/>
      <w:bookmarkStart w:id="522" w:name="Tc_Oz3KAM84pEuKrzMv_mQV3A_23_12"/>
      <w:bookmarkStart w:id="523" w:name="Tc_6PJZopijr0C-vmjP0eVpLw_23_10"/>
      <w:bookmarkStart w:id="524" w:name="Tc_wRKX4S_2nEmEC9v1kI64WQ_23_7"/>
      <w:bookmarkStart w:id="525" w:name="Tc_-LlQnVRp_EagAQOfGHqHig_23_5"/>
      <w:bookmarkStart w:id="526" w:name="Tc_UpTb3MPKhkeVcdmk0gUJFw_23_2"/>
      <w:bookmarkStart w:id="527" w:name="Tc_Aj9rsJQIOk-E6hJdGG6IBg_23_0"/>
      <w:bookmarkStart w:id="528" w:name="Tc_DwHAN8JsDk2UpA7GWT7A0w_22_24"/>
      <w:bookmarkStart w:id="529" w:name="Tc_R8TTV39hoE6cipxdf9ih4g_22_21"/>
      <w:bookmarkStart w:id="530" w:name="Tc_HT2bd5pwdUuE-GxnVb2EAw_22_15"/>
      <w:bookmarkStart w:id="531" w:name="Tc_LeZuAKzoWUKWHNEyAKwt1Q_22_12"/>
      <w:bookmarkStart w:id="532" w:name="Tc_mxabaXSiEECf7z3-fT3_hw_22_10"/>
      <w:bookmarkStart w:id="533" w:name="Tc_EQuWmH1oS0mz0KDfA0luNw_22_7"/>
      <w:bookmarkStart w:id="534" w:name="Tc_SaUDigETWEqKzdJVUQE0Eg_22_5"/>
      <w:bookmarkStart w:id="535" w:name="Tc_zprdYUT6OkWcHmk1CacNug_22_2"/>
      <w:bookmarkStart w:id="536" w:name="Tc_KpVAve302k-jaMSppUz60g_22_0"/>
      <w:bookmarkStart w:id="537" w:name="Tc_fuZZm5vpvkGF3HS_-Dw9Iw_21_24"/>
      <w:bookmarkStart w:id="538" w:name="Tc_-DKtwsUBik6yAr3rmV4HMg_21_21"/>
      <w:bookmarkStart w:id="539" w:name="Tc_aJHXPhBUBk24kfVuXhUDvg_21_10"/>
      <w:bookmarkStart w:id="540" w:name="Tc_R8ObVS1wpkutwd8oHl5ZDw_21_7"/>
      <w:bookmarkStart w:id="541" w:name="Tc_aGKj9JR0OkiuQna1LNiQoQ_21_5"/>
      <w:bookmarkStart w:id="542" w:name="Tc_PqpxUq4E1UKD7BJQf64BtQ_21_2"/>
      <w:bookmarkStart w:id="543" w:name="Tc_Jq2pM1Am5kq9-IQUEt_aNw_21_0"/>
      <w:bookmarkStart w:id="544" w:name="Tc_G4_Bng5Ln02YDOoPMNvhMA_20_24"/>
      <w:bookmarkStart w:id="545" w:name="Tc_iXUtlt4IvUeit1meILZlwA_20_21"/>
      <w:bookmarkStart w:id="546" w:name="Tc_0IsfDVLX10CSot4JAFyU0A_20_15"/>
      <w:bookmarkStart w:id="547" w:name="Tc_BHDH1KwsLke9ZYgNorNuhg_20_12"/>
      <w:bookmarkStart w:id="548" w:name="Tc_wxYxzREolE-dLZgVJWoFFA_20_10"/>
      <w:bookmarkStart w:id="549" w:name="Tc_CJh_ozNMpke54AwwSl8yyg_20_7"/>
      <w:bookmarkStart w:id="550" w:name="Tc_O-oQqXENUEqvAtQYKtk3PQ_20_5"/>
      <w:bookmarkStart w:id="551" w:name="Tc_SeJtZPVjuEa3AgRLqFpdAg_20_0"/>
      <w:bookmarkStart w:id="552" w:name="Tc_cmqOAViPnEyyV6HRV6P7ng_19_24"/>
      <w:bookmarkStart w:id="553" w:name="Tc_MMK13vhuh0mZvf8vqVlQdA_19_21"/>
      <w:bookmarkStart w:id="554" w:name="Tc_Snn1i3IhAku2fc256hfvjw_19_15"/>
      <w:bookmarkStart w:id="555" w:name="Tc_k-Y-eXZA_0WVrdpolLKosw_19_12"/>
      <w:bookmarkStart w:id="556" w:name="Tc_LZIqNZHs40-1mCTPvwFfXA_19_10"/>
      <w:bookmarkStart w:id="557" w:name="Tc_dYw0LIMaDUO7FG2ITzpO7w_19_7"/>
      <w:bookmarkStart w:id="558" w:name="Tc_VExQKnLtfkiVITT-JgSz2A_19_5"/>
      <w:bookmarkStart w:id="559" w:name="Tc_2OhacpTPEkuoN-yJ1qzQrw_19_2"/>
      <w:bookmarkStart w:id="560" w:name="Tc_lFx3ahboW0ezOCBz_q3jcw_19_0"/>
      <w:bookmarkStart w:id="561" w:name="Tc_WM1viRl-ZEqmI-V_b6leGQ_18_27"/>
      <w:bookmarkStart w:id="562" w:name="Tc_fA3JR_0-UkCPVUnWLBwkcg_18_24"/>
      <w:bookmarkStart w:id="563" w:name="Tc_6sCppNitb0e52U4QHDui8Q_18_21"/>
      <w:bookmarkStart w:id="564" w:name="Tc_A-i14dDT80CBcu1HI4W8Zg_18_18"/>
      <w:bookmarkStart w:id="565" w:name="Tc_n0uxTQB6ekWngJmx8x2loQ_18_15"/>
      <w:bookmarkStart w:id="566" w:name="Tc_xox86-6Cakee8nKiukqZow_18_12"/>
      <w:bookmarkStart w:id="567" w:name="Tc_YK0-5AJrSkKXjzghY_lBQA_18_10"/>
      <w:bookmarkStart w:id="568" w:name="Tc_CJVF9Ob1YU6ptkblH-ssCg_18_7"/>
      <w:bookmarkStart w:id="569" w:name="Tc_ViA2bxkg3kOW5_43QOHkIg_18_5"/>
      <w:bookmarkStart w:id="570" w:name="Tc_4CQpqxZkpUmYF53jSXKUnw_18_0"/>
      <w:bookmarkStart w:id="571" w:name="Tc_gGIMXPI8f0-3wiInCmKkzA_17_24"/>
      <w:bookmarkStart w:id="572" w:name="Tc_5kGktzAosEK-8hqFAtSimg_17_21"/>
      <w:bookmarkStart w:id="573" w:name="Tc_dW5B8uwj20mtnWY-39nhDA_17_15"/>
      <w:bookmarkStart w:id="574" w:name="Tc_CsDUwu_tlUaVixQcqu5k9w_17_12"/>
      <w:bookmarkStart w:id="575" w:name="Tc_k5aWqsukq0mpLVJBgZZK3g_17_10"/>
      <w:bookmarkStart w:id="576" w:name="Tc_EXkundlYlEqt0Tyv9-HIpw_17_7"/>
      <w:bookmarkStart w:id="577" w:name="Tc_6WyjooFwH02DAirmwwhtGA_17_5"/>
      <w:bookmarkStart w:id="578" w:name="Tc_Vtd-ys1LTE6oSjI3_952bg_17_0"/>
      <w:bookmarkStart w:id="579" w:name="Tc_K2oKf5XCyEGS-x2nclSwhw_16_24"/>
      <w:bookmarkStart w:id="580" w:name="Tc_6r4rQvroY06yKH4zKy1VCw_16_21"/>
      <w:bookmarkStart w:id="581" w:name="Tc_kG6NWyP6QU-wViLzrBpLlQ_16_15"/>
      <w:bookmarkStart w:id="582" w:name="Tc_5UU0Z8P960mGu8jPQHeM5Q_16_12"/>
      <w:bookmarkStart w:id="583" w:name="Tc_rTYwxQKpgEKpBdDVwYLUZA_16_10"/>
      <w:bookmarkStart w:id="584" w:name="Tc_VfHgqbmXlk21Uqb-SEI0HQ_16_7"/>
      <w:bookmarkStart w:id="585" w:name="Tc_Wd5CUC0n4kyoqoZNlJ5aPw_16_5"/>
      <w:bookmarkStart w:id="586" w:name="Tc_AsUioQ9R_U-7uD1gWZrDWQ_16_0"/>
      <w:bookmarkStart w:id="587" w:name="Tc_wjMrnFPL_USlZeJq6XjGNA_15_26"/>
      <w:bookmarkStart w:id="588" w:name="Tc_EQ6cfJwM7kifH5wC5MNRKw_15_23"/>
      <w:bookmarkStart w:id="589" w:name="Tc_UJYcd5DS1EaT2_7Zrj3NyA_15_20"/>
      <w:bookmarkStart w:id="590" w:name="Tc_A8KKnBHmPUqT7Qh_HeZb0w_15_17"/>
      <w:bookmarkStart w:id="591" w:name="Tc_UDYvf6XCOEOLB0nX_Uxl2w_15_14"/>
      <w:bookmarkStart w:id="592" w:name="Tc_CmEGjB8gaE-P2lF5E8AG0g_15_9"/>
      <w:bookmarkStart w:id="593" w:name="Tc_ortDI_NOEUK2JQ56iafGwA_15_4"/>
      <w:bookmarkStart w:id="594" w:name="Tc_bYIqE5H190WQo6WP_qf4gg_15_0"/>
      <w:bookmarkStart w:id="595" w:name="Tc_zKUqrJcVoU6K7ZPtuDi2QA_14_24"/>
      <w:bookmarkStart w:id="596" w:name="Tc_eW4bn5ff_UuSwT3RS-Bv2Q_14_18"/>
      <w:bookmarkStart w:id="597" w:name="Tc_RngNHdZLR0CMEbOJtzfxkw_14_15"/>
      <w:bookmarkStart w:id="598" w:name="Tc_2jrTCTazG0i7Jom-7Ycp0w_14_12"/>
      <w:bookmarkStart w:id="599" w:name="Tc_G4WJ0Mibb0eHG7toCGYkeA_14_10"/>
      <w:bookmarkStart w:id="600" w:name="Tc_DnexmhXvNUSNF1cquHVxUA_14_7"/>
      <w:bookmarkStart w:id="601" w:name="Tc_0ff25CP8E0K-rS7GWscHtg_14_5"/>
      <w:bookmarkStart w:id="602" w:name="Tc__WqqmTqakkadTob5JxYRoQ_14_2"/>
      <w:bookmarkStart w:id="603" w:name="Tc_sAF-MmFQjE2QWXAkXZF11Q_14_0"/>
      <w:bookmarkStart w:id="604" w:name="Tc_xxbm0sg7hkaE0ZHllxoULw_13_21"/>
      <w:bookmarkStart w:id="605" w:name="Tc_lW_FjrLmZkmErR7ENaJ_lw_13_18"/>
      <w:bookmarkStart w:id="606" w:name="Tc_EdhelFEaoUORCkcpQDGTXQ_13_15"/>
      <w:bookmarkStart w:id="607" w:name="Tc_CnFANu8T1EeULSzXXq20GA_13_12"/>
      <w:bookmarkStart w:id="608" w:name="Tc_zXd0jmqPNkmKLVSMg9IW3g_13_10"/>
      <w:bookmarkStart w:id="609" w:name="Tc_tr9YQwGUDE2D9_YLA7BCXQ_13_7"/>
      <w:bookmarkStart w:id="610" w:name="Tc_GNlDIQXQpkuVOGbR__ed-g_13_5"/>
      <w:bookmarkStart w:id="611" w:name="Tc_EF7FfU2hfkq_VVl0F8e_XQ_13_2"/>
      <w:bookmarkStart w:id="612" w:name="Tc_xz2q4wln8EOqmlfn1ZfKGg_13_0"/>
      <w:bookmarkStart w:id="613" w:name="Tc_W5a7gNa-sk6QcVvUuYov7w_12_24"/>
      <w:bookmarkStart w:id="614" w:name="Tc_7jaz8PQZBEWdNVyZ_t1uTQ_12_21"/>
      <w:bookmarkStart w:id="615" w:name="Tc_dkOFnRpL_EGSt0uKaaE38g_12_15"/>
      <w:bookmarkStart w:id="616" w:name="Tc_khbEtu0cBkOjVPnnHA0ubA_12_12"/>
      <w:bookmarkStart w:id="617" w:name="Tc_MdfaU0IsTEuMKNSiAJeYYA_12_10"/>
      <w:bookmarkStart w:id="618" w:name="Tc_7TvYLktlu0aPJYDSaMHP8w_12_7"/>
      <w:bookmarkStart w:id="619" w:name="Tc_67rJsDrook-rhTFhaXw8UA_12_5"/>
      <w:bookmarkStart w:id="620" w:name="Tc_Jdvphht1zESv3mVHs5PLcQ_12_2"/>
      <w:bookmarkStart w:id="621" w:name="Tc_7ILsCTMfeEujRXbs4-G9Bg_12_0"/>
      <w:bookmarkStart w:id="622" w:name="Tc_8GuLc3Xkw0qSuegL9nG5BQ_11_24"/>
      <w:bookmarkStart w:id="623" w:name="Tc_UG84_uOv90GtnabxWEf05A_11_21"/>
      <w:bookmarkStart w:id="624" w:name="Tc_GQPRwJEEkUaNL4wd6gu4Kg_11_10"/>
      <w:bookmarkStart w:id="625" w:name="Tc_35-3z0QCO0W84RKZafmdpA_11_7"/>
      <w:bookmarkStart w:id="626" w:name="Tc_QZ8H3-rscEGaaFMwRMjynw_11_5"/>
      <w:bookmarkStart w:id="627" w:name="Tc_ZeyI0vxBdEikugthXYoUDQ_11_2"/>
      <w:bookmarkStart w:id="628" w:name="Tc_3ZwStM4apEu3Newo5W3wJA_11_0"/>
      <w:bookmarkStart w:id="629" w:name="Tc_pPhm7clnp0SL1vJipijkMw_10_24"/>
      <w:bookmarkStart w:id="630" w:name="Tc_p0c0Y9usZ06N1_rbvrECTw_10_21"/>
      <w:bookmarkStart w:id="631" w:name="Tc_sgs2QwFt3ECwvEfKspvpsg_10_15"/>
      <w:bookmarkStart w:id="632" w:name="Tc_4gPa3UFJAUKNab1Bvx0nTw_10_12"/>
      <w:bookmarkStart w:id="633" w:name="Tc_Z7eAGiME7UeW4CLUbcpGrQ_10_10"/>
      <w:bookmarkStart w:id="634" w:name="Tc_0c7BCOFOuE-VYqBt7dXRTA_10_7"/>
      <w:bookmarkStart w:id="635" w:name="Tc_Pg4CpsZvm0Kjudb5KQg-eQ_10_0"/>
      <w:bookmarkStart w:id="636" w:name="Tc_qivCvdbJa0GJyx3iwWJa0A_9_24"/>
      <w:bookmarkStart w:id="637" w:name="Tc_-f7U3O7e8k2gG-MH6NUg8Q_9_21"/>
      <w:bookmarkStart w:id="638" w:name="Tc_1ehFMbCpOkiQw6q7whVF2Q_9_15"/>
      <w:bookmarkStart w:id="639" w:name="Tc_n2qoQH7N8kK-Tv1My7W_Bg_9_12"/>
      <w:bookmarkStart w:id="640" w:name="Tc_bhJ_Z74kkUSesVN8OQrkrQ_9_10"/>
      <w:bookmarkStart w:id="641" w:name="Tc_5sY5xT4SVEKWJzOj2NGjCA_9_7"/>
      <w:bookmarkStart w:id="642" w:name="Tc_VZb663c8EEiWQ-wsaC_QGw_9_5"/>
      <w:bookmarkStart w:id="643" w:name="Tc_SDwkVa6pt0iB7ScmDYNKoA_9_2"/>
      <w:bookmarkStart w:id="644" w:name="Tc_Aqzs_j5wpEWRz_JHKWxj5g_9_0"/>
      <w:bookmarkStart w:id="645" w:name="Tc_NeW6pfxJ4EOoF13cBO08mQ_8_24"/>
      <w:bookmarkStart w:id="646" w:name="Tc_PwbQlbX0Uk-JY2x4J-LeRg_8_21"/>
      <w:bookmarkStart w:id="647" w:name="Tc_V7pIMOVMAk-3PUiIwm-ikw_8_15"/>
      <w:bookmarkStart w:id="648" w:name="Tc_8pF2PfW1DE-fA8GzTbhgYA_8_12"/>
      <w:bookmarkStart w:id="649" w:name="Tc_1ab4GnRuQEC3d_ZOjNLixA_8_10"/>
      <w:bookmarkStart w:id="650" w:name="Tc_2mdMwFkcoUOhtegWCj7kkQ_8_7"/>
      <w:bookmarkStart w:id="651" w:name="Tc_CkZFBhlFOEif6BYFEmFS6w_8_0"/>
      <w:bookmarkStart w:id="652" w:name="Tc_8b6iyb8wgUaz2FRvj7m1vQ_7_24"/>
      <w:bookmarkStart w:id="653" w:name="Tc_7zv0w5_PsU6uo35ULwzL0A_7_21"/>
      <w:bookmarkStart w:id="654" w:name="Tc_i9ndGyXRp0q0ES2ug19AxA_7_15"/>
      <w:bookmarkStart w:id="655" w:name="Tc_Vx-WAfIKxUaz96Opnm3gEQ_7_12"/>
      <w:bookmarkStart w:id="656" w:name="Tc_ux2qAiM0ikCl1IL1Kil8aQ_7_10"/>
      <w:bookmarkStart w:id="657" w:name="Tc_LMIbXZuFt0K3rGjGly3IRg_7_7"/>
      <w:bookmarkStart w:id="658" w:name="Tc_QoJgp5EH2kaAFnWZXykzqg_7_5"/>
      <w:bookmarkStart w:id="659" w:name="Tc_0yb2xDTsIUGnSNaeE72u4A_7_0"/>
      <w:bookmarkStart w:id="660" w:name="Tc_ZfOsKD2wwkCOfOx-w148bg_6_26"/>
      <w:bookmarkStart w:id="661" w:name="Tc_GYE9uWzvnUO3p5CQlzIhOw_6_23"/>
      <w:bookmarkStart w:id="662" w:name="Tc_Ec6sicFLFkWZui65V_g52Q_6_20"/>
      <w:bookmarkStart w:id="663" w:name="Tc_5dNoANT6a0e4zuLNuFG4fg_6_17"/>
      <w:bookmarkStart w:id="664" w:name="Tc_ogMflAzwrEKXSfBalh5J5A_6_14"/>
      <w:bookmarkStart w:id="665" w:name="Tc_Cze6tJTcLU-juyrEG0btrA_6_9"/>
      <w:bookmarkStart w:id="666" w:name="Tc_0LcminbDxUCioGKKUSMV3w_6_4"/>
      <w:bookmarkStart w:id="667" w:name="Tc_QKlAuVg3bEaCthsApj5LwQ_6_0"/>
      <w:bookmarkStart w:id="668" w:name="Tc_cPqrWHRi0k-E6ndmlPnclQ_5_26"/>
      <w:bookmarkStart w:id="669" w:name="Tc_bBrnFpw-2kKoziuzTCcLew_5_23"/>
      <w:bookmarkStart w:id="670" w:name="Tc_LdtsPDfJOkG6AR1ceAfZrQ_5_20"/>
      <w:bookmarkStart w:id="671" w:name="Tc_nJnUOuiUTUiN4oVOfRMYkg_5_17"/>
      <w:bookmarkStart w:id="672" w:name="Tc_8Co8RT0zbkGravhz0YTSfA_5_15"/>
      <w:bookmarkStart w:id="673" w:name="Tc_H5tQQMJhwE-qkM-4RKXKFg_5_12"/>
      <w:bookmarkStart w:id="674" w:name="Tc_PcGzWRNjLky6AUO6lF7Rfg_5_9"/>
      <w:bookmarkStart w:id="675" w:name="Tc_AkdOioj20kS6H3QGhyZ_7A_5_7"/>
      <w:bookmarkStart w:id="676" w:name="Tc_9Zzj1NafbUWz-3WNF5PMCg_5_4"/>
      <w:bookmarkStart w:id="677" w:name="Tc_VX5A9Yx__U6lsubUGyhwqw_5_2"/>
      <w:bookmarkStart w:id="678" w:name="Tc_tNCrPj9ZTkKXkYH3AktwOQ_4_26"/>
      <w:bookmarkStart w:id="679" w:name="Tc_gz28fRxU50u2HHlmdGq8Rg_4_23"/>
      <w:bookmarkStart w:id="680" w:name="Tc_RWkGTzvH_kipGz6wkYB4MA_4_20"/>
      <w:bookmarkStart w:id="681" w:name="Tc_bHFBw_gQ_UOE_i16evCARA_4_17"/>
      <w:bookmarkStart w:id="682" w:name="Tc_0AWepn29gUqdn4Lqa9FXdg_4_15"/>
      <w:bookmarkStart w:id="683" w:name="Tc_xHYgpcoiH02AAZG3giyCFg_4_12"/>
      <w:bookmarkStart w:id="684" w:name="Tc_sC81MyqPPEmEqOuHenYKZA_4_9"/>
      <w:bookmarkStart w:id="685" w:name="Tc_kykvRyUak0e5FSXCLXMnRQ_4_7"/>
      <w:bookmarkStart w:id="686" w:name="Tc_4eg7q1L9tkeY8hWsb_rnXQ_4_4"/>
      <w:bookmarkStart w:id="687" w:name="Tc_NrFwl1Ts5kCTJIfgIHekGw_4_2"/>
      <w:bookmarkStart w:id="688" w:name="Tc_tBAALHFjC0W_2YtlsuUnoQ_3_26"/>
      <w:bookmarkStart w:id="689" w:name="Tc_fhjGC_uvAEW9bOF6EcsFJQ_3_23"/>
      <w:bookmarkStart w:id="690" w:name="Tc_nXy5N3CQ3UaNHVKJR3cLtw_3_17"/>
      <w:bookmarkStart w:id="691" w:name="Tc_8_cNUMfLn0mfmHmLWlxiFA_3_9"/>
      <w:bookmarkStart w:id="692" w:name="Tc_LhsGrQoZnUuHnpjrchoJLQ_3_7"/>
      <w:bookmarkStart w:id="693" w:name="Tc_Y9Eto9DEhkagTdHYs5je9Q_3_4"/>
      <w:bookmarkStart w:id="694" w:name="Tc_X1-X_Ys3nkmq64OEV9SXkA_3_2"/>
      <w:bookmarkStart w:id="695" w:name="Tc_L8PuX9yp_U2jGcX61vhOgw_2_23"/>
      <w:bookmarkStart w:id="696" w:name="Tc_AAl1fBHMI0uaOo0aOWeEuQ_2_12"/>
      <w:bookmarkStart w:id="697" w:name="Tc_WDgBpDyTtk-OUFC56lm1OQ_2_2"/>
      <w:bookmarkStart w:id="698" w:name="_a17fef93_5e71_4b53_a86b_bfc67f6215a5"/>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p>
    <w:tbl>
      <w:tblPr>
        <w:tblW w:w="12542" w:type="dxa"/>
        <w:jc w:val="left"/>
        <w:tblInd w:w="0" w:type="dxa"/>
        <w:tblLayout w:type="fixed"/>
        <w:tblCellMar>
          <w:top w:w="0" w:type="dxa"/>
          <w:left w:w="0" w:type="dxa"/>
          <w:bottom w:w="0" w:type="dxa"/>
          <w:right w:w="0" w:type="dxa"/>
        </w:tblCellMar>
      </w:tblPr>
      <w:tblGrid>
        <w:gridCol w:w="1081"/>
        <w:gridCol w:w="226"/>
        <w:gridCol w:w="1006"/>
        <w:gridCol w:w="226"/>
        <w:gridCol w:w="276"/>
        <w:gridCol w:w="490"/>
        <w:gridCol w:w="226"/>
        <w:gridCol w:w="1006"/>
        <w:gridCol w:w="226"/>
        <w:gridCol w:w="276"/>
        <w:gridCol w:w="490"/>
        <w:gridCol w:w="109"/>
        <w:gridCol w:w="766"/>
        <w:gridCol w:w="109"/>
        <w:gridCol w:w="196"/>
        <w:gridCol w:w="766"/>
        <w:gridCol w:w="109"/>
        <w:gridCol w:w="196"/>
        <w:gridCol w:w="691"/>
        <w:gridCol w:w="226"/>
        <w:gridCol w:w="240"/>
        <w:gridCol w:w="811"/>
        <w:gridCol w:w="226"/>
        <w:gridCol w:w="287"/>
        <w:gridCol w:w="974"/>
        <w:gridCol w:w="226"/>
        <w:gridCol w:w="227"/>
        <w:gridCol w:w="854"/>
      </w:tblGrid>
      <w:tr>
        <w:trPr/>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86435" cy="175260"/>
                      <wp:effectExtent l="0" t="0" r="0" b="0"/>
                      <wp:wrapNone/>
                      <wp:docPr id="20" name="Frame20"/>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43510" cy="175260"/>
                      <wp:effectExtent l="0" t="0" r="0" b="0"/>
                      <wp:wrapNone/>
                      <wp:docPr id="21" name="Frame2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38810" cy="175260"/>
                      <wp:effectExtent l="0" t="0" r="0" b="0"/>
                      <wp:wrapNone/>
                      <wp:docPr id="22" name="Frame22"/>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43510" cy="175260"/>
                      <wp:effectExtent l="0" t="0" r="0" b="0"/>
                      <wp:wrapNone/>
                      <wp:docPr id="23" name="Frame2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75260" cy="175260"/>
                      <wp:effectExtent l="0" t="0" r="0" b="0"/>
                      <wp:wrapNone/>
                      <wp:docPr id="24" name="Frame24"/>
                      <a:graphic xmlns:a="http://schemas.openxmlformats.org/drawingml/2006/main">
                        <a:graphicData uri="http://schemas.microsoft.com/office/word/2010/wordprocessingShape">
                          <wps:wsp>
                            <wps:cNvSpPr txBox="1"/>
                            <wps:spPr>
                              <a:xfrm>
                                <a:off x="0" y="0"/>
                                <a:ext cx="175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311150" cy="175260"/>
                      <wp:effectExtent l="0" t="0" r="0" b="0"/>
                      <wp:wrapNone/>
                      <wp:docPr id="25" name="Frame25"/>
                      <a:graphic xmlns:a="http://schemas.openxmlformats.org/drawingml/2006/main">
                        <a:graphicData uri="http://schemas.microsoft.com/office/word/2010/wordprocessingShape">
                          <wps:wsp>
                            <wps:cNvSpPr txBox="1"/>
                            <wps:spPr>
                              <a:xfrm>
                                <a:off x="0" y="0"/>
                                <a:ext cx="311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43510" cy="175260"/>
                      <wp:effectExtent l="0" t="0" r="0" b="0"/>
                      <wp:wrapNone/>
                      <wp:docPr id="26" name="Frame2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38810" cy="175260"/>
                      <wp:effectExtent l="0" t="0" r="0" b="0"/>
                      <wp:wrapNone/>
                      <wp:docPr id="27" name="Frame27"/>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43510" cy="175260"/>
                      <wp:effectExtent l="0" t="0" r="0" b="0"/>
                      <wp:wrapNone/>
                      <wp:docPr id="28" name="Frame2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75260" cy="175260"/>
                      <wp:effectExtent l="0" t="0" r="0" b="0"/>
                      <wp:wrapNone/>
                      <wp:docPr id="29" name="Frame29"/>
                      <a:graphic xmlns:a="http://schemas.openxmlformats.org/drawingml/2006/main">
                        <a:graphicData uri="http://schemas.microsoft.com/office/word/2010/wordprocessingShape">
                          <wps:wsp>
                            <wps:cNvSpPr txBox="1"/>
                            <wps:spPr>
                              <a:xfrm>
                                <a:off x="0" y="0"/>
                                <a:ext cx="175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311150" cy="175260"/>
                      <wp:effectExtent l="0" t="0" r="0" b="0"/>
                      <wp:wrapNone/>
                      <wp:docPr id="30" name="Frame30"/>
                      <a:graphic xmlns:a="http://schemas.openxmlformats.org/drawingml/2006/main">
                        <a:graphicData uri="http://schemas.microsoft.com/office/word/2010/wordprocessingShape">
                          <wps:wsp>
                            <wps:cNvSpPr txBox="1"/>
                            <wps:spPr>
                              <a:xfrm>
                                <a:off x="0" y="0"/>
                                <a:ext cx="311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9215" cy="175260"/>
                      <wp:effectExtent l="0" t="0" r="0" b="0"/>
                      <wp:wrapNone/>
                      <wp:docPr id="31" name="Frame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486410" cy="175260"/>
                      <wp:effectExtent l="0" t="0" r="0" b="0"/>
                      <wp:wrapNone/>
                      <wp:docPr id="32" name="Frame32"/>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9215" cy="175260"/>
                      <wp:effectExtent l="0" t="0" r="0" b="0"/>
                      <wp:wrapNone/>
                      <wp:docPr id="33" name="Frame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24460" cy="175260"/>
                      <wp:effectExtent l="0" t="0" r="0" b="0"/>
                      <wp:wrapNone/>
                      <wp:docPr id="34" name="Frame3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486410" cy="175260"/>
                      <wp:effectExtent l="0" t="0" r="0" b="0"/>
                      <wp:wrapNone/>
                      <wp:docPr id="35" name="Frame35"/>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9215" cy="175260"/>
                      <wp:effectExtent l="0" t="0" r="0" b="0"/>
                      <wp:wrapNone/>
                      <wp:docPr id="36" name="Frame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24460" cy="175260"/>
                      <wp:effectExtent l="0" t="0" r="0" b="0"/>
                      <wp:wrapNone/>
                      <wp:docPr id="37" name="Frame3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438785" cy="175260"/>
                      <wp:effectExtent l="0" t="0" r="0" b="0"/>
                      <wp:wrapNone/>
                      <wp:docPr id="38" name="Frame3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43510" cy="175260"/>
                      <wp:effectExtent l="0" t="0" r="0" b="0"/>
                      <wp:wrapNone/>
                      <wp:docPr id="39" name="Frame3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52400" cy="175260"/>
                      <wp:effectExtent l="0" t="0" r="0" b="0"/>
                      <wp:wrapNone/>
                      <wp:docPr id="40" name="Frame40"/>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514985" cy="175260"/>
                      <wp:effectExtent l="0" t="0" r="0" b="0"/>
                      <wp:wrapNone/>
                      <wp:docPr id="41" name="Frame41"/>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43510" cy="175260"/>
                      <wp:effectExtent l="0" t="0" r="0" b="0"/>
                      <wp:wrapNone/>
                      <wp:docPr id="42" name="Frame4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82245" cy="175260"/>
                      <wp:effectExtent l="0" t="0" r="0" b="0"/>
                      <wp:wrapNone/>
                      <wp:docPr id="43" name="Frame43"/>
                      <a:graphic xmlns:a="http://schemas.openxmlformats.org/drawingml/2006/main">
                        <a:graphicData uri="http://schemas.microsoft.com/office/word/2010/wordprocessingShape">
                          <wps:wsp>
                            <wps:cNvSpPr txBox="1"/>
                            <wps:spPr>
                              <a:xfrm>
                                <a:off x="0" y="0"/>
                                <a:ext cx="182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18490" cy="175260"/>
                      <wp:effectExtent l="0" t="0" r="0" b="0"/>
                      <wp:wrapNone/>
                      <wp:docPr id="44" name="Frame44"/>
                      <a:graphic xmlns:a="http://schemas.openxmlformats.org/drawingml/2006/main">
                        <a:graphicData uri="http://schemas.microsoft.com/office/word/2010/wordprocessingShape">
                          <wps:wsp>
                            <wps:cNvSpPr txBox="1"/>
                            <wps:spPr>
                              <a:xfrm>
                                <a:off x="0" y="0"/>
                                <a:ext cx="618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43510" cy="175260"/>
                      <wp:effectExtent l="0" t="0" r="0" b="0"/>
                      <wp:wrapNone/>
                      <wp:docPr id="45" name="Frame4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44145" cy="175260"/>
                      <wp:effectExtent l="0" t="0" r="0" b="0"/>
                      <wp:wrapNone/>
                      <wp:docPr id="46" name="Frame46"/>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542290" cy="175260"/>
                      <wp:effectExtent l="0" t="0" r="0" b="0"/>
                      <wp:wrapNone/>
                      <wp:docPr id="47" name="Frame47"/>
                      <a:graphic xmlns:a="http://schemas.openxmlformats.org/drawingml/2006/main">
                        <a:graphicData uri="http://schemas.microsoft.com/office/word/2010/wordprocessingShape">
                          <wps:wsp>
                            <wps:cNvSpPr txBox="1"/>
                            <wps:spPr>
                              <a:xfrm>
                                <a:off x="0" y="0"/>
                                <a:ext cx="542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8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4222" w:type="dxa"/>
            <w:gridSpan w:val="9"/>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261" w:type="dxa"/>
            <w:gridSpan w:val="2"/>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854" w:type="dxa"/>
            <w:tcBorders/>
            <w:vAlign w:val="center"/>
          </w:tcPr>
          <w:p>
            <w:pPr>
              <w:pStyle w:val="TableContents"/>
              <w:bidi w:val="0"/>
              <w:spacing w:before="0" w:after="0"/>
              <w:ind w:left="0" w:right="0" w:hanging="0"/>
              <w:jc w:val="left"/>
              <w:rPr/>
            </w:pPr>
            <w:r>
              <w:rPr/>
              <w:t>​</w:t>
            </w:r>
          </w:p>
        </w:tc>
      </w:tr>
      <w:tr>
        <w:trPr/>
        <w:tc>
          <w:tcPr>
            <w:tcW w:w="108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4222"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Common Stock </w:t>
            </w:r>
          </w:p>
        </w:tc>
        <w:tc>
          <w:tcPr>
            <w:tcW w:w="109" w:type="dxa"/>
            <w:tcBorders/>
            <w:vAlign w:val="center"/>
          </w:tcPr>
          <w:p>
            <w:pPr>
              <w:pStyle w:val="TableContents"/>
              <w:bidi w:val="0"/>
              <w:spacing w:before="0" w:after="0"/>
              <w:ind w:left="0" w:right="0" w:hanging="0"/>
              <w:jc w:val="center"/>
              <w:rPr/>
            </w:pPr>
            <w:r>
              <w:rPr/>
              <w:t>​</w:t>
            </w:r>
          </w:p>
        </w:tc>
        <w:tc>
          <w:tcPr>
            <w:tcW w:w="1837"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 Stock</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051" w:type="dxa"/>
            <w:gridSpan w:val="2"/>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2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22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854" w:type="dxa"/>
            <w:tcBorders/>
            <w:vAlign w:val="center"/>
          </w:tcPr>
          <w:p>
            <w:pPr>
              <w:pStyle w:val="TableContents"/>
              <w:bidi w:val="0"/>
              <w:spacing w:before="0" w:after="0"/>
              <w:ind w:left="0" w:right="0" w:hanging="0"/>
              <w:jc w:val="left"/>
              <w:rPr/>
            </w:pPr>
            <w:r>
              <w:rPr/>
              <w:t>​</w:t>
            </w:r>
          </w:p>
        </w:tc>
      </w:tr>
      <w:tr>
        <w:trPr/>
        <w:tc>
          <w:tcPr>
            <w:tcW w:w="108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226" w:type="dxa"/>
            <w:tcBorders/>
            <w:vAlign w:val="center"/>
          </w:tcPr>
          <w:p>
            <w:pPr>
              <w:pStyle w:val="TableContents"/>
              <w:bidi w:val="0"/>
              <w:spacing w:before="0" w:after="0"/>
              <w:ind w:left="0" w:right="0" w:hanging="0"/>
              <w:jc w:val="center"/>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A</w:t>
            </w:r>
          </w:p>
        </w:tc>
        <w:tc>
          <w:tcPr>
            <w:tcW w:w="22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226" w:type="dxa"/>
            <w:tcBorders/>
            <w:vAlign w:val="center"/>
          </w:tcPr>
          <w:p>
            <w:pPr>
              <w:pStyle w:val="TableContents"/>
              <w:bidi w:val="0"/>
              <w:spacing w:before="0" w:after="0"/>
              <w:ind w:left="0" w:right="0" w:hanging="0"/>
              <w:jc w:val="center"/>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B</w:t>
            </w:r>
          </w:p>
        </w:tc>
        <w:tc>
          <w:tcPr>
            <w:tcW w:w="109"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226" w:type="dxa"/>
            <w:tcBorders/>
            <w:vAlign w:val="center"/>
          </w:tcPr>
          <w:p>
            <w:pPr>
              <w:pStyle w:val="TableContents"/>
              <w:bidi w:val="0"/>
              <w:spacing w:before="0" w:after="0"/>
              <w:ind w:left="0" w:right="0" w:hanging="0"/>
              <w:jc w:val="center"/>
              <w:rPr/>
            </w:pPr>
            <w:r>
              <w:rPr/>
              <w:t>  ​</w:t>
            </w:r>
          </w:p>
        </w:tc>
        <w:tc>
          <w:tcPr>
            <w:tcW w:w="1051" w:type="dxa"/>
            <w:gridSpan w:val="2"/>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  ​</w:t>
            </w:r>
          </w:p>
        </w:tc>
        <w:tc>
          <w:tcPr>
            <w:tcW w:w="12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 </w:t>
            </w:r>
          </w:p>
        </w:tc>
        <w:tc>
          <w:tcPr>
            <w:tcW w:w="226" w:type="dxa"/>
            <w:tcBorders/>
            <w:vAlign w:val="center"/>
          </w:tcPr>
          <w:p>
            <w:pPr>
              <w:pStyle w:val="TableContents"/>
              <w:bidi w:val="0"/>
              <w:spacing w:before="0" w:after="0"/>
              <w:ind w:left="0" w:right="0" w:hanging="0"/>
              <w:jc w:val="center"/>
              <w:rPr/>
            </w:pPr>
            <w:r>
              <w:rPr/>
              <w:t>  ​</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08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A</w:t>
            </w:r>
          </w:p>
        </w:tc>
        <w:tc>
          <w:tcPr>
            <w:tcW w:w="226" w:type="dxa"/>
            <w:tcBorders/>
            <w:vAlign w:val="center"/>
          </w:tcPr>
          <w:p>
            <w:pPr>
              <w:pStyle w:val="TableContents"/>
              <w:bidi w:val="0"/>
              <w:spacing w:before="0" w:after="0"/>
              <w:ind w:left="0" w:right="0" w:hanging="0"/>
              <w:jc w:val="center"/>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22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B</w:t>
            </w:r>
          </w:p>
        </w:tc>
        <w:tc>
          <w:tcPr>
            <w:tcW w:w="226" w:type="dxa"/>
            <w:tcBorders/>
            <w:vAlign w:val="center"/>
          </w:tcPr>
          <w:p>
            <w:pPr>
              <w:pStyle w:val="TableContents"/>
              <w:bidi w:val="0"/>
              <w:spacing w:before="0" w:after="0"/>
              <w:ind w:left="0" w:right="0" w:hanging="0"/>
              <w:jc w:val="center"/>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109"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w:t>
            </w:r>
          </w:p>
        </w:tc>
        <w:tc>
          <w:tcPr>
            <w:tcW w:w="109"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 In</w:t>
            </w:r>
          </w:p>
        </w:tc>
        <w:tc>
          <w:tcPr>
            <w:tcW w:w="226" w:type="dxa"/>
            <w:tcBorders/>
            <w:vAlign w:val="center"/>
          </w:tcPr>
          <w:p>
            <w:pPr>
              <w:pStyle w:val="TableContents"/>
              <w:bidi w:val="0"/>
              <w:spacing w:before="0" w:after="0"/>
              <w:ind w:left="0" w:right="0" w:hanging="0"/>
              <w:jc w:val="center"/>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226" w:type="dxa"/>
            <w:tcBorders/>
            <w:vAlign w:val="center"/>
          </w:tcPr>
          <w:p>
            <w:pPr>
              <w:pStyle w:val="TableContents"/>
              <w:bidi w:val="0"/>
              <w:spacing w:before="0" w:after="0"/>
              <w:ind w:left="0" w:right="0" w:hanging="0"/>
              <w:jc w:val="center"/>
              <w:rPr/>
            </w:pPr>
            <w:r>
              <w:rPr/>
              <w:t>​</w:t>
            </w:r>
          </w:p>
        </w:tc>
        <w:tc>
          <w:tcPr>
            <w:tcW w:w="12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 </w:t>
            </w:r>
          </w:p>
        </w:tc>
        <w:tc>
          <w:tcPr>
            <w:tcW w:w="226" w:type="dxa"/>
            <w:tcBorders/>
            <w:vAlign w:val="center"/>
          </w:tcPr>
          <w:p>
            <w:pPr>
              <w:pStyle w:val="TableContents"/>
              <w:bidi w:val="0"/>
              <w:spacing w:before="0" w:after="0"/>
              <w:ind w:left="0" w:right="0" w:hanging="0"/>
              <w:jc w:val="center"/>
              <w:rPr/>
            </w:pPr>
            <w:r>
              <w:rPr/>
              <w:t>​</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08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226" w:type="dxa"/>
            <w:tcBorders/>
            <w:vAlign w:val="center"/>
          </w:tcPr>
          <w:p>
            <w:pPr>
              <w:pStyle w:val="TableContents"/>
              <w:bidi w:val="0"/>
              <w:spacing w:before="0" w:after="0"/>
              <w:ind w:left="0" w:right="0" w:hanging="0"/>
              <w:jc w:val="center"/>
              <w:rPr/>
            </w:pPr>
            <w:r>
              <w:rPr/>
              <w:t>  ​</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Stock</w:t>
            </w:r>
          </w:p>
        </w:tc>
        <w:tc>
          <w:tcPr>
            <w:tcW w:w="226" w:type="dxa"/>
            <w:tcBorders/>
            <w:vAlign w:val="center"/>
          </w:tcPr>
          <w:p>
            <w:pPr>
              <w:pStyle w:val="TableContents"/>
              <w:bidi w:val="0"/>
              <w:spacing w:before="0" w:after="0"/>
              <w:ind w:left="0" w:right="0" w:hanging="0"/>
              <w:jc w:val="center"/>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226" w:type="dxa"/>
            <w:tcBorders/>
            <w:vAlign w:val="center"/>
          </w:tcPr>
          <w:p>
            <w:pPr>
              <w:pStyle w:val="TableContents"/>
              <w:bidi w:val="0"/>
              <w:spacing w:before="0" w:after="0"/>
              <w:ind w:left="0" w:right="0" w:hanging="0"/>
              <w:jc w:val="center"/>
              <w:rPr/>
            </w:pPr>
            <w:r>
              <w:rPr/>
              <w:t>  ​</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109" w:type="dxa"/>
            <w:tcBorders/>
            <w:vAlign w:val="center"/>
          </w:tcPr>
          <w:p>
            <w:pPr>
              <w:pStyle w:val="TableContents"/>
              <w:bidi w:val="0"/>
              <w:spacing w:before="0" w:after="0"/>
              <w:ind w:left="0" w:right="0" w:hanging="0"/>
              <w:jc w:val="center"/>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109"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226" w:type="dxa"/>
            <w:tcBorders/>
            <w:vAlign w:val="center"/>
          </w:tcPr>
          <w:p>
            <w:pPr>
              <w:pStyle w:val="TableContents"/>
              <w:bidi w:val="0"/>
              <w:spacing w:before="0" w:after="0"/>
              <w:ind w:left="0" w:right="0" w:hanging="0"/>
              <w:jc w:val="center"/>
              <w:rPr/>
            </w:pPr>
            <w:r>
              <w:rPr/>
              <w:t>  ​</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226" w:type="dxa"/>
            <w:tcBorders/>
            <w:vAlign w:val="center"/>
          </w:tcPr>
          <w:p>
            <w:pPr>
              <w:pStyle w:val="TableContents"/>
              <w:bidi w:val="0"/>
              <w:spacing w:before="0" w:after="0"/>
              <w:ind w:left="0" w:right="0" w:hanging="0"/>
              <w:jc w:val="center"/>
              <w:rPr/>
            </w:pPr>
            <w:r>
              <w:rPr/>
              <w:t>  ​</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226" w:type="dxa"/>
            <w:tcBorders/>
            <w:vAlign w:val="center"/>
          </w:tcPr>
          <w:p>
            <w:pPr>
              <w:pStyle w:val="TableContents"/>
              <w:bidi w:val="0"/>
              <w:spacing w:before="0" w:after="0"/>
              <w:ind w:left="0" w:right="0" w:hanging="0"/>
              <w:jc w:val="center"/>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January 1, 2026</w:t>
            </w:r>
          </w:p>
        </w:tc>
        <w:tc>
          <w:tcPr>
            <w:tcW w:w="226" w:type="dxa"/>
            <w:tcBorders/>
            <w:shd w:fill="CCEEFF" w:val="clear"/>
            <w:vAlign w:val="center"/>
          </w:tcPr>
          <w:p>
            <w:pPr>
              <w:pStyle w:val="TableContents"/>
              <w:bidi w:val="0"/>
              <w:spacing w:before="0" w:after="0"/>
              <w:ind w:left="0" w:right="0" w:hanging="0"/>
              <w:jc w:val="center"/>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77,580</w:t>
            </w:r>
          </w:p>
        </w:tc>
        <w:tc>
          <w:tcPr>
            <w:tcW w:w="226" w:type="dxa"/>
            <w:tcBorders/>
            <w:shd w:fill="CCEEFF" w:val="clear"/>
            <w:vAlign w:val="center"/>
          </w:tcPr>
          <w:p>
            <w:pPr>
              <w:pStyle w:val="TableContents"/>
              <w:bidi w:val="0"/>
              <w:spacing w:before="0" w:after="0"/>
              <w:ind w:left="0" w:right="0" w:hanging="0"/>
              <w:jc w:val="center"/>
              <w:rPr/>
            </w:pPr>
            <w:r>
              <w:rPr/>
              <w:t>​</w:t>
            </w:r>
          </w:p>
        </w:tc>
        <w:tc>
          <w:tcPr>
            <w:tcW w:w="2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9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w:t>
            </w:r>
          </w:p>
        </w:tc>
        <w:tc>
          <w:tcPr>
            <w:tcW w:w="226" w:type="dxa"/>
            <w:tcBorders/>
            <w:shd w:fill="CCEEFF" w:val="clear"/>
            <w:vAlign w:val="center"/>
          </w:tcPr>
          <w:p>
            <w:pPr>
              <w:pStyle w:val="TableContents"/>
              <w:bidi w:val="0"/>
              <w:spacing w:before="0" w:after="0"/>
              <w:ind w:left="0" w:right="0" w:hanging="0"/>
              <w:jc w:val="center"/>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82,156</w:t>
            </w:r>
          </w:p>
        </w:tc>
        <w:tc>
          <w:tcPr>
            <w:tcW w:w="226" w:type="dxa"/>
            <w:tcBorders/>
            <w:shd w:fill="CCEEFF" w:val="clear"/>
            <w:vAlign w:val="center"/>
          </w:tcPr>
          <w:p>
            <w:pPr>
              <w:pStyle w:val="TableContents"/>
              <w:bidi w:val="0"/>
              <w:spacing w:before="0" w:after="0"/>
              <w:ind w:left="0" w:right="0" w:hanging="0"/>
              <w:jc w:val="center"/>
              <w:rPr/>
            </w:pPr>
            <w:r>
              <w:rPr/>
              <w:t>​</w:t>
            </w:r>
          </w:p>
        </w:tc>
        <w:tc>
          <w:tcPr>
            <w:tcW w:w="2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9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w:t>
            </w:r>
          </w:p>
        </w:tc>
        <w:tc>
          <w:tcPr>
            <w:tcW w:w="109" w:type="dxa"/>
            <w:tcBorders/>
            <w:shd w:fill="CCEEFF" w:val="clear"/>
            <w:vAlign w:val="center"/>
          </w:tcPr>
          <w:p>
            <w:pPr>
              <w:pStyle w:val="TableContents"/>
              <w:bidi w:val="0"/>
              <w:spacing w:before="0" w:after="0"/>
              <w:ind w:left="0" w:right="0" w:hanging="0"/>
              <w:jc w:val="righ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504</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(10,094)</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316,327</w:t>
            </w:r>
          </w:p>
        </w:tc>
        <w:tc>
          <w:tcPr>
            <w:tcW w:w="226" w:type="dxa"/>
            <w:tcBorders/>
            <w:shd w:fill="CCEEFF" w:val="clear"/>
            <w:vAlign w:val="center"/>
          </w:tcPr>
          <w:p>
            <w:pPr>
              <w:pStyle w:val="TableContents"/>
              <w:bidi w:val="0"/>
              <w:spacing w:before="0" w:after="0"/>
              <w:ind w:left="0" w:right="0" w:hanging="0"/>
              <w:jc w:val="center"/>
              <w:rPr/>
            </w:pPr>
            <w:r>
              <w:rPr/>
              <w:t>​</w:t>
            </w:r>
          </w:p>
        </w:tc>
        <w:tc>
          <w:tcPr>
            <w:tcW w:w="24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(46,104)</w:t>
            </w:r>
          </w:p>
        </w:tc>
        <w:tc>
          <w:tcPr>
            <w:tcW w:w="226" w:type="dxa"/>
            <w:tcBorders/>
            <w:shd w:fill="CCEEFF" w:val="clear"/>
            <w:vAlign w:val="center"/>
          </w:tcPr>
          <w:p>
            <w:pPr>
              <w:pStyle w:val="TableContents"/>
              <w:bidi w:val="0"/>
              <w:spacing w:before="0" w:after="0"/>
              <w:ind w:left="0" w:right="0" w:hanging="0"/>
              <w:jc w:val="center"/>
              <w:rPr/>
            </w:pPr>
            <w:r>
              <w:rPr/>
              <w:t>​</w:t>
            </w:r>
          </w:p>
        </w:tc>
        <w:tc>
          <w:tcPr>
            <w:tcW w:w="28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(1,368)</w:t>
            </w:r>
          </w:p>
        </w:tc>
        <w:tc>
          <w:tcPr>
            <w:tcW w:w="226" w:type="dxa"/>
            <w:tcBorders/>
            <w:shd w:fill="CCEEFF" w:val="clear"/>
            <w:vAlign w:val="center"/>
          </w:tcPr>
          <w:p>
            <w:pPr>
              <w:pStyle w:val="TableContents"/>
              <w:bidi w:val="0"/>
              <w:spacing w:before="0" w:after="0"/>
              <w:ind w:left="0" w:right="0" w:hanging="0"/>
              <w:jc w:val="center"/>
              <w:rPr/>
            </w:pPr>
            <w:r>
              <w:rPr/>
              <w:t>​</w:t>
            </w:r>
          </w:p>
        </w:tc>
        <w:tc>
          <w:tcPr>
            <w:tcW w:w="22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258,920</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Exercise of stock options, net</w:t>
            </w:r>
          </w:p>
        </w:tc>
        <w:tc>
          <w:tcPr>
            <w:tcW w:w="22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w:t>
            </w:r>
          </w:p>
        </w:tc>
        <w:tc>
          <w:tcPr>
            <w:tcW w:w="2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w:t>
            </w:r>
          </w:p>
        </w:tc>
        <w:tc>
          <w:tcPr>
            <w:tcW w:w="226" w:type="dxa"/>
            <w:tcBorders/>
            <w:vAlign w:val="center"/>
          </w:tcPr>
          <w:p>
            <w:pPr>
              <w:pStyle w:val="TableContents"/>
              <w:bidi w:val="0"/>
              <w:spacing w:before="0" w:after="0"/>
              <w:ind w:left="0" w:right="0" w:hanging="0"/>
              <w:jc w:val="right"/>
              <w:rPr/>
            </w:pPr>
            <w:r>
              <w:rPr/>
              <w:t>​</w:t>
            </w:r>
          </w:p>
        </w:tc>
        <w:tc>
          <w:tcPr>
            <w:tcW w:w="240"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85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Shares issued upon vesting of Restricted Stock Units, net</w:t>
            </w:r>
          </w:p>
        </w:tc>
        <w:tc>
          <w:tcPr>
            <w:tcW w:w="226" w:type="dxa"/>
            <w:tcBorders/>
            <w:shd w:fill="CCEEFF" w:val="clear"/>
            <w:vAlign w:val="center"/>
          </w:tcPr>
          <w:p>
            <w:pPr>
              <w:pStyle w:val="TableContents"/>
              <w:bidi w:val="0"/>
              <w:spacing w:before="0" w:after="0"/>
              <w:ind w:left="0" w:right="0" w:hanging="0"/>
              <w:jc w:val="center"/>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941</w:t>
            </w:r>
          </w:p>
        </w:tc>
        <w:tc>
          <w:tcPr>
            <w:tcW w:w="2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49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2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49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(7,144)</w:t>
            </w:r>
          </w:p>
        </w:tc>
        <w:tc>
          <w:tcPr>
            <w:tcW w:w="226" w:type="dxa"/>
            <w:tcBorders/>
            <w:shd w:fill="CCEEFF" w:val="clear"/>
            <w:vAlign w:val="center"/>
          </w:tcPr>
          <w:p>
            <w:pPr>
              <w:pStyle w:val="TableContents"/>
              <w:bidi w:val="0"/>
              <w:spacing w:before="0" w:after="0"/>
              <w:ind w:left="0" w:right="0" w:hanging="0"/>
              <w:jc w:val="righ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85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(7,143)</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22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17,578</w:t>
            </w:r>
          </w:p>
        </w:tc>
        <w:tc>
          <w:tcPr>
            <w:tcW w:w="226" w:type="dxa"/>
            <w:tcBorders/>
            <w:vAlign w:val="center"/>
          </w:tcPr>
          <w:p>
            <w:pPr>
              <w:pStyle w:val="TableContents"/>
              <w:bidi w:val="0"/>
              <w:spacing w:before="0" w:after="0"/>
              <w:ind w:left="0" w:right="0" w:hanging="0"/>
              <w:jc w:val="right"/>
              <w:rPr/>
            </w:pPr>
            <w:r>
              <w:rPr/>
              <w:t>​</w:t>
            </w:r>
          </w:p>
        </w:tc>
        <w:tc>
          <w:tcPr>
            <w:tcW w:w="240"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85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17,578</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Shares issued for acquisition contingent stock earn-out </w:t>
            </w:r>
          </w:p>
        </w:tc>
        <w:tc>
          <w:tcPr>
            <w:tcW w:w="226" w:type="dxa"/>
            <w:tcBorders/>
            <w:shd w:fill="CCEEFF" w:val="clear"/>
            <w:vAlign w:val="center"/>
          </w:tcPr>
          <w:p>
            <w:pPr>
              <w:pStyle w:val="TableContents"/>
              <w:bidi w:val="0"/>
              <w:spacing w:before="0" w:after="0"/>
              <w:ind w:left="0" w:right="0" w:hanging="0"/>
              <w:jc w:val="center"/>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324</w:t>
            </w:r>
          </w:p>
        </w:tc>
        <w:tc>
          <w:tcPr>
            <w:tcW w:w="2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49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2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49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6,061</w:t>
            </w:r>
          </w:p>
        </w:tc>
        <w:tc>
          <w:tcPr>
            <w:tcW w:w="226" w:type="dxa"/>
            <w:tcBorders/>
            <w:shd w:fill="CCEEFF" w:val="clear"/>
            <w:vAlign w:val="center"/>
          </w:tcPr>
          <w:p>
            <w:pPr>
              <w:pStyle w:val="TableContents"/>
              <w:bidi w:val="0"/>
              <w:spacing w:before="0" w:after="0"/>
              <w:ind w:left="0" w:right="0" w:hanging="0"/>
              <w:jc w:val="righ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85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6,062</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Repurchase of shares</w:t>
            </w:r>
          </w:p>
        </w:tc>
        <w:tc>
          <w:tcPr>
            <w:tcW w:w="22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1,371</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(20,041)</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w:t>
            </w:r>
          </w:p>
        </w:tc>
        <w:tc>
          <w:tcPr>
            <w:tcW w:w="226" w:type="dxa"/>
            <w:tcBorders/>
            <w:vAlign w:val="center"/>
          </w:tcPr>
          <w:p>
            <w:pPr>
              <w:pStyle w:val="TableContents"/>
              <w:bidi w:val="0"/>
              <w:spacing w:before="0" w:after="0"/>
              <w:ind w:left="0" w:right="0" w:hanging="0"/>
              <w:jc w:val="right"/>
              <w:rPr/>
            </w:pPr>
            <w:r>
              <w:rPr/>
              <w:t>​</w:t>
            </w:r>
          </w:p>
        </w:tc>
        <w:tc>
          <w:tcPr>
            <w:tcW w:w="240"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85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(20,051)</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Tax impact on capped call transactions</w:t>
            </w:r>
          </w:p>
        </w:tc>
        <w:tc>
          <w:tcPr>
            <w:tcW w:w="226" w:type="dxa"/>
            <w:tcBorders/>
            <w:shd w:fill="CCEEFF" w:val="clear"/>
            <w:vAlign w:val="center"/>
          </w:tcPr>
          <w:p>
            <w:pPr>
              <w:pStyle w:val="TableContents"/>
              <w:bidi w:val="0"/>
              <w:spacing w:before="0" w:after="0"/>
              <w:ind w:left="0" w:right="0" w:hanging="0"/>
              <w:jc w:val="center"/>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490"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49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226" w:type="dxa"/>
            <w:tcBorders/>
            <w:shd w:fill="CCEEFF" w:val="clear"/>
            <w:vAlign w:val="center"/>
          </w:tcPr>
          <w:p>
            <w:pPr>
              <w:pStyle w:val="TableContents"/>
              <w:bidi w:val="0"/>
              <w:spacing w:before="0" w:after="0"/>
              <w:ind w:left="0" w:right="0" w:hanging="0"/>
              <w:jc w:val="righ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85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Foreign currency translation adjustments and revaluations, net of tax</w:t>
            </w:r>
          </w:p>
        </w:tc>
        <w:tc>
          <w:tcPr>
            <w:tcW w:w="22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right"/>
              <w:rPr/>
            </w:pPr>
            <w:r>
              <w:rPr/>
              <w:t>​</w:t>
            </w:r>
          </w:p>
        </w:tc>
        <w:tc>
          <w:tcPr>
            <w:tcW w:w="240"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(6,450)</w:t>
            </w:r>
          </w:p>
        </w:tc>
        <w:tc>
          <w:tcPr>
            <w:tcW w:w="22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85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(6,450)</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w:t>
            </w:r>
          </w:p>
        </w:tc>
        <w:tc>
          <w:tcPr>
            <w:tcW w:w="226" w:type="dxa"/>
            <w:tcBorders/>
            <w:shd w:fill="CCEEFF" w:val="clear"/>
            <w:vAlign w:val="center"/>
          </w:tcPr>
          <w:p>
            <w:pPr>
              <w:pStyle w:val="TableContents"/>
              <w:bidi w:val="0"/>
              <w:spacing w:before="0" w:after="0"/>
              <w:ind w:left="0" w:right="0" w:hanging="0"/>
              <w:jc w:val="center"/>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(2,510)</w:t>
            </w:r>
          </w:p>
        </w:tc>
        <w:tc>
          <w:tcPr>
            <w:tcW w:w="226" w:type="dxa"/>
            <w:tcBorders/>
            <w:shd w:fill="CCEEFF" w:val="clear"/>
            <w:vAlign w:val="center"/>
          </w:tcPr>
          <w:p>
            <w:pPr>
              <w:pStyle w:val="TableContents"/>
              <w:bidi w:val="0"/>
              <w:spacing w:before="0" w:after="0"/>
              <w:ind w:left="0" w:right="0" w:hanging="0"/>
              <w:jc w:val="left"/>
              <w:rPr/>
            </w:pPr>
            <w:r>
              <w:rPr/>
              <w:t>​</w:t>
            </w:r>
          </w:p>
        </w:tc>
        <w:tc>
          <w:tcPr>
            <w:tcW w:w="2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(2,510)</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March 31, 2026</w:t>
            </w:r>
          </w:p>
        </w:tc>
        <w:tc>
          <w:tcPr>
            <w:tcW w:w="226" w:type="dxa"/>
            <w:tcBorders/>
            <w:vAlign w:val="center"/>
          </w:tcPr>
          <w:p>
            <w:pPr>
              <w:pStyle w:val="TableContents"/>
              <w:bidi w:val="0"/>
              <w:spacing w:before="0" w:after="0"/>
              <w:ind w:left="0" w:right="0" w:hanging="0"/>
              <w:jc w:val="center"/>
              <w:rPr/>
            </w:pPr>
            <w:r>
              <w:rPr/>
              <w:t>​</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78,882</w:t>
            </w:r>
          </w:p>
        </w:tc>
        <w:tc>
          <w:tcPr>
            <w:tcW w:w="226" w:type="dxa"/>
            <w:tcBorders/>
            <w:vAlign w:val="center"/>
          </w:tcPr>
          <w:p>
            <w:pPr>
              <w:pStyle w:val="TableContents"/>
              <w:bidi w:val="0"/>
              <w:spacing w:before="0" w:after="0"/>
              <w:ind w:left="0" w:right="0" w:hanging="0"/>
              <w:jc w:val="left"/>
              <w:rPr/>
            </w:pPr>
            <w:r>
              <w:rPr/>
              <w:t>​</w:t>
            </w:r>
          </w:p>
        </w:tc>
        <w:tc>
          <w:tcPr>
            <w:tcW w:w="27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9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w:t>
            </w:r>
          </w:p>
        </w:tc>
        <w:tc>
          <w:tcPr>
            <w:tcW w:w="226" w:type="dxa"/>
            <w:tcBorders/>
            <w:vAlign w:val="center"/>
          </w:tcPr>
          <w:p>
            <w:pPr>
              <w:pStyle w:val="TableContents"/>
              <w:bidi w:val="0"/>
              <w:spacing w:before="0" w:after="0"/>
              <w:ind w:left="0" w:right="0" w:hanging="0"/>
              <w:jc w:val="left"/>
              <w:rPr/>
            </w:pPr>
            <w:r>
              <w:rPr/>
              <w:t>​</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82,156</w:t>
            </w:r>
          </w:p>
        </w:tc>
        <w:tc>
          <w:tcPr>
            <w:tcW w:w="226" w:type="dxa"/>
            <w:tcBorders/>
            <w:vAlign w:val="center"/>
          </w:tcPr>
          <w:p>
            <w:pPr>
              <w:pStyle w:val="TableContents"/>
              <w:bidi w:val="0"/>
              <w:spacing w:before="0" w:after="0"/>
              <w:ind w:left="0" w:right="0" w:hanging="0"/>
              <w:jc w:val="right"/>
              <w:rPr/>
            </w:pPr>
            <w:r>
              <w:rPr/>
              <w:t>​</w:t>
            </w:r>
          </w:p>
        </w:tc>
        <w:tc>
          <w:tcPr>
            <w:tcW w:w="27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9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w:t>
            </w:r>
          </w:p>
        </w:tc>
        <w:tc>
          <w:tcPr>
            <w:tcW w:w="109" w:type="dxa"/>
            <w:tcBorders/>
            <w:vAlign w:val="center"/>
          </w:tcPr>
          <w:p>
            <w:pPr>
              <w:pStyle w:val="TableContents"/>
              <w:bidi w:val="0"/>
              <w:spacing w:before="0" w:after="0"/>
              <w:ind w:left="0" w:right="0" w:hanging="0"/>
              <w:jc w:val="right"/>
              <w:rPr/>
            </w:pPr>
            <w:r>
              <w:rPr/>
              <w:t>​</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1,875</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(30,135)</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332,910</w:t>
            </w:r>
          </w:p>
        </w:tc>
        <w:tc>
          <w:tcPr>
            <w:tcW w:w="226" w:type="dxa"/>
            <w:tcBorders/>
            <w:vAlign w:val="center"/>
          </w:tcPr>
          <w:p>
            <w:pPr>
              <w:pStyle w:val="TableContents"/>
              <w:bidi w:val="0"/>
              <w:spacing w:before="0" w:after="0"/>
              <w:ind w:left="0" w:right="0" w:hanging="0"/>
              <w:jc w:val="right"/>
              <w:rPr/>
            </w:pPr>
            <w:r>
              <w:rPr/>
              <w:t>​</w:t>
            </w:r>
          </w:p>
        </w:tc>
        <w:tc>
          <w:tcPr>
            <w:tcW w:w="24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(48,614)</w:t>
            </w:r>
          </w:p>
        </w:tc>
        <w:tc>
          <w:tcPr>
            <w:tcW w:w="226" w:type="dxa"/>
            <w:tcBorders/>
            <w:vAlign w:val="center"/>
          </w:tcPr>
          <w:p>
            <w:pPr>
              <w:pStyle w:val="TableContents"/>
              <w:bidi w:val="0"/>
              <w:spacing w:before="0" w:after="0"/>
              <w:ind w:left="0" w:right="0" w:hanging="0"/>
              <w:jc w:val="left"/>
              <w:rPr/>
            </w:pPr>
            <w:r>
              <w:rPr/>
              <w:t>​</w:t>
            </w:r>
          </w:p>
        </w:tc>
        <w:tc>
          <w:tcPr>
            <w:tcW w:w="28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(7,818)</w:t>
            </w:r>
          </w:p>
        </w:tc>
        <w:tc>
          <w:tcPr>
            <w:tcW w:w="226" w:type="dxa"/>
            <w:tcBorders/>
            <w:vAlign w:val="center"/>
          </w:tcPr>
          <w:p>
            <w:pPr>
              <w:pStyle w:val="TableContents"/>
              <w:bidi w:val="0"/>
              <w:spacing w:before="0" w:after="0"/>
              <w:ind w:left="0" w:right="0" w:hanging="0"/>
              <w:jc w:val="left"/>
              <w:rPr/>
            </w:pPr>
            <w:r>
              <w:rPr/>
              <w:t>​</w:t>
            </w:r>
          </w:p>
        </w:tc>
        <w:tc>
          <w:tcPr>
            <w:tcW w:w="22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246,504</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Exercise of stock options, net</w:t>
            </w:r>
          </w:p>
        </w:tc>
        <w:tc>
          <w:tcPr>
            <w:tcW w:w="226" w:type="dxa"/>
            <w:tcBorders/>
            <w:shd w:fill="CCEEFF" w:val="clear"/>
            <w:vAlign w:val="center"/>
          </w:tcPr>
          <w:p>
            <w:pPr>
              <w:pStyle w:val="TableContents"/>
              <w:bidi w:val="0"/>
              <w:spacing w:before="0" w:after="0"/>
              <w:ind w:left="0" w:right="0" w:hanging="0"/>
              <w:jc w:val="center"/>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269</w:t>
            </w:r>
          </w:p>
        </w:tc>
        <w:tc>
          <w:tcPr>
            <w:tcW w:w="2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490"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49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w:t>
            </w:r>
          </w:p>
        </w:tc>
        <w:tc>
          <w:tcPr>
            <w:tcW w:w="226" w:type="dxa"/>
            <w:tcBorders/>
            <w:shd w:fill="CCEEFF" w:val="clear"/>
            <w:vAlign w:val="center"/>
          </w:tcPr>
          <w:p>
            <w:pPr>
              <w:pStyle w:val="TableContents"/>
              <w:bidi w:val="0"/>
              <w:spacing w:before="0" w:after="0"/>
              <w:ind w:left="0" w:right="0" w:hanging="0"/>
              <w:jc w:val="righ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85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Shares issued upon vesting of Restricted Stock Units, net</w:t>
            </w:r>
          </w:p>
        </w:tc>
        <w:tc>
          <w:tcPr>
            <w:tcW w:w="22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w:t>
            </w:r>
          </w:p>
        </w:tc>
        <w:tc>
          <w:tcPr>
            <w:tcW w:w="2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right"/>
              <w:rPr/>
            </w:pPr>
            <w:r>
              <w:rPr/>
              <w:t>​</w:t>
            </w:r>
          </w:p>
        </w:tc>
        <w:tc>
          <w:tcPr>
            <w:tcW w:w="276"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(537)</w:t>
            </w:r>
          </w:p>
        </w:tc>
        <w:tc>
          <w:tcPr>
            <w:tcW w:w="226" w:type="dxa"/>
            <w:tcBorders/>
            <w:vAlign w:val="center"/>
          </w:tcPr>
          <w:p>
            <w:pPr>
              <w:pStyle w:val="TableContents"/>
              <w:bidi w:val="0"/>
              <w:spacing w:before="0" w:after="0"/>
              <w:ind w:left="0" w:right="0" w:hanging="0"/>
              <w:jc w:val="right"/>
              <w:rPr/>
            </w:pPr>
            <w:r>
              <w:rPr/>
              <w:t>​</w:t>
            </w:r>
          </w:p>
        </w:tc>
        <w:tc>
          <w:tcPr>
            <w:tcW w:w="240"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85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(537)</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Shares issued upon vesting of Restricted Stock Awards, net</w:t>
            </w:r>
          </w:p>
        </w:tc>
        <w:tc>
          <w:tcPr>
            <w:tcW w:w="226" w:type="dxa"/>
            <w:tcBorders/>
            <w:shd w:fill="CCEEFF" w:val="clear"/>
            <w:vAlign w:val="center"/>
          </w:tcPr>
          <w:p>
            <w:pPr>
              <w:pStyle w:val="TableContents"/>
              <w:bidi w:val="0"/>
              <w:spacing w:before="0" w:after="0"/>
              <w:ind w:left="0" w:right="0" w:hanging="0"/>
              <w:jc w:val="center"/>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w:t>
            </w:r>
          </w:p>
        </w:tc>
        <w:tc>
          <w:tcPr>
            <w:tcW w:w="2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490"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49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854" w:type="dxa"/>
            <w:tcBorders/>
            <w:shd w:fill="CCEEFF" w:val="clear"/>
            <w:vAlign w:val="center"/>
          </w:tcPr>
          <w:p>
            <w:pPr>
              <w:pStyle w:val="TableContents"/>
              <w:bidi w:val="0"/>
              <w:spacing w:before="0" w:after="0"/>
              <w:ind w:left="0" w:right="0" w:hanging="0"/>
              <w:jc w:val="right"/>
              <w:rPr/>
            </w:pPr>
            <w:r>
              <w:rPr/>
              <w:t>—</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22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right"/>
              <w:rPr/>
            </w:pPr>
            <w:r>
              <w:rPr/>
              <w:t>​</w:t>
            </w:r>
          </w:p>
        </w:tc>
        <w:tc>
          <w:tcPr>
            <w:tcW w:w="276"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13,685</w:t>
            </w:r>
          </w:p>
        </w:tc>
        <w:tc>
          <w:tcPr>
            <w:tcW w:w="226" w:type="dxa"/>
            <w:tcBorders/>
            <w:vAlign w:val="center"/>
          </w:tcPr>
          <w:p>
            <w:pPr>
              <w:pStyle w:val="TableContents"/>
              <w:bidi w:val="0"/>
              <w:spacing w:before="0" w:after="0"/>
              <w:ind w:left="0" w:right="0" w:hanging="0"/>
              <w:jc w:val="right"/>
              <w:rPr/>
            </w:pPr>
            <w:r>
              <w:rPr/>
              <w:t>​</w:t>
            </w:r>
          </w:p>
        </w:tc>
        <w:tc>
          <w:tcPr>
            <w:tcW w:w="240"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85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13,685</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Shares issued under ESPP</w:t>
            </w:r>
          </w:p>
        </w:tc>
        <w:tc>
          <w:tcPr>
            <w:tcW w:w="226" w:type="dxa"/>
            <w:tcBorders/>
            <w:shd w:fill="CCEEFF" w:val="clear"/>
            <w:vAlign w:val="center"/>
          </w:tcPr>
          <w:p>
            <w:pPr>
              <w:pStyle w:val="TableContents"/>
              <w:bidi w:val="0"/>
              <w:spacing w:before="0" w:after="0"/>
              <w:ind w:left="0" w:right="0" w:hanging="0"/>
              <w:jc w:val="center"/>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142</w:t>
            </w:r>
          </w:p>
        </w:tc>
        <w:tc>
          <w:tcPr>
            <w:tcW w:w="2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490"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49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1,807</w:t>
            </w:r>
          </w:p>
        </w:tc>
        <w:tc>
          <w:tcPr>
            <w:tcW w:w="226" w:type="dxa"/>
            <w:tcBorders/>
            <w:shd w:fill="CCEEFF" w:val="clear"/>
            <w:vAlign w:val="center"/>
          </w:tcPr>
          <w:p>
            <w:pPr>
              <w:pStyle w:val="TableContents"/>
              <w:bidi w:val="0"/>
              <w:spacing w:before="0" w:after="0"/>
              <w:ind w:left="0" w:right="0" w:hanging="0"/>
              <w:jc w:val="righ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85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1,807</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Repurchase of shares</w:t>
            </w:r>
          </w:p>
        </w:tc>
        <w:tc>
          <w:tcPr>
            <w:tcW w:w="22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right"/>
              <w:rPr/>
            </w:pPr>
            <w:r>
              <w:rPr/>
              <w:t>​</w:t>
            </w:r>
          </w:p>
        </w:tc>
        <w:tc>
          <w:tcPr>
            <w:tcW w:w="276"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2,013</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(26,561)</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(186)</w:t>
            </w:r>
          </w:p>
        </w:tc>
        <w:tc>
          <w:tcPr>
            <w:tcW w:w="226" w:type="dxa"/>
            <w:tcBorders/>
            <w:vAlign w:val="center"/>
          </w:tcPr>
          <w:p>
            <w:pPr>
              <w:pStyle w:val="TableContents"/>
              <w:bidi w:val="0"/>
              <w:spacing w:before="0" w:after="0"/>
              <w:ind w:left="0" w:right="0" w:hanging="0"/>
              <w:jc w:val="right"/>
              <w:rPr/>
            </w:pPr>
            <w:r>
              <w:rPr/>
              <w:t>​</w:t>
            </w:r>
          </w:p>
        </w:tc>
        <w:tc>
          <w:tcPr>
            <w:tcW w:w="240"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85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(26,747)</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Tax impact on capped call transactions</w:t>
            </w:r>
          </w:p>
        </w:tc>
        <w:tc>
          <w:tcPr>
            <w:tcW w:w="226" w:type="dxa"/>
            <w:tcBorders/>
            <w:shd w:fill="CCEEFF" w:val="clear"/>
            <w:vAlign w:val="center"/>
          </w:tcPr>
          <w:p>
            <w:pPr>
              <w:pStyle w:val="TableContents"/>
              <w:bidi w:val="0"/>
              <w:spacing w:before="0" w:after="0"/>
              <w:ind w:left="0" w:right="0" w:hanging="0"/>
              <w:jc w:val="center"/>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490"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49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226" w:type="dxa"/>
            <w:tcBorders/>
            <w:shd w:fill="CCEEFF" w:val="clear"/>
            <w:vAlign w:val="center"/>
          </w:tcPr>
          <w:p>
            <w:pPr>
              <w:pStyle w:val="TableContents"/>
              <w:bidi w:val="0"/>
              <w:spacing w:before="0" w:after="0"/>
              <w:ind w:left="0" w:right="0" w:hanging="0"/>
              <w:jc w:val="righ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85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Foreign currency translation adjustments and revaluations, net of tax</w:t>
            </w:r>
          </w:p>
        </w:tc>
        <w:tc>
          <w:tcPr>
            <w:tcW w:w="22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right"/>
              <w:rPr/>
            </w:pPr>
            <w:r>
              <w:rPr/>
              <w:t>​</w:t>
            </w:r>
          </w:p>
        </w:tc>
        <w:tc>
          <w:tcPr>
            <w:tcW w:w="276"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right"/>
              <w:rPr/>
            </w:pPr>
            <w:r>
              <w:rPr/>
              <w:t>​</w:t>
            </w:r>
          </w:p>
        </w:tc>
        <w:tc>
          <w:tcPr>
            <w:tcW w:w="240"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(2,737)</w:t>
            </w:r>
          </w:p>
        </w:tc>
        <w:tc>
          <w:tcPr>
            <w:tcW w:w="22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85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(2,737)</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226" w:type="dxa"/>
            <w:tcBorders/>
            <w:shd w:fill="CCEEFF" w:val="clear"/>
            <w:vAlign w:val="center"/>
          </w:tcPr>
          <w:p>
            <w:pPr>
              <w:pStyle w:val="TableContents"/>
              <w:bidi w:val="0"/>
              <w:spacing w:before="0" w:after="0"/>
              <w:ind w:left="0" w:right="0" w:hanging="0"/>
              <w:jc w:val="center"/>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2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9,043</w:t>
            </w:r>
          </w:p>
        </w:tc>
        <w:tc>
          <w:tcPr>
            <w:tcW w:w="226" w:type="dxa"/>
            <w:tcBorders/>
            <w:shd w:fill="CCEEFF" w:val="clear"/>
            <w:vAlign w:val="center"/>
          </w:tcPr>
          <w:p>
            <w:pPr>
              <w:pStyle w:val="TableContents"/>
              <w:bidi w:val="0"/>
              <w:spacing w:before="0" w:after="0"/>
              <w:ind w:left="0" w:right="0" w:hanging="0"/>
              <w:jc w:val="left"/>
              <w:rPr/>
            </w:pPr>
            <w:r>
              <w:rPr/>
              <w:t>​</w:t>
            </w:r>
          </w:p>
        </w:tc>
        <w:tc>
          <w:tcPr>
            <w:tcW w:w="2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9,043</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June 30, 2026</w:t>
            </w:r>
          </w:p>
        </w:tc>
        <w:tc>
          <w:tcPr>
            <w:tcW w:w="226" w:type="dxa"/>
            <w:tcBorders/>
            <w:vAlign w:val="center"/>
          </w:tcPr>
          <w:p>
            <w:pPr>
              <w:pStyle w:val="TableContents"/>
              <w:bidi w:val="0"/>
              <w:spacing w:before="0" w:after="0"/>
              <w:ind w:left="0" w:right="0" w:hanging="0"/>
              <w:jc w:val="center"/>
              <w:rPr/>
            </w:pPr>
            <w:r>
              <w:rPr/>
              <w:t>​</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79,414</w:t>
            </w:r>
          </w:p>
        </w:tc>
        <w:tc>
          <w:tcPr>
            <w:tcW w:w="226" w:type="dxa"/>
            <w:tcBorders/>
            <w:vAlign w:val="center"/>
          </w:tcPr>
          <w:p>
            <w:pPr>
              <w:pStyle w:val="TableContents"/>
              <w:bidi w:val="0"/>
              <w:spacing w:before="0" w:after="0"/>
              <w:ind w:left="0" w:right="0" w:hanging="0"/>
              <w:jc w:val="left"/>
              <w:rPr/>
            </w:pPr>
            <w:r>
              <w:rPr/>
              <w:t>​</w:t>
            </w:r>
          </w:p>
        </w:tc>
        <w:tc>
          <w:tcPr>
            <w:tcW w:w="27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9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w:t>
            </w:r>
          </w:p>
        </w:tc>
        <w:tc>
          <w:tcPr>
            <w:tcW w:w="226" w:type="dxa"/>
            <w:tcBorders/>
            <w:vAlign w:val="center"/>
          </w:tcPr>
          <w:p>
            <w:pPr>
              <w:pStyle w:val="TableContents"/>
              <w:bidi w:val="0"/>
              <w:spacing w:before="0" w:after="0"/>
              <w:ind w:left="0" w:right="0" w:hanging="0"/>
              <w:jc w:val="left"/>
              <w:rPr/>
            </w:pPr>
            <w:r>
              <w:rPr/>
              <w:t>​</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82,156</w:t>
            </w:r>
          </w:p>
        </w:tc>
        <w:tc>
          <w:tcPr>
            <w:tcW w:w="226" w:type="dxa"/>
            <w:tcBorders/>
            <w:vAlign w:val="center"/>
          </w:tcPr>
          <w:p>
            <w:pPr>
              <w:pStyle w:val="TableContents"/>
              <w:bidi w:val="0"/>
              <w:spacing w:before="0" w:after="0"/>
              <w:ind w:left="0" w:right="0" w:hanging="0"/>
              <w:jc w:val="right"/>
              <w:rPr/>
            </w:pPr>
            <w:r>
              <w:rPr/>
              <w:t>​</w:t>
            </w:r>
          </w:p>
        </w:tc>
        <w:tc>
          <w:tcPr>
            <w:tcW w:w="27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9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w:t>
            </w:r>
          </w:p>
        </w:tc>
        <w:tc>
          <w:tcPr>
            <w:tcW w:w="109" w:type="dxa"/>
            <w:tcBorders/>
            <w:vAlign w:val="center"/>
          </w:tcPr>
          <w:p>
            <w:pPr>
              <w:pStyle w:val="TableContents"/>
              <w:bidi w:val="0"/>
              <w:spacing w:before="0" w:after="0"/>
              <w:ind w:left="0" w:right="0" w:hanging="0"/>
              <w:jc w:val="right"/>
              <w:rPr/>
            </w:pPr>
            <w:r>
              <w:rPr/>
              <w:t>​</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3,888</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(56,696)</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347,768</w:t>
            </w:r>
          </w:p>
        </w:tc>
        <w:tc>
          <w:tcPr>
            <w:tcW w:w="226" w:type="dxa"/>
            <w:tcBorders/>
            <w:vAlign w:val="center"/>
          </w:tcPr>
          <w:p>
            <w:pPr>
              <w:pStyle w:val="TableContents"/>
              <w:bidi w:val="0"/>
              <w:spacing w:before="0" w:after="0"/>
              <w:ind w:left="0" w:right="0" w:hanging="0"/>
              <w:jc w:val="right"/>
              <w:rPr/>
            </w:pPr>
            <w:r>
              <w:rPr/>
              <w:t>​</w:t>
            </w:r>
          </w:p>
        </w:tc>
        <w:tc>
          <w:tcPr>
            <w:tcW w:w="24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(39,571)</w:t>
            </w:r>
          </w:p>
        </w:tc>
        <w:tc>
          <w:tcPr>
            <w:tcW w:w="226" w:type="dxa"/>
            <w:tcBorders/>
            <w:vAlign w:val="center"/>
          </w:tcPr>
          <w:p>
            <w:pPr>
              <w:pStyle w:val="TableContents"/>
              <w:bidi w:val="0"/>
              <w:spacing w:before="0" w:after="0"/>
              <w:ind w:left="0" w:right="0" w:hanging="0"/>
              <w:jc w:val="left"/>
              <w:rPr/>
            </w:pPr>
            <w:r>
              <w:rPr/>
              <w:t>​</w:t>
            </w:r>
          </w:p>
        </w:tc>
        <w:tc>
          <w:tcPr>
            <w:tcW w:w="28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(10,555)</w:t>
            </w:r>
          </w:p>
        </w:tc>
        <w:tc>
          <w:tcPr>
            <w:tcW w:w="226" w:type="dxa"/>
            <w:tcBorders/>
            <w:vAlign w:val="center"/>
          </w:tcPr>
          <w:p>
            <w:pPr>
              <w:pStyle w:val="TableContents"/>
              <w:bidi w:val="0"/>
              <w:spacing w:before="0" w:after="0"/>
              <w:ind w:left="0" w:right="0" w:hanging="0"/>
              <w:jc w:val="left"/>
              <w:rPr/>
            </w:pPr>
            <w:r>
              <w:rPr/>
              <w:t>​</w:t>
            </w:r>
          </w:p>
        </w:tc>
        <w:tc>
          <w:tcPr>
            <w:tcW w:w="22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241,107</w:t>
            </w:r>
          </w:p>
        </w:tc>
      </w:tr>
      <w:tr>
        <w:trPr/>
        <w:tc>
          <w:tcPr>
            <w:tcW w:w="108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276"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276"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240"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28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227" w:type="dxa"/>
            <w:tcBorders/>
            <w:vAlign w:val="center"/>
          </w:tcPr>
          <w:p>
            <w:pPr>
              <w:pStyle w:val="TableContents"/>
              <w:bidi w:val="0"/>
              <w:spacing w:before="0" w:after="0"/>
              <w:ind w:left="0" w:right="0" w:hanging="0"/>
              <w:jc w:val="left"/>
              <w:rPr/>
            </w:pPr>
            <w:r>
              <w:rPr/>
              <w:t>​</w:t>
            </w:r>
          </w:p>
        </w:tc>
        <w:tc>
          <w:tcPr>
            <w:tcW w:w="854" w:type="dxa"/>
            <w:tcBorders/>
            <w:vAlign w:val="center"/>
          </w:tcPr>
          <w:p>
            <w:pPr>
              <w:pStyle w:val="TableContents"/>
              <w:bidi w:val="0"/>
              <w:spacing w:before="0" w:after="0"/>
              <w:ind w:left="0" w:right="0" w:hanging="0"/>
              <w:jc w:val="center"/>
              <w:rPr/>
            </w:pPr>
            <w:r>
              <w:rPr/>
              <w:t>​</w:t>
            </w:r>
          </w:p>
        </w:tc>
      </w:tr>
      <w:tr>
        <w:trPr/>
        <w:tc>
          <w:tcPr>
            <w:tcW w:w="108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276"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276"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240"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28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227" w:type="dxa"/>
            <w:tcBorders/>
            <w:vAlign w:val="center"/>
          </w:tcPr>
          <w:p>
            <w:pPr>
              <w:pStyle w:val="TableContents"/>
              <w:bidi w:val="0"/>
              <w:spacing w:before="0" w:after="0"/>
              <w:ind w:left="0" w:right="0" w:hanging="0"/>
              <w:jc w:val="left"/>
              <w:rPr/>
            </w:pPr>
            <w:r>
              <w:rPr/>
              <w:t>​</w:t>
            </w:r>
          </w:p>
        </w:tc>
        <w:tc>
          <w:tcPr>
            <w:tcW w:w="854" w:type="dxa"/>
            <w:tcBorders/>
            <w:vAlign w:val="center"/>
          </w:tcPr>
          <w:p>
            <w:pPr>
              <w:pStyle w:val="TableContents"/>
              <w:bidi w:val="0"/>
              <w:spacing w:before="0" w:after="0"/>
              <w:ind w:left="0" w:right="0" w:hanging="0"/>
              <w:jc w:val="center"/>
              <w:rPr/>
            </w:pPr>
            <w:r>
              <w:rPr/>
              <w:t>​</w:t>
            </w:r>
          </w:p>
        </w:tc>
      </w:tr>
      <w:tr>
        <w:trPr/>
        <w:tc>
          <w:tcPr>
            <w:tcW w:w="108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276"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276"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240"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28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227" w:type="dxa"/>
            <w:tcBorders/>
            <w:vAlign w:val="center"/>
          </w:tcPr>
          <w:p>
            <w:pPr>
              <w:pStyle w:val="TableContents"/>
              <w:bidi w:val="0"/>
              <w:spacing w:before="0" w:after="0"/>
              <w:ind w:left="0" w:right="0" w:hanging="0"/>
              <w:jc w:val="left"/>
              <w:rPr/>
            </w:pPr>
            <w:r>
              <w:rPr/>
              <w:t>​</w:t>
            </w:r>
          </w:p>
        </w:tc>
        <w:tc>
          <w:tcPr>
            <w:tcW w:w="854" w:type="dxa"/>
            <w:tcBorders/>
            <w:vAlign w:val="center"/>
          </w:tcPr>
          <w:p>
            <w:pPr>
              <w:pStyle w:val="TableContents"/>
              <w:bidi w:val="0"/>
              <w:spacing w:before="0" w:after="0"/>
              <w:ind w:left="0" w:right="0" w:hanging="0"/>
              <w:jc w:val="center"/>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432" w:after="283"/>
        <w:jc w:val="left"/>
        <w:rPr>
          <w:sz w:val="4"/>
          <w:szCs w:val="4"/>
        </w:rPr>
      </w:pPr>
      <w:r>
        <w:rPr>
          <w:sz w:val="4"/>
          <w:szCs w:val="4"/>
        </w:rPr>
      </w:r>
      <w:bookmarkStart w:id="699" w:name="_e918be02_2eb7_4fcb_8d2d_989f48c474a4"/>
      <w:bookmarkStart w:id="700" w:name="_2af6526c_89c0_46aa_ba5a_3e817269049f"/>
      <w:bookmarkStart w:id="701" w:name="_6a441884_79a1_4980_b596_1cecc1b1e10b"/>
      <w:bookmarkStart w:id="702" w:name="_59881cb0_832f_4c7d_9980_6c44e7d2f14d"/>
      <w:bookmarkStart w:id="703" w:name="_34c00c6f_061f_410e_8a3f_107b36c0f478"/>
      <w:bookmarkStart w:id="704" w:name="_a6d5e739_0da6_4d36_a3bb_88816631d09e"/>
      <w:bookmarkStart w:id="705" w:name="_e918be02_2eb7_4fcb_8d2d_989f48c474a4"/>
      <w:bookmarkStart w:id="706" w:name="_2af6526c_89c0_46aa_ba5a_3e817269049f"/>
      <w:bookmarkStart w:id="707" w:name="_6a441884_79a1_4980_b596_1cecc1b1e10b"/>
      <w:bookmarkStart w:id="708" w:name="_59881cb0_832f_4c7d_9980_6c44e7d2f14d"/>
      <w:bookmarkStart w:id="709" w:name="_34c00c6f_061f_410e_8a3f_107b36c0f478"/>
      <w:bookmarkStart w:id="710" w:name="_a6d5e739_0da6_4d36_a3bb_88816631d09e"/>
      <w:bookmarkEnd w:id="705"/>
      <w:bookmarkEnd w:id="706"/>
      <w:bookmarkEnd w:id="707"/>
      <w:bookmarkEnd w:id="708"/>
      <w:bookmarkEnd w:id="709"/>
      <w:bookmarkEnd w:id="710"/>
    </w:p>
    <w:tbl>
      <w:tblPr>
        <w:tblW w:w="7141" w:type="dxa"/>
        <w:jc w:val="left"/>
        <w:tblInd w:w="0" w:type="dxa"/>
        <w:tblLayout w:type="fixed"/>
        <w:tblCellMar>
          <w:top w:w="0" w:type="dxa"/>
          <w:left w:w="0" w:type="dxa"/>
          <w:bottom w:w="0" w:type="dxa"/>
          <w:right w:w="0" w:type="dxa"/>
        </w:tblCellMar>
      </w:tblPr>
      <w:tblGrid>
        <w:gridCol w:w="7141"/>
      </w:tblGrid>
      <w:tr>
        <w:trPr/>
        <w:tc>
          <w:tcPr>
            <w:tcW w:w="7141" w:type="dxa"/>
            <w:tcBorders/>
            <w:vAlign w:val="center"/>
          </w:tcPr>
          <w:p>
            <w:pPr>
              <w:pStyle w:val="TableContents"/>
              <w:bidi w:val="0"/>
              <w:spacing w:before="0" w:after="0"/>
              <w:ind w:left="0" w:right="0" w:hanging="0"/>
              <w:jc w:val="left"/>
              <w:rPr/>
            </w:pPr>
            <w:r>
              <w:rPr/>
              <w:t>​</w:t>
            </w:r>
          </w:p>
        </w:tc>
      </w:tr>
      <w:tr>
        <w:trPr/>
        <w:tc>
          <w:tcPr>
            <w:tcW w:w="71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71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Condensed Consolidated Statements of Changes in Stockholders’ Equity </w:t>
            </w:r>
          </w:p>
        </w:tc>
      </w:tr>
      <w:tr>
        <w:trPr/>
        <w:tc>
          <w:tcPr>
            <w:tcW w:w="71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 the three and six months ended June 30, 2026 and 2025 (unaudited) (continued)</w:t>
            </w:r>
          </w:p>
        </w:tc>
      </w:tr>
      <w:tr>
        <w:trPr/>
        <w:tc>
          <w:tcPr>
            <w:tcW w:w="71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(Amounts in thousands)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711" w:name="Tc_GXqd4pUOA0-eRqQw8vG6wQ_51_26"/>
      <w:bookmarkStart w:id="712" w:name="Tc_HaHeK3mqR0GFAn97etjFtw_51_23"/>
      <w:bookmarkStart w:id="713" w:name="Tc_Yb24k4anCEKA6-sDQwuV_g_51_20"/>
      <w:bookmarkStart w:id="714" w:name="Tc_h2a8XTrsMU2cB8R7opSg6g_51_17"/>
      <w:bookmarkStart w:id="715" w:name="Tc_H-Okr6YGMESfCznPdhPTIg_51_15"/>
      <w:bookmarkStart w:id="716" w:name="Tc_1kJUWzCRjkqP0khqkILDVw_51_14"/>
      <w:bookmarkStart w:id="717" w:name="Tc_SO5-2OvSgkWE6FAZkb67Ng_51_12"/>
      <w:bookmarkStart w:id="718" w:name="Tc_Gd3OtToZaU6ioRQ-w1iy_Q_51_9"/>
      <w:bookmarkStart w:id="719" w:name="Tc_D1sJzvr2w0O7BvDgEOiMcA_51_4"/>
      <w:bookmarkStart w:id="720" w:name="Tc_FVkdvJZGHEWOkrLNtGZHNw_51_0"/>
      <w:bookmarkStart w:id="721" w:name="Tc_vmLvgCT-oUyF99qhjxyBBw_50_24"/>
      <w:bookmarkStart w:id="722" w:name="Tc_SyWjwfSmk0iN_S7_8QiYQQ_50_18"/>
      <w:bookmarkStart w:id="723" w:name="Tc_8MhcrA7aUEqnC_Blh02bFw_50_15"/>
      <w:bookmarkStart w:id="724" w:name="Tc_d-rpRX7cnESlrjDRM-UB1Q_50_12"/>
      <w:bookmarkStart w:id="725" w:name="Tc_jemp3Z2R6kqNU9eZkqA3lg_50_10"/>
      <w:bookmarkStart w:id="726" w:name="Tc_bap_fjQlbEqVmIOQou2jrA_50_7"/>
      <w:bookmarkStart w:id="727" w:name="Tc_dgKrpsI9uUiLxVIPeoEKvQ_50_5"/>
      <w:bookmarkStart w:id="728" w:name="Tc_WB7lwdreU0aVs1YvI3RybA_50_2"/>
      <w:bookmarkStart w:id="729" w:name="Tc_o-BLJPJ-7k-dWctKKjr8KA_50_0"/>
      <w:bookmarkStart w:id="730" w:name="Tc_IO8SyM-pBUebbZDQuxO3uQ_49_21"/>
      <w:bookmarkStart w:id="731" w:name="Tc_AXqQ6ZWR7E-zEQ8IY51knw_49_18"/>
      <w:bookmarkStart w:id="732" w:name="Tc_n9DP1_RSq0mp_ByQcdB-Zw_49_15"/>
      <w:bookmarkStart w:id="733" w:name="Tc_4IfKb5vQAEyNMS7DdqPExA_49_12"/>
      <w:bookmarkStart w:id="734" w:name="Tc_AvRIGSTMlkiRf_PMAGKE9Q_49_10"/>
      <w:bookmarkStart w:id="735" w:name="Tc_1kAM9fgGPESPp8Eomcl7tA_49_7"/>
      <w:bookmarkStart w:id="736" w:name="Tc_3iN5F3VvZUOauqWIzgHjtA_49_5"/>
      <w:bookmarkStart w:id="737" w:name="Tc_7SSqbTt-QEWcSwg9KjFf8Q_49_2"/>
      <w:bookmarkStart w:id="738" w:name="Tc_uQZx5-XyuEqk9vqUJC_8kA_49_0"/>
      <w:bookmarkStart w:id="739" w:name="Tc_E-glgMillUSLdTCkv7YL7A_48_24"/>
      <w:bookmarkStart w:id="740" w:name="Tc_dj4oB-7KPEWFlKrLgaFdkg_48_21"/>
      <w:bookmarkStart w:id="741" w:name="Tc_1oyjfY4bVEGXWF6ZtG5wHw_48_15"/>
      <w:bookmarkStart w:id="742" w:name="Tc__IP7wo7kEkONBImQKDyVbA_48_12"/>
      <w:bookmarkStart w:id="743" w:name="Tc_ngwFj4VJ3EOFvjAtRUYTjg_48_10"/>
      <w:bookmarkStart w:id="744" w:name="Tc_RtFFY0mk-Um5Z5BEMhyUEw_48_7"/>
      <w:bookmarkStart w:id="745" w:name="Tc_b6Aih9ucPUareEYwVLs-JA_48_5"/>
      <w:bookmarkStart w:id="746" w:name="Tc_RbP93DCkxEuiDYV22-UxiQ_48_2"/>
      <w:bookmarkStart w:id="747" w:name="Tc_QUc9nqYKMkOrOTV_mjdI_A_48_0"/>
      <w:bookmarkStart w:id="748" w:name="Tc_pRDwgl5d8UiV4qghAjoQpQ_47_27"/>
      <w:bookmarkStart w:id="749" w:name="Tc_DfC4_5BKmECxB-K16JA9Fg_47_24"/>
      <w:bookmarkStart w:id="750" w:name="Tc_UWsRG_iUk0GQm6CADdEXvw_47_21"/>
      <w:bookmarkStart w:id="751" w:name="Tc_qGGEmoJeBkWGcbEAd24Z4w_47_18"/>
      <w:bookmarkStart w:id="752" w:name="Tc_1mf6in-jvEONHVWhZxQlAg_47_15"/>
      <w:bookmarkStart w:id="753" w:name="Tc_MMFAhvSV40yahaZ9Y6ZchA_47_12"/>
      <w:bookmarkStart w:id="754" w:name="Tc_7m46q1ENLkyDWteaVxtQsg_47_0"/>
      <w:bookmarkStart w:id="755" w:name="Tc_6ngSPINXHEWzVxWCj4BHmQ_46_24"/>
      <w:bookmarkStart w:id="756" w:name="Tc_JtF3GqGbmUCekh7j-IWdTA_46_21"/>
      <w:bookmarkStart w:id="757" w:name="Tc_3W3KtWojMEu3ioYWi_VbYA_46_15"/>
      <w:bookmarkStart w:id="758" w:name="Tc_3lgnIH3jb0asoS3B-3CjyA_46_12"/>
      <w:bookmarkStart w:id="759" w:name="Tc_YZsJSMWOSUeCtiRvZxZFJw_46_10"/>
      <w:bookmarkStart w:id="760" w:name="Tc_64uZPv-cTUif37cvCBUAnA_46_7"/>
      <w:bookmarkStart w:id="761" w:name="Tc_PYCyfD4EYUCId4gljfvHVg_46_5"/>
      <w:bookmarkStart w:id="762" w:name="Tc_NZO2VnaPMUu8T5hkedlzqg_46_0"/>
      <w:bookmarkStart w:id="763" w:name="Tc_yTpwLtHUvESmKzoJwlQ5wA_45_24"/>
      <w:bookmarkStart w:id="764" w:name="Tc_GdauVwetmUGjHefI1yjExA_45_21"/>
      <w:bookmarkStart w:id="765" w:name="Tc_oPqll-kCfUCvMJmSriWQMg_45_15"/>
      <w:bookmarkStart w:id="766" w:name="Tc_ITIxt0bYE0GDc_Hcgd-OUQ_45_12"/>
      <w:bookmarkStart w:id="767" w:name="Tc_IwGCJGJLsEaGiU1FPdTzxA_45_10"/>
      <w:bookmarkStart w:id="768" w:name="Tc___EIo31YRki94z9DdstjNg_45_7"/>
      <w:bookmarkStart w:id="769" w:name="Tc_Gsjg35pFmkS3AblWmmJ5pg_45_5"/>
      <w:bookmarkStart w:id="770" w:name="Tc_ggq9OEgWMka_RTFZO0BRPg_45_2"/>
      <w:bookmarkStart w:id="771" w:name="Tc_u8o58GeJI0SRK0HdPbhXUQ_45_0"/>
      <w:bookmarkStart w:id="772" w:name="Tc_Td9IrNSPLUG5PRptHo2d6A_44_27"/>
      <w:bookmarkStart w:id="773" w:name="Tc_GnJTrzL6QkujbYKtPfmXpA_44_24"/>
      <w:bookmarkStart w:id="774" w:name="Tc_m2qplqXiLUWgheAXb91StQ_44_21"/>
      <w:bookmarkStart w:id="775" w:name="Tc_PELccPamwEO6wMMYUjvJKA_44_18"/>
      <w:bookmarkStart w:id="776" w:name="Tc_RyH0USbxiUOKVteMjsTAsQ_44_15"/>
      <w:bookmarkStart w:id="777" w:name="Tc_dSTh7ixNeU-FckTZYtvzBA_44_12"/>
      <w:bookmarkStart w:id="778" w:name="Tc_24zdfY_XdUqE1is-qq5JfA_44_10"/>
      <w:bookmarkStart w:id="779" w:name="Tc_5w1XokDfw0OwbZ_TsJxX5w_44_7"/>
      <w:bookmarkStart w:id="780" w:name="Tc_l1ViH4_YIUuSYcd5MgVx4A_44_5"/>
      <w:bookmarkStart w:id="781" w:name="Tc_1foyP4mczU67CuJmYQ_8bg_44_0"/>
      <w:bookmarkStart w:id="782" w:name="Tc_sXB7A6BoFES1IejsF8Ub9w_43_24"/>
      <w:bookmarkStart w:id="783" w:name="Tc_WA6XwOLDAE2FWlaof7a4Hg_43_21"/>
      <w:bookmarkStart w:id="784" w:name="Tc_8pIGyY6B-0eAL5c4nhcJhg_43_15"/>
      <w:bookmarkStart w:id="785" w:name="Tc_nuaXMjrapk-Sro8ggMnBdA_43_12"/>
      <w:bookmarkStart w:id="786" w:name="Tc__nTzesafe0CipMB7Siyyyw_43_10"/>
      <w:bookmarkStart w:id="787" w:name="Tc_TqE2VEC83EmA5brKqXeF8Q_43_7"/>
      <w:bookmarkStart w:id="788" w:name="Tc_KZ8lmhonN0yB35dljtJJyg_43_5"/>
      <w:bookmarkStart w:id="789" w:name="Tc_NO1lHMkr0UedF8CblTw7gg_43_0"/>
      <w:bookmarkStart w:id="790" w:name="Tc_jpYxv6CovUWvvAZrTGoTSw_42_24"/>
      <w:bookmarkStart w:id="791" w:name="Tc_6OWj6pKW_UmeYFnfdG3Sqg_42_21"/>
      <w:bookmarkStart w:id="792" w:name="Tc_TY_31Jxdk0mKGg8U2lVTiQ_42_15"/>
      <w:bookmarkStart w:id="793" w:name="Tc_0QPXf0uUK0CeF3A4NVVUOg_42_12"/>
      <w:bookmarkStart w:id="794" w:name="Tc_c45ZXo3KDkS16pRWGdNwSg_42_10"/>
      <w:bookmarkStart w:id="795" w:name="Tc_gkwZGUIAEUGiHgIRS6PqwQ_42_7"/>
      <w:bookmarkStart w:id="796" w:name="Tc_rtwc-bR64USSviUGpBGuQw_42_0"/>
      <w:bookmarkStart w:id="797" w:name="Tc_gbOd-Rq2B0-9EH3AL4pVdw_41_26"/>
      <w:bookmarkStart w:id="798" w:name="Tc_iLddjromUUG2IySnLGU0UQ_41_23"/>
      <w:bookmarkStart w:id="799" w:name="Tc_bwTaNRMy202DYPRkhwQ4GQ_41_20"/>
      <w:bookmarkStart w:id="800" w:name="Tc_hLzza1j0Jk6vqOgjt95ZeQ_41_17"/>
      <w:bookmarkStart w:id="801" w:name="Tc_6BRwFxUG40S7CW4F0NpS6A_41_15"/>
      <w:bookmarkStart w:id="802" w:name="Tc_37mF8geAX0CN1geV9XCFzw_41_14"/>
      <w:bookmarkStart w:id="803" w:name="Tc_zEVJf-eZd0Cx6wvxlDNhzg_41_12"/>
      <w:bookmarkStart w:id="804" w:name="Tc_21-9Ej88i0-P0U5Kymtkxg_41_9"/>
      <w:bookmarkStart w:id="805" w:name="Tc_UEjMl8rPKkaYSMNG_l53-g_41_4"/>
      <w:bookmarkStart w:id="806" w:name="Tc_654UdR1X_0O2ZpFbstJPIA_41_0"/>
      <w:bookmarkStart w:id="807" w:name="Tc_wGdouaUrhka8Dae_YaKEsQ_40_24"/>
      <w:bookmarkStart w:id="808" w:name="Tc_GRP1kxNw9ES8gB29uZV-kQ_40_18"/>
      <w:bookmarkStart w:id="809" w:name="Tc_S9PRwZZyT0KMwz4rOtNRZQ_40_15"/>
      <w:bookmarkStart w:id="810" w:name="Tc_XRDNmcN4TUWMic6LoScjMg_40_12"/>
      <w:bookmarkStart w:id="811" w:name="Tc_mEWXgb4Pj0y0lJ6bs0gtCQ_40_10"/>
      <w:bookmarkStart w:id="812" w:name="Tc_nE-gDsimDEyjKDOxX2_RFg_40_7"/>
      <w:bookmarkStart w:id="813" w:name="Tc_3ggJ_usclEWqmbAnex2cHQ_40_5"/>
      <w:bookmarkStart w:id="814" w:name="Tc_FiovpBTCJkmXYrggK0Twvg_40_2"/>
      <w:bookmarkStart w:id="815" w:name="Tc_24Viu786cUarqPNazUYw8A_40_0"/>
      <w:bookmarkStart w:id="816" w:name="Tc_NKA-W2hpZUiFIkVDUwnp_A_39_21"/>
      <w:bookmarkStart w:id="817" w:name="Tc_qxyNJQyY30S4o77jaeeTwg_39_18"/>
      <w:bookmarkStart w:id="818" w:name="Tc_UItW6vCMo02p7QOqVGS9iw_39_15"/>
      <w:bookmarkStart w:id="819" w:name="Tc_GyutW2NfHEiy6XrhM4D0pw_39_12"/>
      <w:bookmarkStart w:id="820" w:name="Tc_pRBcJMo4Jkicxmprk_YAVg_39_10"/>
      <w:bookmarkStart w:id="821" w:name="Tc_-T0H-13Th0OkdjEEtzV7JQ_39_7"/>
      <w:bookmarkStart w:id="822" w:name="Tc_PmZQuNOsUkWXNQZ4hzMUzg_39_5"/>
      <w:bookmarkStart w:id="823" w:name="Tc_-Uz8MAkH_USP42NsNCPcUg_39_2"/>
      <w:bookmarkStart w:id="824" w:name="Tc_DwIY-UIGZEy3a2xcEh9MuQ_39_0"/>
      <w:bookmarkStart w:id="825" w:name="Tc_zPrdka7-3EegIJ-xKYUvhA_38_21"/>
      <w:bookmarkStart w:id="826" w:name="Tc_SYX03cbu8EyM_16FsmfsQg_38_18"/>
      <w:bookmarkStart w:id="827" w:name="Tc_H_x3KEdgUU2qMlpzA8OyoQ_38_15"/>
      <w:bookmarkStart w:id="828" w:name="Tc_MGrNINktSEWgxcQn3Qc3qg_38_12"/>
      <w:bookmarkStart w:id="829" w:name="Tc_JFG7n94Eqku0rWaMUb-hYA_38_10"/>
      <w:bookmarkStart w:id="830" w:name="Tc_11kBw16KK0CrcVWuu96y0A_38_7"/>
      <w:bookmarkStart w:id="831" w:name="Tc_f6ASLoqBDkeNaU1SMdFV7A_38_5"/>
      <w:bookmarkStart w:id="832" w:name="Tc_vV8jKPaHyECfK1F5bP2AkQ_38_2"/>
      <w:bookmarkStart w:id="833" w:name="Tc_4hlkFDHSQkODms8k3m6r6A_38_0"/>
      <w:bookmarkStart w:id="834" w:name="Tc_sTOXBMdRu0OpBy3L2J3I6g_37_24"/>
      <w:bookmarkStart w:id="835" w:name="Tc_Mio_71K3_UWwE-sAg9Dh-w_37_21"/>
      <w:bookmarkStart w:id="836" w:name="Tc_vc6b1Lznek2Ss_iMfyNcOA_37_15"/>
      <w:bookmarkStart w:id="837" w:name="Tc_Mwd6I0zwN0m-Qneg9R3WBQ_37_12"/>
      <w:bookmarkStart w:id="838" w:name="Tc_tcKQS1ob5k6jh0aG1b0k8Q_37_10"/>
      <w:bookmarkStart w:id="839" w:name="Tc_URFV5TWzgEeHNTlCN0_xSA_37_7"/>
      <w:bookmarkStart w:id="840" w:name="Tc_5mlrLLOLlESMcFwZf0W_8g_37_5"/>
      <w:bookmarkStart w:id="841" w:name="Tc_4480y0EPT02sBnqNL_dHvg_37_2"/>
      <w:bookmarkStart w:id="842" w:name="Tc_MCxtG8RCLEOsmojnxjkuSw_37_0"/>
      <w:bookmarkStart w:id="843" w:name="Tc_O0ZmXu0qAE2ACay25vgThQ_36_24"/>
      <w:bookmarkStart w:id="844" w:name="Tc_ng-tGdfPVEyF99i2H1ehcQ_36_21"/>
      <w:bookmarkStart w:id="845" w:name="Tc_iXdUj6v2FkCeUTZMFhYQNQ_36_15"/>
      <w:bookmarkStart w:id="846" w:name="Tc_yrSmacQ_20qMoM2KKBxS4A_36_12"/>
      <w:bookmarkStart w:id="847" w:name="Tc_Ju2puwBEmUCayeVUm26-0A_36_10"/>
      <w:bookmarkStart w:id="848" w:name="Tc_QBwKsdaFXUOB1k2NMuOlPw_36_7"/>
      <w:bookmarkStart w:id="849" w:name="Tc_-W9CG-XzYkefrJVj_CKUjw_36_5"/>
      <w:bookmarkStart w:id="850" w:name="Tc_B--0C6rZxUqNM3ncsOLvwA_36_2"/>
      <w:bookmarkStart w:id="851" w:name="Tc_ZdeeF2EE6Um-fb8mEr1DsQ_36_0"/>
      <w:bookmarkStart w:id="852" w:name="Tc_DYCe_hsikkuBesfDFd1WvA_35_24"/>
      <w:bookmarkStart w:id="853" w:name="Tc_ZbsbmCRR30OxofFvO_oYVg_35_21"/>
      <w:bookmarkStart w:id="854" w:name="Tc_PeYu0Y8kxEWdjJYrRi950A_35_15"/>
      <w:bookmarkStart w:id="855" w:name="Tc_xL7MqZ82O0OwkQVCrbv9JA_35_12"/>
      <w:bookmarkStart w:id="856" w:name="Tc_fBDwj1tjHkK6Zre3dokoIg_35_10"/>
      <w:bookmarkStart w:id="857" w:name="Tc_a6QMWdR5S0akJX1bbijxaQ_35_7"/>
      <w:bookmarkStart w:id="858" w:name="Tc_MlfYU_Pju0-llZJmGDV36g_35_0"/>
      <w:bookmarkStart w:id="859" w:name="Tc_-YJmNThZNk-JBcxjbwVJrg_34_24"/>
      <w:bookmarkStart w:id="860" w:name="Tc_s76f00pJCkS_L2gHukxBqA_34_21"/>
      <w:bookmarkStart w:id="861" w:name="Tc_abmYlKuQb0e88atoQDFTxA_34_15"/>
      <w:bookmarkStart w:id="862" w:name="Tc_jlKmpVsCE0uUIjP51n3WQg_34_12"/>
      <w:bookmarkStart w:id="863" w:name="Tc_u-w_fTjdoUSV74HyXuRQhw_34_10"/>
      <w:bookmarkStart w:id="864" w:name="Tc_HUON6ygzb0CT-29FLL9kaA_34_7"/>
      <w:bookmarkStart w:id="865" w:name="Tc_rk30W0Zby0eBW87zfPAJ5g_34_5"/>
      <w:bookmarkStart w:id="866" w:name="Tc_GnWvXLL21Uuoa35wxh9X-A_34_0"/>
      <w:bookmarkStart w:id="867" w:name="Tc_zhwcR_5gaU-8l8nhwyeTuw_33_26"/>
      <w:bookmarkStart w:id="868" w:name="Tc_25oMe5lLSUO7bgngFKpBSQ_33_23"/>
      <w:bookmarkStart w:id="869" w:name="Tc_6j2JFBfYQUW1gkXr-ZsR2A_33_20"/>
      <w:bookmarkStart w:id="870" w:name="Tc_mf3J2TgR902cbHd03oXKnw_33_17"/>
      <w:bookmarkStart w:id="871" w:name="Tc_b3dGOALQ4U2XVhH4g3RTYw_33_15"/>
      <w:bookmarkStart w:id="872" w:name="Tc_PC-jeQPlcEeVeBEf6jXwyQ_33_14"/>
      <w:bookmarkStart w:id="873" w:name="Tc_IXbZTG3uE0GUQbxf2d484w_33_12"/>
      <w:bookmarkStart w:id="874" w:name="Tc_OyAPl16KQ0WRc7seENXxLg_33_9"/>
      <w:bookmarkStart w:id="875" w:name="Tc_300znkDTMkurene6oREmIA_33_4"/>
      <w:bookmarkStart w:id="876" w:name="Tc_WesJNWeBYUap1sBF38kZ_w_33_0"/>
      <w:bookmarkStart w:id="877" w:name="Tc_ZOM9q7B47UuBgZMTt5JQSA_32_26"/>
      <w:bookmarkStart w:id="878" w:name="Tc_JZk3UkGqyUSYpwAIoKc1Sw_32_23"/>
      <w:bookmarkStart w:id="879" w:name="Tc_hzRDvS5q5UG4ixZ0ccQ9qA_32_20"/>
      <w:bookmarkStart w:id="880" w:name="Tc_sEr7SJjhY02TqA3oMGdl5w_32_17"/>
      <w:bookmarkStart w:id="881" w:name="Tc_Ez3C080GAkmyHUTSEKW8YA_32_15"/>
      <w:bookmarkStart w:id="882" w:name="Tc_Tl3NTB4bhEaeNxW02Q5d9g_32_12"/>
      <w:bookmarkStart w:id="883" w:name="Tc_JgdliH9Fw0azz6th_qUS4g_32_9"/>
      <w:bookmarkStart w:id="884" w:name="Tc_vGX4l0YZak-PluPIYkrY9A_32_7"/>
      <w:bookmarkStart w:id="885" w:name="Tc_81iNjfh9c0ycUHzf_aTWcQ_32_4"/>
      <w:bookmarkStart w:id="886" w:name="Tc_p6e8dKXCEUObzQfADYvlNQ_32_2"/>
      <w:bookmarkStart w:id="887" w:name="Tc_Wp9F2tr6X0y102f5V3DAAg_31_26"/>
      <w:bookmarkStart w:id="888" w:name="Tc_A7rO9tuYikaewVY0J9mK3A_31_23"/>
      <w:bookmarkStart w:id="889" w:name="Tc_LmlEUrH-f0SFwkbHvJ8Dyg_31_20"/>
      <w:bookmarkStart w:id="890" w:name="Tc_eP8lZ2Ve0Eelo3EmYPHINw_31_17"/>
      <w:bookmarkStart w:id="891" w:name="Tc_vhwITiRmGUulNJGlcJLbRw_31_15"/>
      <w:bookmarkStart w:id="892" w:name="Tc_glGTH2BtikOx1AwjLRTcQw_31_12"/>
      <w:bookmarkStart w:id="893" w:name="Tc_6CRCuVd7o02IGDBwQbqf6w_31_9"/>
      <w:bookmarkStart w:id="894" w:name="Tc_zwJY-NafckabtJayYTUsXg_31_7"/>
      <w:bookmarkStart w:id="895" w:name="Tc_9Tz-c0bpr0GQRUpIidgcbQ_31_4"/>
      <w:bookmarkStart w:id="896" w:name="Tc_CUuz2j78eU6VcC78LCiLIQ_31_2"/>
      <w:bookmarkStart w:id="897" w:name="Tc_SK3fAjOr6kGT2DhUZdt6FA_30_26"/>
      <w:bookmarkStart w:id="898" w:name="Tc_yHtPNucWwkuqIe0hHg5s1g_30_23"/>
      <w:bookmarkStart w:id="899" w:name="Tc_NTxcJ2UeVEiAh2VpYyGZxg_30_17"/>
      <w:bookmarkStart w:id="900" w:name="Tc_UCcLJZea7EOpqYB3iNPMww_30_9"/>
      <w:bookmarkStart w:id="901" w:name="Tc_4FHqXeUVdEWQFqLT0IdoYQ_30_7"/>
      <w:bookmarkStart w:id="902" w:name="Tc_eLZGeJLAeUioTh4lnD_MMg_30_4"/>
      <w:bookmarkStart w:id="903" w:name="Tc_QZx5gHUoFk21dg58cDqpkQ_30_2"/>
      <w:bookmarkStart w:id="904" w:name="Tc_-4LlD5bQtE6zY3yQU8b_ug_29_23"/>
      <w:bookmarkStart w:id="905" w:name="Tc_FuOE8eR9E0-z0s3Mc71jFA_29_12"/>
      <w:bookmarkStart w:id="906" w:name="Tc_cWNoBwmXbU-6ylPBs-SvdA_29_2"/>
      <w:bookmarkStart w:id="907" w:name="Tc_GXqd4pUOA0-eRqQw8vG6wQ_51_26"/>
      <w:bookmarkStart w:id="908" w:name="Tc_HaHeK3mqR0GFAn97etjFtw_51_23"/>
      <w:bookmarkStart w:id="909" w:name="Tc_Yb24k4anCEKA6-sDQwuV_g_51_20"/>
      <w:bookmarkStart w:id="910" w:name="Tc_h2a8XTrsMU2cB8R7opSg6g_51_17"/>
      <w:bookmarkStart w:id="911" w:name="Tc_H-Okr6YGMESfCznPdhPTIg_51_15"/>
      <w:bookmarkStart w:id="912" w:name="Tc_1kJUWzCRjkqP0khqkILDVw_51_14"/>
      <w:bookmarkStart w:id="913" w:name="Tc_SO5-2OvSgkWE6FAZkb67Ng_51_12"/>
      <w:bookmarkStart w:id="914" w:name="Tc_Gd3OtToZaU6ioRQ-w1iy_Q_51_9"/>
      <w:bookmarkStart w:id="915" w:name="Tc_D1sJzvr2w0O7BvDgEOiMcA_51_4"/>
      <w:bookmarkStart w:id="916" w:name="Tc_FVkdvJZGHEWOkrLNtGZHNw_51_0"/>
      <w:bookmarkStart w:id="917" w:name="Tc_vmLvgCT-oUyF99qhjxyBBw_50_24"/>
      <w:bookmarkStart w:id="918" w:name="Tc_SyWjwfSmk0iN_S7_8QiYQQ_50_18"/>
      <w:bookmarkStart w:id="919" w:name="Tc_8MhcrA7aUEqnC_Blh02bFw_50_15"/>
      <w:bookmarkStart w:id="920" w:name="Tc_d-rpRX7cnESlrjDRM-UB1Q_50_12"/>
      <w:bookmarkStart w:id="921" w:name="Tc_jemp3Z2R6kqNU9eZkqA3lg_50_10"/>
      <w:bookmarkStart w:id="922" w:name="Tc_bap_fjQlbEqVmIOQou2jrA_50_7"/>
      <w:bookmarkStart w:id="923" w:name="Tc_dgKrpsI9uUiLxVIPeoEKvQ_50_5"/>
      <w:bookmarkStart w:id="924" w:name="Tc_WB7lwdreU0aVs1YvI3RybA_50_2"/>
      <w:bookmarkStart w:id="925" w:name="Tc_o-BLJPJ-7k-dWctKKjr8KA_50_0"/>
      <w:bookmarkStart w:id="926" w:name="Tc_IO8SyM-pBUebbZDQuxO3uQ_49_21"/>
      <w:bookmarkStart w:id="927" w:name="Tc_AXqQ6ZWR7E-zEQ8IY51knw_49_18"/>
      <w:bookmarkStart w:id="928" w:name="Tc_n9DP1_RSq0mp_ByQcdB-Zw_49_15"/>
      <w:bookmarkStart w:id="929" w:name="Tc_4IfKb5vQAEyNMS7DdqPExA_49_12"/>
      <w:bookmarkStart w:id="930" w:name="Tc_AvRIGSTMlkiRf_PMAGKE9Q_49_10"/>
      <w:bookmarkStart w:id="931" w:name="Tc_1kAM9fgGPESPp8Eomcl7tA_49_7"/>
      <w:bookmarkStart w:id="932" w:name="Tc_3iN5F3VvZUOauqWIzgHjtA_49_5"/>
      <w:bookmarkStart w:id="933" w:name="Tc_7SSqbTt-QEWcSwg9KjFf8Q_49_2"/>
      <w:bookmarkStart w:id="934" w:name="Tc_uQZx5-XyuEqk9vqUJC_8kA_49_0"/>
      <w:bookmarkStart w:id="935" w:name="Tc_E-glgMillUSLdTCkv7YL7A_48_24"/>
      <w:bookmarkStart w:id="936" w:name="Tc_dj4oB-7KPEWFlKrLgaFdkg_48_21"/>
      <w:bookmarkStart w:id="937" w:name="Tc_1oyjfY4bVEGXWF6ZtG5wHw_48_15"/>
      <w:bookmarkStart w:id="938" w:name="Tc__IP7wo7kEkONBImQKDyVbA_48_12"/>
      <w:bookmarkStart w:id="939" w:name="Tc_ngwFj4VJ3EOFvjAtRUYTjg_48_10"/>
      <w:bookmarkStart w:id="940" w:name="Tc_RtFFY0mk-Um5Z5BEMhyUEw_48_7"/>
      <w:bookmarkStart w:id="941" w:name="Tc_b6Aih9ucPUareEYwVLs-JA_48_5"/>
      <w:bookmarkStart w:id="942" w:name="Tc_RbP93DCkxEuiDYV22-UxiQ_48_2"/>
      <w:bookmarkStart w:id="943" w:name="Tc_QUc9nqYKMkOrOTV_mjdI_A_48_0"/>
      <w:bookmarkStart w:id="944" w:name="Tc_pRDwgl5d8UiV4qghAjoQpQ_47_27"/>
      <w:bookmarkStart w:id="945" w:name="Tc_DfC4_5BKmECxB-K16JA9Fg_47_24"/>
      <w:bookmarkStart w:id="946" w:name="Tc_UWsRG_iUk0GQm6CADdEXvw_47_21"/>
      <w:bookmarkStart w:id="947" w:name="Tc_qGGEmoJeBkWGcbEAd24Z4w_47_18"/>
      <w:bookmarkStart w:id="948" w:name="Tc_1mf6in-jvEONHVWhZxQlAg_47_15"/>
      <w:bookmarkStart w:id="949" w:name="Tc_MMFAhvSV40yahaZ9Y6ZchA_47_12"/>
      <w:bookmarkStart w:id="950" w:name="Tc_7m46q1ENLkyDWteaVxtQsg_47_0"/>
      <w:bookmarkStart w:id="951" w:name="Tc_6ngSPINXHEWzVxWCj4BHmQ_46_24"/>
      <w:bookmarkStart w:id="952" w:name="Tc_JtF3GqGbmUCekh7j-IWdTA_46_21"/>
      <w:bookmarkStart w:id="953" w:name="Tc_3W3KtWojMEu3ioYWi_VbYA_46_15"/>
      <w:bookmarkStart w:id="954" w:name="Tc_3lgnIH3jb0asoS3B-3CjyA_46_12"/>
      <w:bookmarkStart w:id="955" w:name="Tc_YZsJSMWOSUeCtiRvZxZFJw_46_10"/>
      <w:bookmarkStart w:id="956" w:name="Tc_64uZPv-cTUif37cvCBUAnA_46_7"/>
      <w:bookmarkStart w:id="957" w:name="Tc_PYCyfD4EYUCId4gljfvHVg_46_5"/>
      <w:bookmarkStart w:id="958" w:name="Tc_NZO2VnaPMUu8T5hkedlzqg_46_0"/>
      <w:bookmarkStart w:id="959" w:name="Tc_yTpwLtHUvESmKzoJwlQ5wA_45_24"/>
      <w:bookmarkStart w:id="960" w:name="Tc_GdauVwetmUGjHefI1yjExA_45_21"/>
      <w:bookmarkStart w:id="961" w:name="Tc_oPqll-kCfUCvMJmSriWQMg_45_15"/>
      <w:bookmarkStart w:id="962" w:name="Tc_ITIxt0bYE0GDc_Hcgd-OUQ_45_12"/>
      <w:bookmarkStart w:id="963" w:name="Tc_IwGCJGJLsEaGiU1FPdTzxA_45_10"/>
      <w:bookmarkStart w:id="964" w:name="Tc___EIo31YRki94z9DdstjNg_45_7"/>
      <w:bookmarkStart w:id="965" w:name="Tc_Gsjg35pFmkS3AblWmmJ5pg_45_5"/>
      <w:bookmarkStart w:id="966" w:name="Tc_ggq9OEgWMka_RTFZO0BRPg_45_2"/>
      <w:bookmarkStart w:id="967" w:name="Tc_u8o58GeJI0SRK0HdPbhXUQ_45_0"/>
      <w:bookmarkStart w:id="968" w:name="Tc_Td9IrNSPLUG5PRptHo2d6A_44_27"/>
      <w:bookmarkStart w:id="969" w:name="Tc_GnJTrzL6QkujbYKtPfmXpA_44_24"/>
      <w:bookmarkStart w:id="970" w:name="Tc_m2qplqXiLUWgheAXb91StQ_44_21"/>
      <w:bookmarkStart w:id="971" w:name="Tc_PELccPamwEO6wMMYUjvJKA_44_18"/>
      <w:bookmarkStart w:id="972" w:name="Tc_RyH0USbxiUOKVteMjsTAsQ_44_15"/>
      <w:bookmarkStart w:id="973" w:name="Tc_dSTh7ixNeU-FckTZYtvzBA_44_12"/>
      <w:bookmarkStart w:id="974" w:name="Tc_24zdfY_XdUqE1is-qq5JfA_44_10"/>
      <w:bookmarkStart w:id="975" w:name="Tc_5w1XokDfw0OwbZ_TsJxX5w_44_7"/>
      <w:bookmarkStart w:id="976" w:name="Tc_l1ViH4_YIUuSYcd5MgVx4A_44_5"/>
      <w:bookmarkStart w:id="977" w:name="Tc_1foyP4mczU67CuJmYQ_8bg_44_0"/>
      <w:bookmarkStart w:id="978" w:name="Tc_sXB7A6BoFES1IejsF8Ub9w_43_24"/>
      <w:bookmarkStart w:id="979" w:name="Tc_WA6XwOLDAE2FWlaof7a4Hg_43_21"/>
      <w:bookmarkStart w:id="980" w:name="Tc_8pIGyY6B-0eAL5c4nhcJhg_43_15"/>
      <w:bookmarkStart w:id="981" w:name="Tc_nuaXMjrapk-Sro8ggMnBdA_43_12"/>
      <w:bookmarkStart w:id="982" w:name="Tc__nTzesafe0CipMB7Siyyyw_43_10"/>
      <w:bookmarkStart w:id="983" w:name="Tc_TqE2VEC83EmA5brKqXeF8Q_43_7"/>
      <w:bookmarkStart w:id="984" w:name="Tc_KZ8lmhonN0yB35dljtJJyg_43_5"/>
      <w:bookmarkStart w:id="985" w:name="Tc_NO1lHMkr0UedF8CblTw7gg_43_0"/>
      <w:bookmarkStart w:id="986" w:name="Tc_jpYxv6CovUWvvAZrTGoTSw_42_24"/>
      <w:bookmarkStart w:id="987" w:name="Tc_6OWj6pKW_UmeYFnfdG3Sqg_42_21"/>
      <w:bookmarkStart w:id="988" w:name="Tc_TY_31Jxdk0mKGg8U2lVTiQ_42_15"/>
      <w:bookmarkStart w:id="989" w:name="Tc_0QPXf0uUK0CeF3A4NVVUOg_42_12"/>
      <w:bookmarkStart w:id="990" w:name="Tc_c45ZXo3KDkS16pRWGdNwSg_42_10"/>
      <w:bookmarkStart w:id="991" w:name="Tc_gkwZGUIAEUGiHgIRS6PqwQ_42_7"/>
      <w:bookmarkStart w:id="992" w:name="Tc_rtwc-bR64USSviUGpBGuQw_42_0"/>
      <w:bookmarkStart w:id="993" w:name="Tc_gbOd-Rq2B0-9EH3AL4pVdw_41_26"/>
      <w:bookmarkStart w:id="994" w:name="Tc_iLddjromUUG2IySnLGU0UQ_41_23"/>
      <w:bookmarkStart w:id="995" w:name="Tc_bwTaNRMy202DYPRkhwQ4GQ_41_20"/>
      <w:bookmarkStart w:id="996" w:name="Tc_hLzza1j0Jk6vqOgjt95ZeQ_41_17"/>
      <w:bookmarkStart w:id="997" w:name="Tc_6BRwFxUG40S7CW4F0NpS6A_41_15"/>
      <w:bookmarkStart w:id="998" w:name="Tc_37mF8geAX0CN1geV9XCFzw_41_14"/>
      <w:bookmarkStart w:id="999" w:name="Tc_zEVJf-eZd0Cx6wvxlDNhzg_41_12"/>
      <w:bookmarkStart w:id="1000" w:name="Tc_21-9Ej88i0-P0U5Kymtkxg_41_9"/>
      <w:bookmarkStart w:id="1001" w:name="Tc_UEjMl8rPKkaYSMNG_l53-g_41_4"/>
      <w:bookmarkStart w:id="1002" w:name="Tc_654UdR1X_0O2ZpFbstJPIA_41_0"/>
      <w:bookmarkStart w:id="1003" w:name="Tc_wGdouaUrhka8Dae_YaKEsQ_40_24"/>
      <w:bookmarkStart w:id="1004" w:name="Tc_GRP1kxNw9ES8gB29uZV-kQ_40_18"/>
      <w:bookmarkStart w:id="1005" w:name="Tc_S9PRwZZyT0KMwz4rOtNRZQ_40_15"/>
      <w:bookmarkStart w:id="1006" w:name="Tc_XRDNmcN4TUWMic6LoScjMg_40_12"/>
      <w:bookmarkStart w:id="1007" w:name="Tc_mEWXgb4Pj0y0lJ6bs0gtCQ_40_10"/>
      <w:bookmarkStart w:id="1008" w:name="Tc_nE-gDsimDEyjKDOxX2_RFg_40_7"/>
      <w:bookmarkStart w:id="1009" w:name="Tc_3ggJ_usclEWqmbAnex2cHQ_40_5"/>
      <w:bookmarkStart w:id="1010" w:name="Tc_FiovpBTCJkmXYrggK0Twvg_40_2"/>
      <w:bookmarkStart w:id="1011" w:name="Tc_24Viu786cUarqPNazUYw8A_40_0"/>
      <w:bookmarkStart w:id="1012" w:name="Tc_NKA-W2hpZUiFIkVDUwnp_A_39_21"/>
      <w:bookmarkStart w:id="1013" w:name="Tc_qxyNJQyY30S4o77jaeeTwg_39_18"/>
      <w:bookmarkStart w:id="1014" w:name="Tc_UItW6vCMo02p7QOqVGS9iw_39_15"/>
      <w:bookmarkStart w:id="1015" w:name="Tc_GyutW2NfHEiy6XrhM4D0pw_39_12"/>
      <w:bookmarkStart w:id="1016" w:name="Tc_pRBcJMo4Jkicxmprk_YAVg_39_10"/>
      <w:bookmarkStart w:id="1017" w:name="Tc_-T0H-13Th0OkdjEEtzV7JQ_39_7"/>
      <w:bookmarkStart w:id="1018" w:name="Tc_PmZQuNOsUkWXNQZ4hzMUzg_39_5"/>
      <w:bookmarkStart w:id="1019" w:name="Tc_-Uz8MAkH_USP42NsNCPcUg_39_2"/>
      <w:bookmarkStart w:id="1020" w:name="Tc_DwIY-UIGZEy3a2xcEh9MuQ_39_0"/>
      <w:bookmarkStart w:id="1021" w:name="Tc_zPrdka7-3EegIJ-xKYUvhA_38_21"/>
      <w:bookmarkStart w:id="1022" w:name="Tc_SYX03cbu8EyM_16FsmfsQg_38_18"/>
      <w:bookmarkStart w:id="1023" w:name="Tc_H_x3KEdgUU2qMlpzA8OyoQ_38_15"/>
      <w:bookmarkStart w:id="1024" w:name="Tc_MGrNINktSEWgxcQn3Qc3qg_38_12"/>
      <w:bookmarkStart w:id="1025" w:name="Tc_JFG7n94Eqku0rWaMUb-hYA_38_10"/>
      <w:bookmarkStart w:id="1026" w:name="Tc_11kBw16KK0CrcVWuu96y0A_38_7"/>
      <w:bookmarkStart w:id="1027" w:name="Tc_f6ASLoqBDkeNaU1SMdFV7A_38_5"/>
      <w:bookmarkStart w:id="1028" w:name="Tc_vV8jKPaHyECfK1F5bP2AkQ_38_2"/>
      <w:bookmarkStart w:id="1029" w:name="Tc_4hlkFDHSQkODms8k3m6r6A_38_0"/>
      <w:bookmarkStart w:id="1030" w:name="Tc_sTOXBMdRu0OpBy3L2J3I6g_37_24"/>
      <w:bookmarkStart w:id="1031" w:name="Tc_Mio_71K3_UWwE-sAg9Dh-w_37_21"/>
      <w:bookmarkStart w:id="1032" w:name="Tc_vc6b1Lznek2Ss_iMfyNcOA_37_15"/>
      <w:bookmarkStart w:id="1033" w:name="Tc_Mwd6I0zwN0m-Qneg9R3WBQ_37_12"/>
      <w:bookmarkStart w:id="1034" w:name="Tc_tcKQS1ob5k6jh0aG1b0k8Q_37_10"/>
      <w:bookmarkStart w:id="1035" w:name="Tc_URFV5TWzgEeHNTlCN0_xSA_37_7"/>
      <w:bookmarkStart w:id="1036" w:name="Tc_5mlrLLOLlESMcFwZf0W_8g_37_5"/>
      <w:bookmarkStart w:id="1037" w:name="Tc_4480y0EPT02sBnqNL_dHvg_37_2"/>
      <w:bookmarkStart w:id="1038" w:name="Tc_MCxtG8RCLEOsmojnxjkuSw_37_0"/>
      <w:bookmarkStart w:id="1039" w:name="Tc_O0ZmXu0qAE2ACay25vgThQ_36_24"/>
      <w:bookmarkStart w:id="1040" w:name="Tc_ng-tGdfPVEyF99i2H1ehcQ_36_21"/>
      <w:bookmarkStart w:id="1041" w:name="Tc_iXdUj6v2FkCeUTZMFhYQNQ_36_15"/>
      <w:bookmarkStart w:id="1042" w:name="Tc_yrSmacQ_20qMoM2KKBxS4A_36_12"/>
      <w:bookmarkStart w:id="1043" w:name="Tc_Ju2puwBEmUCayeVUm26-0A_36_10"/>
      <w:bookmarkStart w:id="1044" w:name="Tc_QBwKsdaFXUOB1k2NMuOlPw_36_7"/>
      <w:bookmarkStart w:id="1045" w:name="Tc_-W9CG-XzYkefrJVj_CKUjw_36_5"/>
      <w:bookmarkStart w:id="1046" w:name="Tc_B--0C6rZxUqNM3ncsOLvwA_36_2"/>
      <w:bookmarkStart w:id="1047" w:name="Tc_ZdeeF2EE6Um-fb8mEr1DsQ_36_0"/>
      <w:bookmarkStart w:id="1048" w:name="Tc_DYCe_hsikkuBesfDFd1WvA_35_24"/>
      <w:bookmarkStart w:id="1049" w:name="Tc_ZbsbmCRR30OxofFvO_oYVg_35_21"/>
      <w:bookmarkStart w:id="1050" w:name="Tc_PeYu0Y8kxEWdjJYrRi950A_35_15"/>
      <w:bookmarkStart w:id="1051" w:name="Tc_xL7MqZ82O0OwkQVCrbv9JA_35_12"/>
      <w:bookmarkStart w:id="1052" w:name="Tc_fBDwj1tjHkK6Zre3dokoIg_35_10"/>
      <w:bookmarkStart w:id="1053" w:name="Tc_a6QMWdR5S0akJX1bbijxaQ_35_7"/>
      <w:bookmarkStart w:id="1054" w:name="Tc_MlfYU_Pju0-llZJmGDV36g_35_0"/>
      <w:bookmarkStart w:id="1055" w:name="Tc_-YJmNThZNk-JBcxjbwVJrg_34_24"/>
      <w:bookmarkStart w:id="1056" w:name="Tc_s76f00pJCkS_L2gHukxBqA_34_21"/>
      <w:bookmarkStart w:id="1057" w:name="Tc_abmYlKuQb0e88atoQDFTxA_34_15"/>
      <w:bookmarkStart w:id="1058" w:name="Tc_jlKmpVsCE0uUIjP51n3WQg_34_12"/>
      <w:bookmarkStart w:id="1059" w:name="Tc_u-w_fTjdoUSV74HyXuRQhw_34_10"/>
      <w:bookmarkStart w:id="1060" w:name="Tc_HUON6ygzb0CT-29FLL9kaA_34_7"/>
      <w:bookmarkStart w:id="1061" w:name="Tc_rk30W0Zby0eBW87zfPAJ5g_34_5"/>
      <w:bookmarkStart w:id="1062" w:name="Tc_GnWvXLL21Uuoa35wxh9X-A_34_0"/>
      <w:bookmarkStart w:id="1063" w:name="Tc_zhwcR_5gaU-8l8nhwyeTuw_33_26"/>
      <w:bookmarkStart w:id="1064" w:name="Tc_25oMe5lLSUO7bgngFKpBSQ_33_23"/>
      <w:bookmarkStart w:id="1065" w:name="Tc_6j2JFBfYQUW1gkXr-ZsR2A_33_20"/>
      <w:bookmarkStart w:id="1066" w:name="Tc_mf3J2TgR902cbHd03oXKnw_33_17"/>
      <w:bookmarkStart w:id="1067" w:name="Tc_b3dGOALQ4U2XVhH4g3RTYw_33_15"/>
      <w:bookmarkStart w:id="1068" w:name="Tc_PC-jeQPlcEeVeBEf6jXwyQ_33_14"/>
      <w:bookmarkStart w:id="1069" w:name="Tc_IXbZTG3uE0GUQbxf2d484w_33_12"/>
      <w:bookmarkStart w:id="1070" w:name="Tc_OyAPl16KQ0WRc7seENXxLg_33_9"/>
      <w:bookmarkStart w:id="1071" w:name="Tc_300znkDTMkurene6oREmIA_33_4"/>
      <w:bookmarkStart w:id="1072" w:name="Tc_WesJNWeBYUap1sBF38kZ_w_33_0"/>
      <w:bookmarkStart w:id="1073" w:name="Tc_ZOM9q7B47UuBgZMTt5JQSA_32_26"/>
      <w:bookmarkStart w:id="1074" w:name="Tc_JZk3UkGqyUSYpwAIoKc1Sw_32_23"/>
      <w:bookmarkStart w:id="1075" w:name="Tc_hzRDvS5q5UG4ixZ0ccQ9qA_32_20"/>
      <w:bookmarkStart w:id="1076" w:name="Tc_sEr7SJjhY02TqA3oMGdl5w_32_17"/>
      <w:bookmarkStart w:id="1077" w:name="Tc_Ez3C080GAkmyHUTSEKW8YA_32_15"/>
      <w:bookmarkStart w:id="1078" w:name="Tc_Tl3NTB4bhEaeNxW02Q5d9g_32_12"/>
      <w:bookmarkStart w:id="1079" w:name="Tc_JgdliH9Fw0azz6th_qUS4g_32_9"/>
      <w:bookmarkStart w:id="1080" w:name="Tc_vGX4l0YZak-PluPIYkrY9A_32_7"/>
      <w:bookmarkStart w:id="1081" w:name="Tc_81iNjfh9c0ycUHzf_aTWcQ_32_4"/>
      <w:bookmarkStart w:id="1082" w:name="Tc_p6e8dKXCEUObzQfADYvlNQ_32_2"/>
      <w:bookmarkStart w:id="1083" w:name="Tc_Wp9F2tr6X0y102f5V3DAAg_31_26"/>
      <w:bookmarkStart w:id="1084" w:name="Tc_A7rO9tuYikaewVY0J9mK3A_31_23"/>
      <w:bookmarkStart w:id="1085" w:name="Tc_LmlEUrH-f0SFwkbHvJ8Dyg_31_20"/>
      <w:bookmarkStart w:id="1086" w:name="Tc_eP8lZ2Ve0Eelo3EmYPHINw_31_17"/>
      <w:bookmarkStart w:id="1087" w:name="Tc_vhwITiRmGUulNJGlcJLbRw_31_15"/>
      <w:bookmarkStart w:id="1088" w:name="Tc_glGTH2BtikOx1AwjLRTcQw_31_12"/>
      <w:bookmarkStart w:id="1089" w:name="Tc_6CRCuVd7o02IGDBwQbqf6w_31_9"/>
      <w:bookmarkStart w:id="1090" w:name="Tc_zwJY-NafckabtJayYTUsXg_31_7"/>
      <w:bookmarkStart w:id="1091" w:name="Tc_9Tz-c0bpr0GQRUpIidgcbQ_31_4"/>
      <w:bookmarkStart w:id="1092" w:name="Tc_CUuz2j78eU6VcC78LCiLIQ_31_2"/>
      <w:bookmarkStart w:id="1093" w:name="Tc_SK3fAjOr6kGT2DhUZdt6FA_30_26"/>
      <w:bookmarkStart w:id="1094" w:name="Tc_yHtPNucWwkuqIe0hHg5s1g_30_23"/>
      <w:bookmarkStart w:id="1095" w:name="Tc_NTxcJ2UeVEiAh2VpYyGZxg_30_17"/>
      <w:bookmarkStart w:id="1096" w:name="Tc_UCcLJZea7EOpqYB3iNPMww_30_9"/>
      <w:bookmarkStart w:id="1097" w:name="Tc_4FHqXeUVdEWQFqLT0IdoYQ_30_7"/>
      <w:bookmarkStart w:id="1098" w:name="Tc_eLZGeJLAeUioTh4lnD_MMg_30_4"/>
      <w:bookmarkStart w:id="1099" w:name="Tc_QZx5gHUoFk21dg58cDqpkQ_30_2"/>
      <w:bookmarkStart w:id="1100" w:name="Tc_-4LlD5bQtE6zY3yQU8b_ug_29_23"/>
      <w:bookmarkStart w:id="1101" w:name="Tc_FuOE8eR9E0-z0s3Mc71jFA_29_12"/>
      <w:bookmarkStart w:id="1102" w:name="Tc_cWNoBwmXbU-6ylPBs-SvdA_29_2"/>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p>
    <w:tbl>
      <w:tblPr>
        <w:tblW w:w="12702" w:type="dxa"/>
        <w:jc w:val="left"/>
        <w:tblInd w:w="0" w:type="dxa"/>
        <w:tblLayout w:type="fixed"/>
        <w:tblCellMar>
          <w:top w:w="0" w:type="dxa"/>
          <w:left w:w="0" w:type="dxa"/>
          <w:bottom w:w="0" w:type="dxa"/>
          <w:right w:w="0" w:type="dxa"/>
        </w:tblCellMar>
      </w:tblPr>
      <w:tblGrid>
        <w:gridCol w:w="1321"/>
        <w:gridCol w:w="146"/>
        <w:gridCol w:w="1006"/>
        <w:gridCol w:w="226"/>
        <w:gridCol w:w="276"/>
        <w:gridCol w:w="490"/>
        <w:gridCol w:w="226"/>
        <w:gridCol w:w="1006"/>
        <w:gridCol w:w="226"/>
        <w:gridCol w:w="276"/>
        <w:gridCol w:w="490"/>
        <w:gridCol w:w="109"/>
        <w:gridCol w:w="766"/>
        <w:gridCol w:w="109"/>
        <w:gridCol w:w="196"/>
        <w:gridCol w:w="766"/>
        <w:gridCol w:w="109"/>
        <w:gridCol w:w="196"/>
        <w:gridCol w:w="691"/>
        <w:gridCol w:w="226"/>
        <w:gridCol w:w="240"/>
        <w:gridCol w:w="811"/>
        <w:gridCol w:w="226"/>
        <w:gridCol w:w="287"/>
        <w:gridCol w:w="974"/>
        <w:gridCol w:w="226"/>
        <w:gridCol w:w="215"/>
        <w:gridCol w:w="866"/>
      </w:tblGrid>
      <w:tr>
        <w:trPr/>
        <w:tc>
          <w:tcPr>
            <w:tcW w:w="13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4222"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Common Stock </w:t>
            </w:r>
          </w:p>
        </w:tc>
        <w:tc>
          <w:tcPr>
            <w:tcW w:w="109" w:type="dxa"/>
            <w:tcBorders/>
            <w:vAlign w:val="center"/>
          </w:tcPr>
          <w:p>
            <w:pPr>
              <w:pStyle w:val="TableContents"/>
              <w:bidi w:val="0"/>
              <w:spacing w:before="0" w:after="0"/>
              <w:ind w:left="0" w:right="0" w:hanging="0"/>
              <w:jc w:val="center"/>
              <w:rPr/>
            </w:pPr>
            <w:r>
              <w:rPr/>
              <w:t>​</w:t>
            </w:r>
          </w:p>
        </w:tc>
        <w:tc>
          <w:tcPr>
            <w:tcW w:w="1837"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 Stock</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right"/>
              <w:rPr/>
            </w:pPr>
            <w:r>
              <w:rPr/>
              <w:t>​</w:t>
            </w:r>
          </w:p>
        </w:tc>
        <w:tc>
          <w:tcPr>
            <w:tcW w:w="1051" w:type="dxa"/>
            <w:gridSpan w:val="2"/>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2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226" w:type="dxa"/>
            <w:tcBorders/>
            <w:vAlign w:val="center"/>
          </w:tcPr>
          <w:p>
            <w:pPr>
              <w:pStyle w:val="TableContents"/>
              <w:bidi w:val="0"/>
              <w:spacing w:before="0" w:after="0"/>
              <w:ind w:left="0" w:right="0" w:hanging="0"/>
              <w:jc w:val="center"/>
              <w:rPr/>
            </w:pPr>
            <w:r>
              <w:rPr/>
              <w:t>​</w:t>
            </w:r>
          </w:p>
        </w:tc>
        <w:tc>
          <w:tcPr>
            <w:tcW w:w="215"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pPr>
            <w:r>
              <w:rPr/>
              <w:t>​</w:t>
            </w:r>
          </w:p>
        </w:tc>
      </w:tr>
      <w:tr>
        <w:trPr/>
        <w:tc>
          <w:tcPr>
            <w:tcW w:w="13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226" w:type="dxa"/>
            <w:tcBorders/>
            <w:vAlign w:val="center"/>
          </w:tcPr>
          <w:p>
            <w:pPr>
              <w:pStyle w:val="TableContents"/>
              <w:bidi w:val="0"/>
              <w:spacing w:before="0" w:after="0"/>
              <w:ind w:left="0" w:right="0" w:hanging="0"/>
              <w:jc w:val="center"/>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A</w:t>
            </w:r>
          </w:p>
        </w:tc>
        <w:tc>
          <w:tcPr>
            <w:tcW w:w="22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226" w:type="dxa"/>
            <w:tcBorders/>
            <w:vAlign w:val="center"/>
          </w:tcPr>
          <w:p>
            <w:pPr>
              <w:pStyle w:val="TableContents"/>
              <w:bidi w:val="0"/>
              <w:spacing w:before="0" w:after="0"/>
              <w:ind w:left="0" w:right="0" w:hanging="0"/>
              <w:jc w:val="center"/>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B</w:t>
            </w:r>
          </w:p>
        </w:tc>
        <w:tc>
          <w:tcPr>
            <w:tcW w:w="109"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226" w:type="dxa"/>
            <w:tcBorders/>
            <w:vAlign w:val="center"/>
          </w:tcPr>
          <w:p>
            <w:pPr>
              <w:pStyle w:val="TableContents"/>
              <w:bidi w:val="0"/>
              <w:spacing w:before="0" w:after="0"/>
              <w:ind w:left="0" w:right="0" w:hanging="0"/>
              <w:jc w:val="center"/>
              <w:rPr/>
            </w:pPr>
            <w:r>
              <w:rPr/>
              <w:t>  ​</w:t>
            </w:r>
          </w:p>
        </w:tc>
        <w:tc>
          <w:tcPr>
            <w:tcW w:w="1051" w:type="dxa"/>
            <w:gridSpan w:val="2"/>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  ​</w:t>
            </w:r>
          </w:p>
        </w:tc>
        <w:tc>
          <w:tcPr>
            <w:tcW w:w="12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 </w:t>
            </w:r>
          </w:p>
        </w:tc>
        <w:tc>
          <w:tcPr>
            <w:tcW w:w="226" w:type="dxa"/>
            <w:tcBorders/>
            <w:vAlign w:val="center"/>
          </w:tcPr>
          <w:p>
            <w:pPr>
              <w:pStyle w:val="TableContents"/>
              <w:bidi w:val="0"/>
              <w:spacing w:before="0" w:after="0"/>
              <w:ind w:left="0" w:right="0" w:hanging="0"/>
              <w:jc w:val="center"/>
              <w:rPr/>
            </w:pPr>
            <w:r>
              <w:rPr/>
              <w:t>  ​</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3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A</w:t>
            </w:r>
          </w:p>
        </w:tc>
        <w:tc>
          <w:tcPr>
            <w:tcW w:w="226" w:type="dxa"/>
            <w:tcBorders/>
            <w:vAlign w:val="center"/>
          </w:tcPr>
          <w:p>
            <w:pPr>
              <w:pStyle w:val="TableContents"/>
              <w:bidi w:val="0"/>
              <w:spacing w:before="0" w:after="0"/>
              <w:ind w:left="0" w:right="0" w:hanging="0"/>
              <w:jc w:val="center"/>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22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B</w:t>
            </w:r>
          </w:p>
        </w:tc>
        <w:tc>
          <w:tcPr>
            <w:tcW w:w="226" w:type="dxa"/>
            <w:tcBorders/>
            <w:vAlign w:val="center"/>
          </w:tcPr>
          <w:p>
            <w:pPr>
              <w:pStyle w:val="TableContents"/>
              <w:bidi w:val="0"/>
              <w:spacing w:before="0" w:after="0"/>
              <w:ind w:left="0" w:right="0" w:hanging="0"/>
              <w:jc w:val="center"/>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109"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w:t>
            </w:r>
          </w:p>
        </w:tc>
        <w:tc>
          <w:tcPr>
            <w:tcW w:w="109"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 In</w:t>
            </w:r>
          </w:p>
        </w:tc>
        <w:tc>
          <w:tcPr>
            <w:tcW w:w="226" w:type="dxa"/>
            <w:tcBorders/>
            <w:vAlign w:val="center"/>
          </w:tcPr>
          <w:p>
            <w:pPr>
              <w:pStyle w:val="TableContents"/>
              <w:bidi w:val="0"/>
              <w:spacing w:before="0" w:after="0"/>
              <w:ind w:left="0" w:right="0" w:hanging="0"/>
              <w:jc w:val="center"/>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226" w:type="dxa"/>
            <w:tcBorders/>
            <w:vAlign w:val="center"/>
          </w:tcPr>
          <w:p>
            <w:pPr>
              <w:pStyle w:val="TableContents"/>
              <w:bidi w:val="0"/>
              <w:spacing w:before="0" w:after="0"/>
              <w:ind w:left="0" w:right="0" w:hanging="0"/>
              <w:jc w:val="center"/>
              <w:rPr/>
            </w:pPr>
            <w:r>
              <w:rPr/>
              <w:t>​</w:t>
            </w:r>
          </w:p>
        </w:tc>
        <w:tc>
          <w:tcPr>
            <w:tcW w:w="12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 </w:t>
            </w:r>
          </w:p>
        </w:tc>
        <w:tc>
          <w:tcPr>
            <w:tcW w:w="226" w:type="dxa"/>
            <w:tcBorders/>
            <w:vAlign w:val="center"/>
          </w:tcPr>
          <w:p>
            <w:pPr>
              <w:pStyle w:val="TableContents"/>
              <w:bidi w:val="0"/>
              <w:spacing w:before="0" w:after="0"/>
              <w:ind w:left="0" w:right="0" w:hanging="0"/>
              <w:jc w:val="center"/>
              <w:rPr/>
            </w:pPr>
            <w:r>
              <w:rPr/>
              <w:t>​</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3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226" w:type="dxa"/>
            <w:tcBorders/>
            <w:vAlign w:val="center"/>
          </w:tcPr>
          <w:p>
            <w:pPr>
              <w:pStyle w:val="TableContents"/>
              <w:bidi w:val="0"/>
              <w:spacing w:before="0" w:after="0"/>
              <w:ind w:left="0" w:right="0" w:hanging="0"/>
              <w:jc w:val="center"/>
              <w:rPr/>
            </w:pPr>
            <w:r>
              <w:rPr/>
              <w:t>  ​</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Stock</w:t>
            </w:r>
          </w:p>
        </w:tc>
        <w:tc>
          <w:tcPr>
            <w:tcW w:w="226" w:type="dxa"/>
            <w:tcBorders/>
            <w:vAlign w:val="center"/>
          </w:tcPr>
          <w:p>
            <w:pPr>
              <w:pStyle w:val="TableContents"/>
              <w:bidi w:val="0"/>
              <w:spacing w:before="0" w:after="0"/>
              <w:ind w:left="0" w:right="0" w:hanging="0"/>
              <w:jc w:val="center"/>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226" w:type="dxa"/>
            <w:tcBorders/>
            <w:vAlign w:val="center"/>
          </w:tcPr>
          <w:p>
            <w:pPr>
              <w:pStyle w:val="TableContents"/>
              <w:bidi w:val="0"/>
              <w:spacing w:before="0" w:after="0"/>
              <w:ind w:left="0" w:right="0" w:hanging="0"/>
              <w:jc w:val="center"/>
              <w:rPr/>
            </w:pPr>
            <w:r>
              <w:rPr/>
              <w:t>  ​</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109" w:type="dxa"/>
            <w:tcBorders/>
            <w:vAlign w:val="center"/>
          </w:tcPr>
          <w:p>
            <w:pPr>
              <w:pStyle w:val="TableContents"/>
              <w:bidi w:val="0"/>
              <w:spacing w:before="0" w:after="0"/>
              <w:ind w:left="0" w:right="0" w:hanging="0"/>
              <w:jc w:val="center"/>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109"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226" w:type="dxa"/>
            <w:tcBorders/>
            <w:vAlign w:val="center"/>
          </w:tcPr>
          <w:p>
            <w:pPr>
              <w:pStyle w:val="TableContents"/>
              <w:bidi w:val="0"/>
              <w:spacing w:before="0" w:after="0"/>
              <w:ind w:left="0" w:right="0" w:hanging="0"/>
              <w:jc w:val="center"/>
              <w:rPr/>
            </w:pPr>
            <w:r>
              <w:rPr/>
              <w:t>  ​</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226" w:type="dxa"/>
            <w:tcBorders/>
            <w:vAlign w:val="center"/>
          </w:tcPr>
          <w:p>
            <w:pPr>
              <w:pStyle w:val="TableContents"/>
              <w:bidi w:val="0"/>
              <w:spacing w:before="0" w:after="0"/>
              <w:ind w:left="0" w:right="0" w:hanging="0"/>
              <w:jc w:val="center"/>
              <w:rPr/>
            </w:pPr>
            <w:r>
              <w:rPr/>
              <w:t>  ​</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226" w:type="dxa"/>
            <w:tcBorders/>
            <w:vAlign w:val="center"/>
          </w:tcPr>
          <w:p>
            <w:pPr>
              <w:pStyle w:val="TableContents"/>
              <w:bidi w:val="0"/>
              <w:spacing w:before="0" w:after="0"/>
              <w:ind w:left="0" w:right="0" w:hanging="0"/>
              <w:jc w:val="center"/>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3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January 1, 2025</w:t>
            </w:r>
          </w:p>
        </w:tc>
        <w:tc>
          <w:tcPr>
            <w:tcW w:w="1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70,670</w:t>
            </w:r>
          </w:p>
        </w:tc>
        <w:tc>
          <w:tcPr>
            <w:tcW w:w="226" w:type="dxa"/>
            <w:tcBorders/>
            <w:shd w:fill="CCEEFF" w:val="clear"/>
            <w:vAlign w:val="center"/>
          </w:tcPr>
          <w:p>
            <w:pPr>
              <w:pStyle w:val="TableContents"/>
              <w:bidi w:val="0"/>
              <w:spacing w:before="0" w:after="0"/>
              <w:ind w:left="0" w:right="0" w:hanging="0"/>
              <w:jc w:val="center"/>
              <w:rPr/>
            </w:pPr>
            <w:r>
              <w:rPr/>
              <w:t>​</w:t>
            </w:r>
          </w:p>
        </w:tc>
        <w:tc>
          <w:tcPr>
            <w:tcW w:w="2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9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w:t>
            </w:r>
          </w:p>
        </w:tc>
        <w:tc>
          <w:tcPr>
            <w:tcW w:w="226" w:type="dxa"/>
            <w:tcBorders/>
            <w:shd w:fill="CCEEFF" w:val="clear"/>
            <w:vAlign w:val="center"/>
          </w:tcPr>
          <w:p>
            <w:pPr>
              <w:pStyle w:val="TableContents"/>
              <w:bidi w:val="0"/>
              <w:spacing w:before="0" w:after="0"/>
              <w:ind w:left="0" w:right="0" w:hanging="0"/>
              <w:jc w:val="center"/>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86,481</w:t>
            </w:r>
          </w:p>
        </w:tc>
        <w:tc>
          <w:tcPr>
            <w:tcW w:w="226" w:type="dxa"/>
            <w:tcBorders/>
            <w:shd w:fill="CCEEFF" w:val="clear"/>
            <w:vAlign w:val="center"/>
          </w:tcPr>
          <w:p>
            <w:pPr>
              <w:pStyle w:val="TableContents"/>
              <w:bidi w:val="0"/>
              <w:spacing w:before="0" w:after="0"/>
              <w:ind w:left="0" w:right="0" w:hanging="0"/>
              <w:jc w:val="center"/>
              <w:rPr/>
            </w:pPr>
            <w:r>
              <w:rPr/>
              <w:t>​</w:t>
            </w:r>
          </w:p>
        </w:tc>
        <w:tc>
          <w:tcPr>
            <w:tcW w:w="2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9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w:t>
            </w:r>
          </w:p>
        </w:tc>
        <w:tc>
          <w:tcPr>
            <w:tcW w:w="109" w:type="dxa"/>
            <w:tcBorders/>
            <w:shd w:fill="CCEEFF" w:val="clear"/>
            <w:vAlign w:val="center"/>
          </w:tcPr>
          <w:p>
            <w:pPr>
              <w:pStyle w:val="TableContents"/>
              <w:bidi w:val="0"/>
              <w:spacing w:before="0" w:after="0"/>
              <w:ind w:left="0" w:right="0" w:hanging="0"/>
              <w:jc w:val="righ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278,389</w:t>
            </w:r>
          </w:p>
        </w:tc>
        <w:tc>
          <w:tcPr>
            <w:tcW w:w="226" w:type="dxa"/>
            <w:tcBorders/>
            <w:shd w:fill="CCEEFF" w:val="clear"/>
            <w:vAlign w:val="center"/>
          </w:tcPr>
          <w:p>
            <w:pPr>
              <w:pStyle w:val="TableContents"/>
              <w:bidi w:val="0"/>
              <w:spacing w:before="0" w:after="0"/>
              <w:ind w:left="0" w:right="0" w:hanging="0"/>
              <w:jc w:val="center"/>
              <w:rPr/>
            </w:pPr>
            <w:r>
              <w:rPr/>
              <w:t>​</w:t>
            </w:r>
          </w:p>
        </w:tc>
        <w:tc>
          <w:tcPr>
            <w:tcW w:w="24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(53,315)</w:t>
            </w:r>
          </w:p>
        </w:tc>
        <w:tc>
          <w:tcPr>
            <w:tcW w:w="226" w:type="dxa"/>
            <w:tcBorders/>
            <w:shd w:fill="CCEEFF" w:val="clear"/>
            <w:vAlign w:val="center"/>
          </w:tcPr>
          <w:p>
            <w:pPr>
              <w:pStyle w:val="TableContents"/>
              <w:bidi w:val="0"/>
              <w:spacing w:before="0" w:after="0"/>
              <w:ind w:left="0" w:right="0" w:hanging="0"/>
              <w:jc w:val="center"/>
              <w:rPr/>
            </w:pPr>
            <w:r>
              <w:rPr/>
              <w:t>​</w:t>
            </w:r>
          </w:p>
        </w:tc>
        <w:tc>
          <w:tcPr>
            <w:tcW w:w="28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(45,879)</w:t>
            </w:r>
          </w:p>
        </w:tc>
        <w:tc>
          <w:tcPr>
            <w:tcW w:w="226" w:type="dxa"/>
            <w:tcBorders/>
            <w:shd w:fill="CCEEFF" w:val="clear"/>
            <w:vAlign w:val="center"/>
          </w:tcPr>
          <w:p>
            <w:pPr>
              <w:pStyle w:val="TableContents"/>
              <w:bidi w:val="0"/>
              <w:spacing w:before="0" w:after="0"/>
              <w:ind w:left="0" w:right="0" w:hanging="0"/>
              <w:jc w:val="center"/>
              <w:rPr/>
            </w:pPr>
            <w:r>
              <w:rPr/>
              <w:t>​</w:t>
            </w:r>
          </w:p>
        </w:tc>
        <w:tc>
          <w:tcPr>
            <w:tcW w:w="21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179,352</w:t>
            </w:r>
          </w:p>
        </w:tc>
      </w:tr>
      <w:tr>
        <w:trPr/>
        <w:tc>
          <w:tcPr>
            <w:tcW w:w="13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Exercise of stock options, net</w:t>
            </w:r>
          </w:p>
        </w:tc>
        <w:tc>
          <w:tcPr>
            <w:tcW w:w="1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374</w:t>
            </w:r>
          </w:p>
        </w:tc>
        <w:tc>
          <w:tcPr>
            <w:tcW w:w="2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1,165</w:t>
            </w:r>
          </w:p>
        </w:tc>
        <w:tc>
          <w:tcPr>
            <w:tcW w:w="226" w:type="dxa"/>
            <w:tcBorders/>
            <w:vAlign w:val="center"/>
          </w:tcPr>
          <w:p>
            <w:pPr>
              <w:pStyle w:val="TableContents"/>
              <w:bidi w:val="0"/>
              <w:spacing w:before="0" w:after="0"/>
              <w:ind w:left="0" w:right="0" w:hanging="0"/>
              <w:jc w:val="right"/>
              <w:rPr/>
            </w:pPr>
            <w:r>
              <w:rPr/>
              <w:t>​</w:t>
            </w:r>
          </w:p>
        </w:tc>
        <w:tc>
          <w:tcPr>
            <w:tcW w:w="240"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1,165</w:t>
            </w:r>
          </w:p>
        </w:tc>
      </w:tr>
      <w:tr>
        <w:trPr/>
        <w:tc>
          <w:tcPr>
            <w:tcW w:w="13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Shares issued upon vesting of Restricted Stock Units, net</w:t>
            </w:r>
          </w:p>
        </w:tc>
        <w:tc>
          <w:tcPr>
            <w:tcW w:w="1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863</w:t>
            </w:r>
          </w:p>
        </w:tc>
        <w:tc>
          <w:tcPr>
            <w:tcW w:w="2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49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2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49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(25,035)</w:t>
            </w:r>
          </w:p>
        </w:tc>
        <w:tc>
          <w:tcPr>
            <w:tcW w:w="226" w:type="dxa"/>
            <w:tcBorders/>
            <w:shd w:fill="CCEEFF" w:val="clear"/>
            <w:vAlign w:val="center"/>
          </w:tcPr>
          <w:p>
            <w:pPr>
              <w:pStyle w:val="TableContents"/>
              <w:bidi w:val="0"/>
              <w:spacing w:before="0" w:after="0"/>
              <w:ind w:left="0" w:right="0" w:hanging="0"/>
              <w:jc w:val="righ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(25,034)</w:t>
            </w:r>
          </w:p>
        </w:tc>
      </w:tr>
      <w:tr>
        <w:trPr/>
        <w:tc>
          <w:tcPr>
            <w:tcW w:w="13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1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18,780</w:t>
            </w:r>
          </w:p>
        </w:tc>
        <w:tc>
          <w:tcPr>
            <w:tcW w:w="226" w:type="dxa"/>
            <w:tcBorders/>
            <w:vAlign w:val="center"/>
          </w:tcPr>
          <w:p>
            <w:pPr>
              <w:pStyle w:val="TableContents"/>
              <w:bidi w:val="0"/>
              <w:spacing w:before="0" w:after="0"/>
              <w:ind w:left="0" w:right="0" w:hanging="0"/>
              <w:jc w:val="right"/>
              <w:rPr/>
            </w:pPr>
            <w:r>
              <w:rPr/>
              <w:t>​</w:t>
            </w:r>
          </w:p>
        </w:tc>
        <w:tc>
          <w:tcPr>
            <w:tcW w:w="240"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18,780</w:t>
            </w:r>
          </w:p>
        </w:tc>
      </w:tr>
      <w:tr>
        <w:trPr/>
        <w:tc>
          <w:tcPr>
            <w:tcW w:w="13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Tax impact on capped call transactions</w:t>
            </w:r>
          </w:p>
        </w:tc>
        <w:tc>
          <w:tcPr>
            <w:tcW w:w="1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490"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49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226" w:type="dxa"/>
            <w:tcBorders/>
            <w:shd w:fill="CCEEFF" w:val="clear"/>
            <w:vAlign w:val="center"/>
          </w:tcPr>
          <w:p>
            <w:pPr>
              <w:pStyle w:val="TableContents"/>
              <w:bidi w:val="0"/>
              <w:spacing w:before="0" w:after="0"/>
              <w:ind w:left="0" w:right="0" w:hanging="0"/>
              <w:jc w:val="righ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r>
      <w:tr>
        <w:trPr/>
        <w:tc>
          <w:tcPr>
            <w:tcW w:w="13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Foreign currency translation adjustments and revaluations, net of tax</w:t>
            </w:r>
          </w:p>
        </w:tc>
        <w:tc>
          <w:tcPr>
            <w:tcW w:w="1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right"/>
              <w:rPr/>
            </w:pPr>
            <w:r>
              <w:rPr/>
              <w:t>​</w:t>
            </w:r>
          </w:p>
        </w:tc>
        <w:tc>
          <w:tcPr>
            <w:tcW w:w="240"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15,105</w:t>
            </w:r>
          </w:p>
        </w:tc>
        <w:tc>
          <w:tcPr>
            <w:tcW w:w="2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15,105</w:t>
            </w:r>
          </w:p>
        </w:tc>
      </w:tr>
      <w:tr>
        <w:trPr/>
        <w:tc>
          <w:tcPr>
            <w:tcW w:w="13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Unrealized loss from available-for-sale investments, net of tax</w:t>
            </w:r>
          </w:p>
        </w:tc>
        <w:tc>
          <w:tcPr>
            <w:tcW w:w="1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490"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49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w:t>
            </w:r>
          </w:p>
        </w:tc>
        <w:tc>
          <w:tcPr>
            <w:tcW w:w="2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w:t>
            </w:r>
          </w:p>
        </w:tc>
      </w:tr>
      <w:tr>
        <w:trPr/>
        <w:tc>
          <w:tcPr>
            <w:tcW w:w="13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146" w:type="dxa"/>
            <w:tcBorders/>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9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9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right"/>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11,130</w:t>
            </w:r>
          </w:p>
        </w:tc>
        <w:tc>
          <w:tcPr>
            <w:tcW w:w="226" w:type="dxa"/>
            <w:tcBorders/>
            <w:vAlign w:val="center"/>
          </w:tcPr>
          <w:p>
            <w:pPr>
              <w:pStyle w:val="TableContents"/>
              <w:bidi w:val="0"/>
              <w:spacing w:before="0" w:after="0"/>
              <w:ind w:left="0" w:right="0" w:hanging="0"/>
              <w:jc w:val="left"/>
              <w:rPr/>
            </w:pPr>
            <w:r>
              <w:rPr/>
              <w:t>​</w:t>
            </w:r>
          </w:p>
        </w:tc>
        <w:tc>
          <w:tcPr>
            <w:tcW w:w="28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11,130</w:t>
            </w:r>
          </w:p>
        </w:tc>
      </w:tr>
      <w:tr>
        <w:trPr/>
        <w:tc>
          <w:tcPr>
            <w:tcW w:w="13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March 31, 2025</w:t>
            </w:r>
          </w:p>
        </w:tc>
        <w:tc>
          <w:tcPr>
            <w:tcW w:w="146" w:type="dxa"/>
            <w:tcBorders/>
            <w:shd w:fill="CCEEFF" w:val="clear"/>
            <w:vAlign w:val="center"/>
          </w:tcPr>
          <w:p>
            <w:pPr>
              <w:pStyle w:val="TableContents"/>
              <w:bidi w:val="0"/>
              <w:spacing w:before="0" w:after="0"/>
              <w:ind w:left="0" w:right="0" w:hanging="0"/>
              <w:jc w:val="left"/>
              <w:rPr/>
            </w:pPr>
            <w:r>
              <w:rPr/>
              <w:t> </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71,907</w:t>
            </w:r>
          </w:p>
        </w:tc>
        <w:tc>
          <w:tcPr>
            <w:tcW w:w="226" w:type="dxa"/>
            <w:tcBorders/>
            <w:shd w:fill="CCEEFF" w:val="clear"/>
            <w:vAlign w:val="center"/>
          </w:tcPr>
          <w:p>
            <w:pPr>
              <w:pStyle w:val="TableContents"/>
              <w:bidi w:val="0"/>
              <w:spacing w:before="0" w:after="0"/>
              <w:ind w:left="0" w:right="0" w:hanging="0"/>
              <w:jc w:val="left"/>
              <w:rPr/>
            </w:pPr>
            <w:r>
              <w:rPr/>
              <w:t>​</w:t>
            </w:r>
          </w:p>
        </w:tc>
        <w:tc>
          <w:tcPr>
            <w:tcW w:w="2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w:t>
            </w:r>
          </w:p>
        </w:tc>
        <w:tc>
          <w:tcPr>
            <w:tcW w:w="226" w:type="dxa"/>
            <w:tcBorders/>
            <w:shd w:fill="CCEEFF" w:val="clear"/>
            <w:vAlign w:val="center"/>
          </w:tcPr>
          <w:p>
            <w:pPr>
              <w:pStyle w:val="TableContents"/>
              <w:bidi w:val="0"/>
              <w:spacing w:before="0" w:after="0"/>
              <w:ind w:left="0" w:right="0" w:hanging="0"/>
              <w:jc w:val="left"/>
              <w:rPr/>
            </w:pPr>
            <w:r>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86,481</w:t>
            </w:r>
          </w:p>
        </w:tc>
        <w:tc>
          <w:tcPr>
            <w:tcW w:w="226" w:type="dxa"/>
            <w:tcBorders/>
            <w:shd w:fill="CCEEFF" w:val="clear"/>
            <w:vAlign w:val="center"/>
          </w:tcPr>
          <w:p>
            <w:pPr>
              <w:pStyle w:val="TableContents"/>
              <w:bidi w:val="0"/>
              <w:spacing w:before="0" w:after="0"/>
              <w:ind w:left="0" w:right="0" w:hanging="0"/>
              <w:jc w:val="right"/>
              <w:rPr/>
            </w:pPr>
            <w:r>
              <w:rPr/>
              <w:t>​</w:t>
            </w:r>
          </w:p>
        </w:tc>
        <w:tc>
          <w:tcPr>
            <w:tcW w:w="2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w:t>
            </w:r>
          </w:p>
        </w:tc>
        <w:tc>
          <w:tcPr>
            <w:tcW w:w="109" w:type="dxa"/>
            <w:tcBorders/>
            <w:shd w:fill="CCEEFF" w:val="clear"/>
            <w:vAlign w:val="center"/>
          </w:tcPr>
          <w:p>
            <w:pPr>
              <w:pStyle w:val="TableContents"/>
              <w:bidi w:val="0"/>
              <w:spacing w:before="0" w:after="0"/>
              <w:ind w:left="0" w:right="0" w:hanging="0"/>
              <w:jc w:val="right"/>
              <w:rPr/>
            </w:pPr>
            <w:r>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273,300</w:t>
            </w:r>
          </w:p>
        </w:tc>
        <w:tc>
          <w:tcPr>
            <w:tcW w:w="226" w:type="dxa"/>
            <w:tcBorders/>
            <w:shd w:fill="CCEEFF" w:val="clear"/>
            <w:vAlign w:val="center"/>
          </w:tcPr>
          <w:p>
            <w:pPr>
              <w:pStyle w:val="TableContents"/>
              <w:bidi w:val="0"/>
              <w:spacing w:before="0" w:after="0"/>
              <w:ind w:left="0" w:right="0" w:hanging="0"/>
              <w:jc w:val="right"/>
              <w:rPr/>
            </w:pPr>
            <w:r>
              <w:rPr/>
              <w:t>​</w:t>
            </w:r>
          </w:p>
        </w:tc>
        <w:tc>
          <w:tcPr>
            <w:tcW w:w="24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(42,185)</w:t>
            </w:r>
          </w:p>
        </w:tc>
        <w:tc>
          <w:tcPr>
            <w:tcW w:w="226" w:type="dxa"/>
            <w:tcBorders/>
            <w:shd w:fill="CCEEFF" w:val="clear"/>
            <w:vAlign w:val="center"/>
          </w:tcPr>
          <w:p>
            <w:pPr>
              <w:pStyle w:val="TableContents"/>
              <w:bidi w:val="0"/>
              <w:spacing w:before="0" w:after="0"/>
              <w:ind w:left="0" w:right="0" w:hanging="0"/>
              <w:jc w:val="left"/>
              <w:rPr/>
            </w:pPr>
            <w:r>
              <w:rPr/>
              <w:t>​</w:t>
            </w:r>
          </w:p>
        </w:tc>
        <w:tc>
          <w:tcPr>
            <w:tcW w:w="28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(30,783)</w:t>
            </w:r>
          </w:p>
        </w:tc>
        <w:tc>
          <w:tcPr>
            <w:tcW w:w="226" w:type="dxa"/>
            <w:tcBorders/>
            <w:shd w:fill="CCEEFF" w:val="clear"/>
            <w:vAlign w:val="center"/>
          </w:tcPr>
          <w:p>
            <w:pPr>
              <w:pStyle w:val="TableContents"/>
              <w:bidi w:val="0"/>
              <w:spacing w:before="0" w:after="0"/>
              <w:ind w:left="0" w:right="0" w:hanging="0"/>
              <w:jc w:val="left"/>
              <w:rPr/>
            </w:pPr>
            <w:r>
              <w:rPr/>
              <w:t>​</w:t>
            </w:r>
          </w:p>
        </w:tc>
        <w:tc>
          <w:tcPr>
            <w:tcW w:w="2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200,490</w:t>
            </w:r>
          </w:p>
        </w:tc>
      </w:tr>
      <w:tr>
        <w:trPr/>
        <w:tc>
          <w:tcPr>
            <w:tcW w:w="13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Exercise of stock options, net</w:t>
            </w:r>
          </w:p>
        </w:tc>
        <w:tc>
          <w:tcPr>
            <w:tcW w:w="1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871</w:t>
            </w:r>
          </w:p>
        </w:tc>
        <w:tc>
          <w:tcPr>
            <w:tcW w:w="2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2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6,371</w:t>
            </w:r>
          </w:p>
        </w:tc>
        <w:tc>
          <w:tcPr>
            <w:tcW w:w="226" w:type="dxa"/>
            <w:tcBorders/>
            <w:vAlign w:val="center"/>
          </w:tcPr>
          <w:p>
            <w:pPr>
              <w:pStyle w:val="TableContents"/>
              <w:bidi w:val="0"/>
              <w:spacing w:before="0" w:after="0"/>
              <w:ind w:left="0" w:right="0" w:hanging="0"/>
              <w:jc w:val="right"/>
              <w:rPr/>
            </w:pPr>
            <w:r>
              <w:rPr/>
              <w:t>​</w:t>
            </w:r>
          </w:p>
        </w:tc>
        <w:tc>
          <w:tcPr>
            <w:tcW w:w="240"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6,372</w:t>
            </w:r>
          </w:p>
        </w:tc>
      </w:tr>
      <w:tr>
        <w:trPr/>
        <w:tc>
          <w:tcPr>
            <w:tcW w:w="13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Shares issued upon vesting of Restricted Stock Units, net</w:t>
            </w:r>
          </w:p>
        </w:tc>
        <w:tc>
          <w:tcPr>
            <w:tcW w:w="1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w:t>
            </w:r>
          </w:p>
        </w:tc>
        <w:tc>
          <w:tcPr>
            <w:tcW w:w="2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490"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49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(921)</w:t>
            </w:r>
          </w:p>
        </w:tc>
        <w:tc>
          <w:tcPr>
            <w:tcW w:w="226" w:type="dxa"/>
            <w:tcBorders/>
            <w:shd w:fill="CCEEFF" w:val="clear"/>
            <w:vAlign w:val="center"/>
          </w:tcPr>
          <w:p>
            <w:pPr>
              <w:pStyle w:val="TableContents"/>
              <w:bidi w:val="0"/>
              <w:spacing w:before="0" w:after="0"/>
              <w:ind w:left="0" w:right="0" w:hanging="0"/>
              <w:jc w:val="righ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(921)</w:t>
            </w:r>
          </w:p>
        </w:tc>
      </w:tr>
      <w:tr>
        <w:trPr/>
        <w:tc>
          <w:tcPr>
            <w:tcW w:w="13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Shares issued upon vesting of Restricted Stock Awards, net</w:t>
            </w:r>
          </w:p>
        </w:tc>
        <w:tc>
          <w:tcPr>
            <w:tcW w:w="1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w:t>
            </w:r>
          </w:p>
        </w:tc>
        <w:tc>
          <w:tcPr>
            <w:tcW w:w="2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right"/>
              <w:rPr/>
            </w:pPr>
            <w:r>
              <w:rPr/>
              <w:t>​</w:t>
            </w:r>
          </w:p>
        </w:tc>
        <w:tc>
          <w:tcPr>
            <w:tcW w:w="240"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pPr>
            <w:r>
              <w:rPr/>
              <w:t>—</w:t>
            </w:r>
          </w:p>
        </w:tc>
      </w:tr>
      <w:tr>
        <w:trPr/>
        <w:tc>
          <w:tcPr>
            <w:tcW w:w="13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1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490"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49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11,545</w:t>
            </w:r>
          </w:p>
        </w:tc>
        <w:tc>
          <w:tcPr>
            <w:tcW w:w="226" w:type="dxa"/>
            <w:tcBorders/>
            <w:shd w:fill="CCEEFF" w:val="clear"/>
            <w:vAlign w:val="center"/>
          </w:tcPr>
          <w:p>
            <w:pPr>
              <w:pStyle w:val="TableContents"/>
              <w:bidi w:val="0"/>
              <w:spacing w:before="0" w:after="0"/>
              <w:ind w:left="0" w:right="0" w:hanging="0"/>
              <w:jc w:val="righ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11,545</w:t>
            </w:r>
          </w:p>
        </w:tc>
      </w:tr>
      <w:tr>
        <w:trPr/>
        <w:tc>
          <w:tcPr>
            <w:tcW w:w="13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Shares issued in connection with ESPP</w:t>
            </w:r>
          </w:p>
        </w:tc>
        <w:tc>
          <w:tcPr>
            <w:tcW w:w="1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w:t>
            </w:r>
          </w:p>
        </w:tc>
        <w:tc>
          <w:tcPr>
            <w:tcW w:w="2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1,782</w:t>
            </w:r>
          </w:p>
        </w:tc>
        <w:tc>
          <w:tcPr>
            <w:tcW w:w="226" w:type="dxa"/>
            <w:tcBorders/>
            <w:vAlign w:val="center"/>
          </w:tcPr>
          <w:p>
            <w:pPr>
              <w:pStyle w:val="TableContents"/>
              <w:bidi w:val="0"/>
              <w:spacing w:before="0" w:after="0"/>
              <w:ind w:left="0" w:right="0" w:hanging="0"/>
              <w:jc w:val="right"/>
              <w:rPr/>
            </w:pPr>
            <w:r>
              <w:rPr/>
              <w:t>​</w:t>
            </w:r>
          </w:p>
        </w:tc>
        <w:tc>
          <w:tcPr>
            <w:tcW w:w="240"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1,782</w:t>
            </w:r>
          </w:p>
        </w:tc>
      </w:tr>
      <w:tr>
        <w:trPr/>
        <w:tc>
          <w:tcPr>
            <w:tcW w:w="13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Class B shares exchanged for Class A shares</w:t>
            </w:r>
          </w:p>
        </w:tc>
        <w:tc>
          <w:tcPr>
            <w:tcW w:w="1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4,325</w:t>
            </w:r>
          </w:p>
        </w:tc>
        <w:tc>
          <w:tcPr>
            <w:tcW w:w="2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49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w:t>
            </w:r>
          </w:p>
        </w:tc>
        <w:tc>
          <w:tcPr>
            <w:tcW w:w="2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(4,325)</w:t>
            </w:r>
          </w:p>
        </w:tc>
        <w:tc>
          <w:tcPr>
            <w:tcW w:w="2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49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w:t>
            </w:r>
          </w:p>
        </w:tc>
        <w:tc>
          <w:tcPr>
            <w:tcW w:w="109" w:type="dxa"/>
            <w:tcBorders/>
            <w:shd w:fill="CCEEFF" w:val="clear"/>
            <w:vAlign w:val="center"/>
          </w:tcPr>
          <w:p>
            <w:pPr>
              <w:pStyle w:val="TableContents"/>
              <w:bidi w:val="0"/>
              <w:spacing w:before="0" w:after="0"/>
              <w:ind w:left="0" w:right="0" w:hanging="0"/>
              <w:jc w:val="righ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pPr>
            <w:r>
              <w:rPr/>
              <w:t>—</w:t>
            </w:r>
          </w:p>
        </w:tc>
      </w:tr>
      <w:tr>
        <w:trPr/>
        <w:tc>
          <w:tcPr>
            <w:tcW w:w="13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 of capped calls, net of tax</w:t>
            </w:r>
          </w:p>
        </w:tc>
        <w:tc>
          <w:tcPr>
            <w:tcW w:w="1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226" w:type="dxa"/>
            <w:tcBorders/>
            <w:vAlign w:val="center"/>
          </w:tcPr>
          <w:p>
            <w:pPr>
              <w:pStyle w:val="TableContents"/>
              <w:bidi w:val="0"/>
              <w:spacing w:before="0" w:after="0"/>
              <w:ind w:left="0" w:right="0" w:hanging="0"/>
              <w:jc w:val="right"/>
              <w:rPr/>
            </w:pPr>
            <w:r>
              <w:rPr/>
              <w:t>​</w:t>
            </w:r>
          </w:p>
        </w:tc>
        <w:tc>
          <w:tcPr>
            <w:tcW w:w="240"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r>
      <w:tr>
        <w:trPr/>
        <w:tc>
          <w:tcPr>
            <w:tcW w:w="13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Foreign currency translation adjustments and revaluations, net of tax</w:t>
            </w:r>
          </w:p>
        </w:tc>
        <w:tc>
          <w:tcPr>
            <w:tcW w:w="1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490"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49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29,734</w:t>
            </w:r>
          </w:p>
        </w:tc>
        <w:tc>
          <w:tcPr>
            <w:tcW w:w="2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29,734</w:t>
            </w:r>
          </w:p>
        </w:tc>
      </w:tr>
      <w:tr>
        <w:trPr/>
        <w:tc>
          <w:tcPr>
            <w:tcW w:w="13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w:t>
            </w:r>
          </w:p>
        </w:tc>
        <w:tc>
          <w:tcPr>
            <w:tcW w:w="146" w:type="dxa"/>
            <w:tcBorders/>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9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9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right"/>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(961)</w:t>
            </w:r>
          </w:p>
        </w:tc>
        <w:tc>
          <w:tcPr>
            <w:tcW w:w="226" w:type="dxa"/>
            <w:tcBorders/>
            <w:vAlign w:val="center"/>
          </w:tcPr>
          <w:p>
            <w:pPr>
              <w:pStyle w:val="TableContents"/>
              <w:bidi w:val="0"/>
              <w:spacing w:before="0" w:after="0"/>
              <w:ind w:left="0" w:right="0" w:hanging="0"/>
              <w:jc w:val="left"/>
              <w:rPr/>
            </w:pPr>
            <w:r>
              <w:rPr/>
              <w:t>​</w:t>
            </w:r>
          </w:p>
        </w:tc>
        <w:tc>
          <w:tcPr>
            <w:tcW w:w="28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(961)</w:t>
            </w:r>
          </w:p>
        </w:tc>
      </w:tr>
      <w:tr>
        <w:trPr/>
        <w:tc>
          <w:tcPr>
            <w:tcW w:w="13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June 30, 2025</w:t>
            </w:r>
          </w:p>
        </w:tc>
        <w:tc>
          <w:tcPr>
            <w:tcW w:w="146" w:type="dxa"/>
            <w:tcBorders/>
            <w:shd w:fill="CCEEFF" w:val="clear"/>
            <w:vAlign w:val="center"/>
          </w:tcPr>
          <w:p>
            <w:pPr>
              <w:pStyle w:val="TableContents"/>
              <w:bidi w:val="0"/>
              <w:spacing w:before="0" w:after="0"/>
              <w:ind w:left="0" w:right="0" w:hanging="0"/>
              <w:jc w:val="left"/>
              <w:rPr/>
            </w:pPr>
            <w:r>
              <w:rPr/>
              <w:t> </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77,242</w:t>
            </w:r>
          </w:p>
        </w:tc>
        <w:tc>
          <w:tcPr>
            <w:tcW w:w="226" w:type="dxa"/>
            <w:tcBorders/>
            <w:shd w:fill="CCEEFF" w:val="clear"/>
            <w:vAlign w:val="center"/>
          </w:tcPr>
          <w:p>
            <w:pPr>
              <w:pStyle w:val="TableContents"/>
              <w:bidi w:val="0"/>
              <w:spacing w:before="0" w:after="0"/>
              <w:ind w:left="0" w:right="0" w:hanging="0"/>
              <w:jc w:val="left"/>
              <w:rPr/>
            </w:pPr>
            <w:r>
              <w:rPr/>
              <w:t>​</w:t>
            </w:r>
          </w:p>
        </w:tc>
        <w:tc>
          <w:tcPr>
            <w:tcW w:w="2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w:t>
            </w:r>
          </w:p>
        </w:tc>
        <w:tc>
          <w:tcPr>
            <w:tcW w:w="226" w:type="dxa"/>
            <w:tcBorders/>
            <w:shd w:fill="CCEEFF" w:val="clear"/>
            <w:vAlign w:val="center"/>
          </w:tcPr>
          <w:p>
            <w:pPr>
              <w:pStyle w:val="TableContents"/>
              <w:bidi w:val="0"/>
              <w:spacing w:before="0" w:after="0"/>
              <w:ind w:left="0" w:right="0" w:hanging="0"/>
              <w:jc w:val="left"/>
              <w:rPr/>
            </w:pPr>
            <w:r>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82,156</w:t>
            </w:r>
          </w:p>
        </w:tc>
        <w:tc>
          <w:tcPr>
            <w:tcW w:w="226" w:type="dxa"/>
            <w:tcBorders/>
            <w:shd w:fill="CCEEFF" w:val="clear"/>
            <w:vAlign w:val="center"/>
          </w:tcPr>
          <w:p>
            <w:pPr>
              <w:pStyle w:val="TableContents"/>
              <w:bidi w:val="0"/>
              <w:spacing w:before="0" w:after="0"/>
              <w:ind w:left="0" w:right="0" w:hanging="0"/>
              <w:jc w:val="right"/>
              <w:rPr/>
            </w:pPr>
            <w:r>
              <w:rPr/>
              <w:t>​</w:t>
            </w:r>
          </w:p>
        </w:tc>
        <w:tc>
          <w:tcPr>
            <w:tcW w:w="2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w:t>
            </w:r>
          </w:p>
        </w:tc>
        <w:tc>
          <w:tcPr>
            <w:tcW w:w="109" w:type="dxa"/>
            <w:tcBorders/>
            <w:shd w:fill="CCEEFF" w:val="clear"/>
            <w:vAlign w:val="center"/>
          </w:tcPr>
          <w:p>
            <w:pPr>
              <w:pStyle w:val="TableContents"/>
              <w:bidi w:val="0"/>
              <w:spacing w:before="0" w:after="0"/>
              <w:ind w:left="0" w:right="0" w:hanging="0"/>
              <w:jc w:val="right"/>
              <w:rPr/>
            </w:pPr>
            <w:r>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292,078</w:t>
            </w:r>
          </w:p>
        </w:tc>
        <w:tc>
          <w:tcPr>
            <w:tcW w:w="226" w:type="dxa"/>
            <w:tcBorders/>
            <w:shd w:fill="CCEEFF" w:val="clear"/>
            <w:vAlign w:val="center"/>
          </w:tcPr>
          <w:p>
            <w:pPr>
              <w:pStyle w:val="TableContents"/>
              <w:bidi w:val="0"/>
              <w:spacing w:before="0" w:after="0"/>
              <w:ind w:left="0" w:right="0" w:hanging="0"/>
              <w:jc w:val="right"/>
              <w:rPr/>
            </w:pPr>
            <w:r>
              <w:rPr/>
              <w:t>​</w:t>
            </w:r>
          </w:p>
        </w:tc>
        <w:tc>
          <w:tcPr>
            <w:tcW w:w="24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(43,146)</w:t>
            </w:r>
          </w:p>
        </w:tc>
        <w:tc>
          <w:tcPr>
            <w:tcW w:w="226" w:type="dxa"/>
            <w:tcBorders/>
            <w:shd w:fill="CCEEFF" w:val="clear"/>
            <w:vAlign w:val="center"/>
          </w:tcPr>
          <w:p>
            <w:pPr>
              <w:pStyle w:val="TableContents"/>
              <w:bidi w:val="0"/>
              <w:spacing w:before="0" w:after="0"/>
              <w:ind w:left="0" w:right="0" w:hanging="0"/>
              <w:jc w:val="left"/>
              <w:rPr/>
            </w:pPr>
            <w:r>
              <w:rPr/>
              <w:t>​</w:t>
            </w:r>
          </w:p>
        </w:tc>
        <w:tc>
          <w:tcPr>
            <w:tcW w:w="28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(1,049)</w:t>
            </w:r>
          </w:p>
        </w:tc>
        <w:tc>
          <w:tcPr>
            <w:tcW w:w="226" w:type="dxa"/>
            <w:tcBorders/>
            <w:shd w:fill="CCEEFF" w:val="clear"/>
            <w:vAlign w:val="center"/>
          </w:tcPr>
          <w:p>
            <w:pPr>
              <w:pStyle w:val="TableContents"/>
              <w:bidi w:val="0"/>
              <w:spacing w:before="0" w:after="0"/>
              <w:ind w:left="0" w:right="0" w:hanging="0"/>
              <w:jc w:val="left"/>
              <w:rPr/>
            </w:pPr>
            <w:r>
              <w:rPr/>
              <w:t>​</w:t>
            </w:r>
          </w:p>
        </w:tc>
        <w:tc>
          <w:tcPr>
            <w:tcW w:w="2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6" w:type="dxa"/>
            <w:tcBorders>
              <w:bottom w:val="double" w:sz="6" w:space="0" w:color="000000"/>
            </w:tcBorders>
            <w:shd w:fill="CCEEFF" w:val="clear"/>
            <w:tcMar>
              <w:bottom w:w="28" w:type="dxa"/>
            </w:tcMar>
            <w:vAlign w:val="center"/>
          </w:tcPr>
          <w:p>
            <w:pPr>
              <w:pStyle w:val="TableContents"/>
              <w:bidi w:val="0"/>
              <w:spacing w:before="0" w:after="0"/>
              <w:ind w:left="0" w:right="50" w:hanging="0"/>
              <w:jc w:val="right"/>
              <w:rPr>
                <w:rFonts w:ascii="Times New Roman;Times;serif" w:hAnsi="Times New Roman;Times;serif"/>
                <w:sz w:val="16"/>
              </w:rPr>
            </w:pPr>
            <w:r>
              <w:rPr>
                <w:rFonts w:ascii="Times New Roman;Times;serif" w:hAnsi="Times New Roman;Times;serif"/>
                <w:sz w:val="16"/>
              </w:rPr>
              <w:t>248,042</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16"/>
        </w:rPr>
      </w:pPr>
      <w:bookmarkStart w:id="1103" w:name="_dfb838e6_3356_4489_a8cd_f10bd35ce8a2"/>
      <w:bookmarkEnd w:id="1103"/>
      <w:r>
        <w:rPr>
          <w:rFonts w:ascii="Times New Roman;Times;serif" w:hAnsi="Times New Roman;Times;serif"/>
          <w:b/>
          <w:sz w:val="16"/>
        </w:rPr>
        <w:t>Vertex, Inc. and Subsidiaries</w:t>
      </w:r>
    </w:p>
    <w:p>
      <w:pPr>
        <w:pStyle w:val="TextBody"/>
        <w:bidi w:val="0"/>
        <w:spacing w:before="0" w:after="0"/>
        <w:ind w:left="0" w:right="0" w:hanging="0"/>
        <w:jc w:val="left"/>
        <w:rPr>
          <w:rFonts w:ascii="Times New Roman;Times;serif" w:hAnsi="Times New Roman;Times;serif"/>
          <w:b/>
          <w:sz w:val="16"/>
        </w:rPr>
      </w:pPr>
      <w:bookmarkStart w:id="1104" w:name="CashFlows"/>
      <w:bookmarkEnd w:id="1104"/>
      <w:r>
        <w:rPr>
          <w:rFonts w:ascii="Times New Roman;Times;serif" w:hAnsi="Times New Roman;Times;serif"/>
          <w:b/>
          <w:sz w:val="16"/>
        </w:rPr>
        <w:t>Condensed Consolidated Statements of Cash Flows</w:t>
      </w:r>
    </w:p>
    <w:p>
      <w:pPr>
        <w:pStyle w:val="TextBody"/>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For the six months ended June 30, 2026 and 2025 (unaudited)</w:t>
      </w:r>
    </w:p>
    <w:p>
      <w:pPr>
        <w:pStyle w:val="TextBody"/>
        <w:pBdr>
          <w:bottom w:val="single" w:sz="2" w:space="1" w:color="000000"/>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(Amounts in thousands)</w:t>
      </w:r>
    </w:p>
    <w:p>
      <w:pPr>
        <w:pStyle w:val="Normal"/>
        <w:bidi w:val="0"/>
        <w:spacing w:before="0" w:after="0"/>
        <w:jc w:val="left"/>
        <w:rPr>
          <w:sz w:val="4"/>
          <w:szCs w:val="4"/>
        </w:rPr>
      </w:pPr>
      <w:r>
        <w:rPr>
          <w:sz w:val="4"/>
          <w:szCs w:val="4"/>
        </w:rPr>
      </w:r>
      <w:bookmarkStart w:id="1105" w:name="Tc_zGeJP7EESEKPCo3lSaY12A_52_4"/>
      <w:bookmarkStart w:id="1106" w:name="Tc_pzXS7eIZxEilBo3aS2ptdQ_52_1"/>
      <w:bookmarkStart w:id="1107" w:name="Tc_uLPgSN5V30KX3K_N4fzlag_52_0"/>
      <w:bookmarkStart w:id="1108" w:name="Tc_HXytvCJzuUKXUjbbgMmxNQ_51_0"/>
      <w:bookmarkStart w:id="1109" w:name="Tc_lRY8tc-5wk2ifb6Pn_P63w_50_4"/>
      <w:bookmarkStart w:id="1110" w:name="Tc_3j80VclQS0yGp0t1hnNhEQ_50_1"/>
      <w:bookmarkStart w:id="1111" w:name="Tc_W8pJhhFtZEa4aoqZV8R1Vg_50_0"/>
      <w:bookmarkStart w:id="1112" w:name="Tc_W6_VIgXMnkWye9PjsAAvXw_49_0"/>
      <w:bookmarkStart w:id="1113" w:name="Tc_CXgG6QBQFEWPG6b4dYeOzw_48_4"/>
      <w:bookmarkStart w:id="1114" w:name="Tc_nHkPNNf5-UWAclXAkSTfKQ_48_1"/>
      <w:bookmarkStart w:id="1115" w:name="Tc_obyzkGtGnUmW5VT6_qr2pg_48_0"/>
      <w:bookmarkStart w:id="1116" w:name="Tc_EqKgu4A0b0S7WUXwTaa0mg_47_0"/>
      <w:bookmarkStart w:id="1117" w:name="Tc_X9w2XJCcMkyGcsPttlHiog_46_0"/>
      <w:bookmarkStart w:id="1118" w:name="Tc_EtaglPH8ck6u9RGPhFgyJw_45_0"/>
      <w:bookmarkStart w:id="1119" w:name="Tc_iUaD9vEYhECzZV6812UIPQ_44_0"/>
      <w:bookmarkStart w:id="1120" w:name="Tc_W3iFOzECzUqUVhQI7hyWcg_43_0"/>
      <w:bookmarkStart w:id="1121" w:name="Tc_eRjAchSGi0iYAwnPuqSteA_42_5"/>
      <w:bookmarkStart w:id="1122" w:name="Tc_sJyzxGt6ZkeUhXQj3TncHQ_42_0"/>
      <w:bookmarkStart w:id="1123" w:name="Tc_iKlOK_ixVEG7tDpDrHvfkg_41_0"/>
      <w:bookmarkStart w:id="1124" w:name="Tc_vxN2mYgK9kafDPHM-S5-2g_40_0"/>
      <w:bookmarkStart w:id="1125" w:name="Tc_eOgsyXgPXUuGxyEesAlgfQ_39_0"/>
      <w:bookmarkStart w:id="1126" w:name="Tc_Sa4-27xsrkK4UK-gr_rzWw_38_5"/>
      <w:bookmarkStart w:id="1127" w:name="Tc_Q5Qy5GKYqkyOv46Gy7RSsg_38_0"/>
      <w:bookmarkStart w:id="1128" w:name="Tc_viSAo324vkqNlYQoo-eafQ_37_0"/>
      <w:bookmarkStart w:id="1129" w:name="Tc_G-wkOpERnU6_LCFCD_Mvbg_36_0"/>
      <w:bookmarkStart w:id="1130" w:name="Tc_ahduVjyMG0S87dEaKFWyNw_35_0"/>
      <w:bookmarkStart w:id="1131" w:name="Tc_gZeSPjH6E0O6xQfgTaGAyg_34_2"/>
      <w:bookmarkStart w:id="1132" w:name="Tc_lGTTJ0gDrEOAeZam0HjPzw_34_0"/>
      <w:bookmarkStart w:id="1133" w:name="Tc_0MrY2nL9XUitKAGQQJYmRw_33_2"/>
      <w:bookmarkStart w:id="1134" w:name="Tc_yQAdj5DH1UKIUiA1vnrrkw_33_0"/>
      <w:bookmarkStart w:id="1135" w:name="Tc_0ZG1dl14MEKMs0omzLmTvQ_32_0"/>
      <w:bookmarkStart w:id="1136" w:name="Tc_Gq8bdPR_AUuhtTwKznjvmA_31_0"/>
      <w:bookmarkStart w:id="1137" w:name="Tc_ghevOYYrlkieHR2J8F3RZQ_30_2"/>
      <w:bookmarkStart w:id="1138" w:name="Tc_ILucG4BN90eMNGwPfmLrzg_30_0"/>
      <w:bookmarkStart w:id="1139" w:name="Tc_PsakK2rl3E-zS3puaNxqVg_29_5"/>
      <w:bookmarkStart w:id="1140" w:name="Tc_ZekLWZehCE2qB7RWvWKBdQ_29_0"/>
      <w:bookmarkStart w:id="1141" w:name="Tc_fSBTdRSv4E6jFxfAydRxYg_28_0"/>
      <w:bookmarkStart w:id="1142" w:name="Tc__inhzR3fQkSSOIFrnBXRaQ_27_0"/>
      <w:bookmarkStart w:id="1143" w:name="Tc_mqe4hEcGOUOn-c_3V40UIg_26_0"/>
      <w:bookmarkStart w:id="1144" w:name="Tc_V-5gLg0SpUS3J1u6ZMAqyw_25_2"/>
      <w:bookmarkStart w:id="1145" w:name="Tc_HO4MCBRMYEC7PxpHXs0y6A_25_0"/>
      <w:bookmarkStart w:id="1146" w:name="Tc_7t622A55wkCAR9hbKmvKfg_24_0"/>
      <w:bookmarkStart w:id="1147" w:name="Tc_6Cb1O2Yxp0q9yOMYkKFOVQ_23_0"/>
      <w:bookmarkStart w:id="1148" w:name="Tc_Gh1oauZoHUmgARFjJVxyPA_22_0"/>
      <w:bookmarkStart w:id="1149" w:name="Tc_nCjxe5cfBEub9rn2rFt9uw_21_0"/>
      <w:bookmarkStart w:id="1150" w:name="Tc_gadQZNL-ek6_tEeGmkjuLQ_20_0"/>
      <w:bookmarkStart w:id="1151" w:name="Tc_wt15Vn3jkUGk7jvzfdUCAQ_19_0"/>
      <w:bookmarkStart w:id="1152" w:name="Tc_JqhhL_mKW0yJ3QsFok1iqA_18_0"/>
      <w:bookmarkStart w:id="1153" w:name="Tc_BTgebniDYUmsi9Es9-3RTA_17_0"/>
      <w:bookmarkStart w:id="1154" w:name="Tc_2j9PEgEH0ES4QDy5Vd3CzA_16_0"/>
      <w:bookmarkStart w:id="1155" w:name="Tc_WvWGBJ_nxUGbsQR-MvXZZA_15_0"/>
      <w:bookmarkStart w:id="1156" w:name="Tc_CvygDzBijEa07EfS2GaNNg_14_0"/>
      <w:bookmarkStart w:id="1157" w:name="Tc_pXI4B-dzL0CbLMYBcx4-Yg_13_0"/>
      <w:bookmarkStart w:id="1158" w:name="Tc_WYtZKLFVSUWZD1a940h-nA_12_0"/>
      <w:bookmarkStart w:id="1159" w:name="Tc_oKDnvN1GSkGfeXNHKSZG_Q_11_0"/>
      <w:bookmarkStart w:id="1160" w:name="Tc_8ynxRv4KSUKnC02tEK1g0w_10_0"/>
      <w:bookmarkStart w:id="1161" w:name="Tc_j2NEsM6kXkyZ7KXeAX2RPg_9_0"/>
      <w:bookmarkStart w:id="1162" w:name="Tc_TkmCiM8Puk6U1KEO9zebuw_8_0"/>
      <w:bookmarkStart w:id="1163" w:name="Tc_5hQ4HLLXt0y9tZnjtbvfqw_7_0"/>
      <w:bookmarkStart w:id="1164" w:name="Tc_iknjFHQ2lE6fkssNAhyAbA_6_0"/>
      <w:bookmarkStart w:id="1165" w:name="Tc_oe3P-bx6cUaAvMJ9G9ZgUA_5_4"/>
      <w:bookmarkStart w:id="1166" w:name="Tc_s0EKPi6pfke9Q2uGaNXeGg_5_1"/>
      <w:bookmarkStart w:id="1167" w:name="Tc_EEfQ7jQPHkyCquxrpMxzpQ_5_0"/>
      <w:bookmarkStart w:id="1168" w:name="Tc_hnydC70SmEePlyK4PKmDWQ_4_0"/>
      <w:bookmarkStart w:id="1169" w:name="Tc_vJzfLn9gPE6aRZXLqRJVtw_3_1"/>
      <w:bookmarkStart w:id="1170" w:name="Tc_YC694wI6xUmK4InD5z-wAw_2_5"/>
      <w:bookmarkStart w:id="1171" w:name="Tc_RZSADH0qtUOX-HjBKHKT0A_2_1"/>
      <w:bookmarkStart w:id="1172" w:name="Tc_Q1O2uph93EGi6cqi5W5q3w_1_1"/>
      <w:bookmarkStart w:id="1173" w:name="_d23708cc_07e8_43bc_9d98_00249e25ce80"/>
      <w:bookmarkStart w:id="1174" w:name="Tc_zGeJP7EESEKPCo3lSaY12A_52_4"/>
      <w:bookmarkStart w:id="1175" w:name="Tc_pzXS7eIZxEilBo3aS2ptdQ_52_1"/>
      <w:bookmarkStart w:id="1176" w:name="Tc_uLPgSN5V30KX3K_N4fzlag_52_0"/>
      <w:bookmarkStart w:id="1177" w:name="Tc_HXytvCJzuUKXUjbbgMmxNQ_51_0"/>
      <w:bookmarkStart w:id="1178" w:name="Tc_lRY8tc-5wk2ifb6Pn_P63w_50_4"/>
      <w:bookmarkStart w:id="1179" w:name="Tc_3j80VclQS0yGp0t1hnNhEQ_50_1"/>
      <w:bookmarkStart w:id="1180" w:name="Tc_W8pJhhFtZEa4aoqZV8R1Vg_50_0"/>
      <w:bookmarkStart w:id="1181" w:name="Tc_W6_VIgXMnkWye9PjsAAvXw_49_0"/>
      <w:bookmarkStart w:id="1182" w:name="Tc_CXgG6QBQFEWPG6b4dYeOzw_48_4"/>
      <w:bookmarkStart w:id="1183" w:name="Tc_nHkPNNf5-UWAclXAkSTfKQ_48_1"/>
      <w:bookmarkStart w:id="1184" w:name="Tc_obyzkGtGnUmW5VT6_qr2pg_48_0"/>
      <w:bookmarkStart w:id="1185" w:name="Tc_EqKgu4A0b0S7WUXwTaa0mg_47_0"/>
      <w:bookmarkStart w:id="1186" w:name="Tc_X9w2XJCcMkyGcsPttlHiog_46_0"/>
      <w:bookmarkStart w:id="1187" w:name="Tc_EtaglPH8ck6u9RGPhFgyJw_45_0"/>
      <w:bookmarkStart w:id="1188" w:name="Tc_iUaD9vEYhECzZV6812UIPQ_44_0"/>
      <w:bookmarkStart w:id="1189" w:name="Tc_W3iFOzECzUqUVhQI7hyWcg_43_0"/>
      <w:bookmarkStart w:id="1190" w:name="Tc_eRjAchSGi0iYAwnPuqSteA_42_5"/>
      <w:bookmarkStart w:id="1191" w:name="Tc_sJyzxGt6ZkeUhXQj3TncHQ_42_0"/>
      <w:bookmarkStart w:id="1192" w:name="Tc_iKlOK_ixVEG7tDpDrHvfkg_41_0"/>
      <w:bookmarkStart w:id="1193" w:name="Tc_vxN2mYgK9kafDPHM-S5-2g_40_0"/>
      <w:bookmarkStart w:id="1194" w:name="Tc_eOgsyXgPXUuGxyEesAlgfQ_39_0"/>
      <w:bookmarkStart w:id="1195" w:name="Tc_Sa4-27xsrkK4UK-gr_rzWw_38_5"/>
      <w:bookmarkStart w:id="1196" w:name="Tc_Q5Qy5GKYqkyOv46Gy7RSsg_38_0"/>
      <w:bookmarkStart w:id="1197" w:name="Tc_viSAo324vkqNlYQoo-eafQ_37_0"/>
      <w:bookmarkStart w:id="1198" w:name="Tc_G-wkOpERnU6_LCFCD_Mvbg_36_0"/>
      <w:bookmarkStart w:id="1199" w:name="Tc_ahduVjyMG0S87dEaKFWyNw_35_0"/>
      <w:bookmarkStart w:id="1200" w:name="Tc_gZeSPjH6E0O6xQfgTaGAyg_34_2"/>
      <w:bookmarkStart w:id="1201" w:name="Tc_lGTTJ0gDrEOAeZam0HjPzw_34_0"/>
      <w:bookmarkStart w:id="1202" w:name="Tc_0MrY2nL9XUitKAGQQJYmRw_33_2"/>
      <w:bookmarkStart w:id="1203" w:name="Tc_yQAdj5DH1UKIUiA1vnrrkw_33_0"/>
      <w:bookmarkStart w:id="1204" w:name="Tc_0ZG1dl14MEKMs0omzLmTvQ_32_0"/>
      <w:bookmarkStart w:id="1205" w:name="Tc_Gq8bdPR_AUuhtTwKznjvmA_31_0"/>
      <w:bookmarkStart w:id="1206" w:name="Tc_ghevOYYrlkieHR2J8F3RZQ_30_2"/>
      <w:bookmarkStart w:id="1207" w:name="Tc_ILucG4BN90eMNGwPfmLrzg_30_0"/>
      <w:bookmarkStart w:id="1208" w:name="Tc_PsakK2rl3E-zS3puaNxqVg_29_5"/>
      <w:bookmarkStart w:id="1209" w:name="Tc_ZekLWZehCE2qB7RWvWKBdQ_29_0"/>
      <w:bookmarkStart w:id="1210" w:name="Tc_fSBTdRSv4E6jFxfAydRxYg_28_0"/>
      <w:bookmarkStart w:id="1211" w:name="Tc__inhzR3fQkSSOIFrnBXRaQ_27_0"/>
      <w:bookmarkStart w:id="1212" w:name="Tc_mqe4hEcGOUOn-c_3V40UIg_26_0"/>
      <w:bookmarkStart w:id="1213" w:name="Tc_V-5gLg0SpUS3J1u6ZMAqyw_25_2"/>
      <w:bookmarkStart w:id="1214" w:name="Tc_HO4MCBRMYEC7PxpHXs0y6A_25_0"/>
      <w:bookmarkStart w:id="1215" w:name="Tc_7t622A55wkCAR9hbKmvKfg_24_0"/>
      <w:bookmarkStart w:id="1216" w:name="Tc_6Cb1O2Yxp0q9yOMYkKFOVQ_23_0"/>
      <w:bookmarkStart w:id="1217" w:name="Tc_Gh1oauZoHUmgARFjJVxyPA_22_0"/>
      <w:bookmarkStart w:id="1218" w:name="Tc_nCjxe5cfBEub9rn2rFt9uw_21_0"/>
      <w:bookmarkStart w:id="1219" w:name="Tc_gadQZNL-ek6_tEeGmkjuLQ_20_0"/>
      <w:bookmarkStart w:id="1220" w:name="Tc_wt15Vn3jkUGk7jvzfdUCAQ_19_0"/>
      <w:bookmarkStart w:id="1221" w:name="Tc_JqhhL_mKW0yJ3QsFok1iqA_18_0"/>
      <w:bookmarkStart w:id="1222" w:name="Tc_BTgebniDYUmsi9Es9-3RTA_17_0"/>
      <w:bookmarkStart w:id="1223" w:name="Tc_2j9PEgEH0ES4QDy5Vd3CzA_16_0"/>
      <w:bookmarkStart w:id="1224" w:name="Tc_WvWGBJ_nxUGbsQR-MvXZZA_15_0"/>
      <w:bookmarkStart w:id="1225" w:name="Tc_CvygDzBijEa07EfS2GaNNg_14_0"/>
      <w:bookmarkStart w:id="1226" w:name="Tc_pXI4B-dzL0CbLMYBcx4-Yg_13_0"/>
      <w:bookmarkStart w:id="1227" w:name="Tc_WYtZKLFVSUWZD1a940h-nA_12_0"/>
      <w:bookmarkStart w:id="1228" w:name="Tc_oKDnvN1GSkGfeXNHKSZG_Q_11_0"/>
      <w:bookmarkStart w:id="1229" w:name="Tc_8ynxRv4KSUKnC02tEK1g0w_10_0"/>
      <w:bookmarkStart w:id="1230" w:name="Tc_j2NEsM6kXkyZ7KXeAX2RPg_9_0"/>
      <w:bookmarkStart w:id="1231" w:name="Tc_TkmCiM8Puk6U1KEO9zebuw_8_0"/>
      <w:bookmarkStart w:id="1232" w:name="Tc_5hQ4HLLXt0y9tZnjtbvfqw_7_0"/>
      <w:bookmarkStart w:id="1233" w:name="Tc_iknjFHQ2lE6fkssNAhyAbA_6_0"/>
      <w:bookmarkStart w:id="1234" w:name="Tc_oe3P-bx6cUaAvMJ9G9ZgUA_5_4"/>
      <w:bookmarkStart w:id="1235" w:name="Tc_s0EKPi6pfke9Q2uGaNXeGg_5_1"/>
      <w:bookmarkStart w:id="1236" w:name="Tc_EEfQ7jQPHkyCquxrpMxzpQ_5_0"/>
      <w:bookmarkStart w:id="1237" w:name="Tc_hnydC70SmEePlyK4PKmDWQ_4_0"/>
      <w:bookmarkStart w:id="1238" w:name="Tc_vJzfLn9gPE6aRZXLqRJVtw_3_1"/>
      <w:bookmarkStart w:id="1239" w:name="Tc_YC694wI6xUmK4InD5z-wAw_2_5"/>
      <w:bookmarkStart w:id="1240" w:name="Tc_RZSADH0qtUOX-HjBKHKT0A_2_1"/>
      <w:bookmarkStart w:id="1241" w:name="Tc_Q1O2uph93EGi6cqi5W5q3w_1_1"/>
      <w:bookmarkStart w:id="1242" w:name="_d23708cc_07e8_43bc_9d98_00249e25ce80"/>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p>
    <w:tbl>
      <w:tblPr>
        <w:tblW w:w="10205" w:type="dxa"/>
        <w:jc w:val="left"/>
        <w:tblInd w:w="0" w:type="dxa"/>
        <w:tblLayout w:type="fixed"/>
        <w:tblCellMar>
          <w:top w:w="0" w:type="dxa"/>
          <w:left w:w="0" w:type="dxa"/>
          <w:bottom w:w="0" w:type="dxa"/>
          <w:right w:w="0" w:type="dxa"/>
        </w:tblCellMar>
      </w:tblPr>
      <w:tblGrid>
        <w:gridCol w:w="7984"/>
        <w:gridCol w:w="196"/>
        <w:gridCol w:w="718"/>
        <w:gridCol w:w="346"/>
        <w:gridCol w:w="196"/>
        <w:gridCol w:w="765"/>
      </w:tblGrid>
      <w:tr>
        <w:trPr/>
        <w:tc>
          <w:tcPr>
            <w:tcW w:w="79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5069840" cy="175260"/>
                      <wp:effectExtent l="0" t="0" r="0" b="0"/>
                      <wp:wrapNone/>
                      <wp:docPr id="48" name="Frame48"/>
                      <a:graphic xmlns:a="http://schemas.openxmlformats.org/drawingml/2006/main">
                        <a:graphicData uri="http://schemas.microsoft.com/office/word/2010/wordprocessingShape">
                          <wps:wsp>
                            <wps:cNvSpPr txBox="1"/>
                            <wps:spPr>
                              <a:xfrm>
                                <a:off x="0" y="0"/>
                                <a:ext cx="50698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24460" cy="175260"/>
                      <wp:effectExtent l="0" t="0" r="0" b="0"/>
                      <wp:wrapNone/>
                      <wp:docPr id="49" name="Frame4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455930" cy="175260"/>
                      <wp:effectExtent l="0" t="0" r="0" b="0"/>
                      <wp:wrapNone/>
                      <wp:docPr id="50" name="Frame50"/>
                      <a:graphic xmlns:a="http://schemas.openxmlformats.org/drawingml/2006/main">
                        <a:graphicData uri="http://schemas.microsoft.com/office/word/2010/wordprocessingShape">
                          <wps:wsp>
                            <wps:cNvSpPr txBox="1"/>
                            <wps:spPr>
                              <a:xfrm>
                                <a:off x="0" y="0"/>
                                <a:ext cx="455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19710" cy="175260"/>
                      <wp:effectExtent l="0" t="0" r="0" b="0"/>
                      <wp:wrapNone/>
                      <wp:docPr id="51" name="Frame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24460" cy="175260"/>
                      <wp:effectExtent l="0" t="0" r="0" b="0"/>
                      <wp:wrapNone/>
                      <wp:docPr id="52" name="Frame5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485775" cy="175260"/>
                      <wp:effectExtent l="0" t="0" r="0" b="0"/>
                      <wp:wrapNone/>
                      <wp:docPr id="53" name="Frame53"/>
                      <a:graphic xmlns:a="http://schemas.openxmlformats.org/drawingml/2006/main">
                        <a:graphicData uri="http://schemas.microsoft.com/office/word/2010/wordprocessingShape">
                          <wps:wsp>
                            <wps:cNvSpPr txBox="1"/>
                            <wps:spPr>
                              <a:xfrm>
                                <a:off x="0" y="0"/>
                                <a:ext cx="4857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984" w:type="dxa"/>
            <w:tcBorders/>
            <w:vAlign w:val="center"/>
          </w:tcPr>
          <w:p>
            <w:pPr>
              <w:pStyle w:val="TableContents"/>
              <w:bidi w:val="0"/>
              <w:spacing w:before="0" w:after="1"/>
              <w:ind w:left="0" w:right="0" w:hanging="0"/>
              <w:jc w:val="left"/>
              <w:rPr/>
            </w:pPr>
            <w:r>
              <w:rPr/>
              <w:t>​</w:t>
            </w:r>
          </w:p>
        </w:tc>
        <w:tc>
          <w:tcPr>
            <w:tcW w:w="222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7984" w:type="dxa"/>
            <w:tcBorders/>
            <w:vAlign w:val="center"/>
          </w:tcPr>
          <w:p>
            <w:pPr>
              <w:pStyle w:val="TableContents"/>
              <w:bidi w:val="0"/>
              <w:spacing w:before="0" w:after="1"/>
              <w:ind w:left="0" w:right="0" w:hanging="0"/>
              <w:jc w:val="left"/>
              <w:rPr/>
            </w:pPr>
            <w:r>
              <w:rPr/>
              <w:t>​</w:t>
            </w:r>
          </w:p>
        </w:tc>
        <w:tc>
          <w:tcPr>
            <w:tcW w:w="91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76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0205" w:type="dxa"/>
            <w:gridSpan w:val="6"/>
            <w:tcBorders/>
            <w:vAlign w:val="center"/>
          </w:tcPr>
          <w:p>
            <w:pPr>
              <w:pStyle w:val="TableContents"/>
              <w:bidi w:val="0"/>
              <w:spacing w:before="0" w:after="283"/>
              <w:ind w:left="0" w:right="0" w:hanging="0"/>
              <w:jc w:val="left"/>
              <w:rPr>
                <w:sz w:val="4"/>
                <w:szCs w:val="4"/>
              </w:rPr>
            </w:pPr>
            <w:r>
              <w:rPr>
                <w:sz w:val="4"/>
                <w:szCs w:val="4"/>
              </w:rPr>
            </w:r>
          </w:p>
        </w:tc>
      </w:tr>
      <w:tr>
        <w:trPr/>
        <w:tc>
          <w:tcPr>
            <w:tcW w:w="7984" w:type="dxa"/>
            <w:tcBorders/>
            <w:vAlign w:val="center"/>
          </w:tcPr>
          <w:p>
            <w:pPr>
              <w:pStyle w:val="TableContents"/>
              <w:bidi w:val="0"/>
              <w:spacing w:before="0" w:after="1"/>
              <w:ind w:left="0" w:right="0" w:hanging="0"/>
              <w:jc w:val="left"/>
              <w:rPr/>
            </w:pPr>
            <w:r>
              <w:rPr/>
              <w:t>​</w:t>
            </w:r>
          </w:p>
        </w:tc>
        <w:tc>
          <w:tcPr>
            <w:tcW w:w="2221"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7984" w:type="dxa"/>
            <w:tcBorders/>
            <w:shd w:fill="CCEEFF" w:val="clear"/>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Cash flows from operating activities:</w:t>
            </w:r>
          </w:p>
        </w:tc>
        <w:tc>
          <w:tcPr>
            <w:tcW w:w="196" w:type="dxa"/>
            <w:tcBorders/>
            <w:shd w:fill="CCEEFF" w:val="clear"/>
            <w:vAlign w:val="center"/>
          </w:tcPr>
          <w:p>
            <w:pPr>
              <w:pStyle w:val="TableContents"/>
              <w:bidi w:val="0"/>
              <w:spacing w:before="0" w:after="1"/>
              <w:ind w:left="0" w:right="0" w:hanging="0"/>
              <w:jc w:val="left"/>
              <w:rPr/>
            </w:pPr>
            <w:r>
              <w:rPr/>
              <w:t>​</w:t>
            </w:r>
          </w:p>
        </w:tc>
        <w:tc>
          <w:tcPr>
            <w:tcW w:w="718"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765" w:type="dxa"/>
            <w:tcBorders/>
            <w:shd w:fill="CCEEFF" w:val="clear"/>
            <w:vAlign w:val="center"/>
          </w:tcPr>
          <w:p>
            <w:pPr>
              <w:pStyle w:val="TableContents"/>
              <w:bidi w:val="0"/>
              <w:spacing w:before="0" w:after="1"/>
              <w:ind w:left="0" w:right="0" w:hanging="0"/>
              <w:jc w:val="left"/>
              <w:rPr/>
            </w:pPr>
            <w:r>
              <w:rPr/>
              <w:t>​</w:t>
            </w:r>
          </w:p>
        </w:tc>
      </w:tr>
      <w:tr>
        <w:trPr/>
        <w:tc>
          <w:tcPr>
            <w:tcW w:w="798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6,533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6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10,169</w:t>
            </w:r>
          </w:p>
        </w:tc>
      </w:tr>
      <w:tr>
        <w:trPr/>
        <w:tc>
          <w:tcPr>
            <w:tcW w:w="798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Adjustments to reconcile net income to net cash provided by operating activities:</w:t>
            </w:r>
          </w:p>
        </w:tc>
        <w:tc>
          <w:tcPr>
            <w:tcW w:w="196" w:type="dxa"/>
            <w:tcBorders/>
            <w:shd w:fill="CCEEFF" w:val="clear"/>
            <w:vAlign w:val="center"/>
          </w:tcPr>
          <w:p>
            <w:pPr>
              <w:pStyle w:val="TableContents"/>
              <w:bidi w:val="0"/>
              <w:spacing w:before="0" w:after="1"/>
              <w:ind w:left="0" w:right="0" w:hanging="0"/>
              <w:jc w:val="left"/>
              <w:rPr/>
            </w:pPr>
            <w:r>
              <w:rPr/>
              <w:t> </w:t>
            </w:r>
          </w:p>
        </w:tc>
        <w:tc>
          <w:tcPr>
            <w:tcW w:w="71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65" w:type="dxa"/>
            <w:tcBorders/>
            <w:shd w:fill="CCEEFF" w:val="clear"/>
            <w:vAlign w:val="center"/>
          </w:tcPr>
          <w:p>
            <w:pPr>
              <w:pStyle w:val="TableContents"/>
              <w:bidi w:val="0"/>
              <w:spacing w:before="0" w:after="1"/>
              <w:ind w:left="0" w:right="0" w:hanging="0"/>
              <w:jc w:val="right"/>
              <w:rPr/>
            </w:pPr>
            <w:r>
              <w:rPr/>
              <w:t>​</w:t>
            </w:r>
          </w:p>
        </w:tc>
      </w:tr>
      <w:tr>
        <w:trPr/>
        <w:tc>
          <w:tcPr>
            <w:tcW w:w="798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196" w:type="dxa"/>
            <w:tcBorders/>
            <w:vAlign w:val="center"/>
          </w:tcPr>
          <w:p>
            <w:pPr>
              <w:pStyle w:val="TableContents"/>
              <w:bidi w:val="0"/>
              <w:spacing w:before="0" w:after="1"/>
              <w:ind w:left="0" w:right="0" w:hanging="0"/>
              <w:jc w:val="left"/>
              <w:rPr/>
            </w:pPr>
            <w:r>
              <w:rPr/>
              <w:t> </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56,177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6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45,694</w:t>
            </w:r>
          </w:p>
        </w:tc>
      </w:tr>
      <w:tr>
        <w:trPr/>
        <w:tc>
          <w:tcPr>
            <w:tcW w:w="798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Amortization of cloud computing implementation costs</w:t>
            </w:r>
          </w:p>
        </w:tc>
        <w:tc>
          <w:tcPr>
            <w:tcW w:w="196" w:type="dxa"/>
            <w:tcBorders/>
            <w:shd w:fill="CCEEFF" w:val="clear"/>
            <w:vAlign w:val="center"/>
          </w:tcPr>
          <w:p>
            <w:pPr>
              <w:pStyle w:val="TableContents"/>
              <w:bidi w:val="0"/>
              <w:spacing w:before="0" w:after="1"/>
              <w:ind w:left="0" w:right="0" w:hanging="0"/>
              <w:jc w:val="left"/>
              <w:rPr/>
            </w:pPr>
            <w:r>
              <w:rPr/>
              <w:t>​</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2,395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6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2,024</w:t>
            </w:r>
          </w:p>
        </w:tc>
      </w:tr>
      <w:tr>
        <w:trPr/>
        <w:tc>
          <w:tcPr>
            <w:tcW w:w="798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Provision for subscription cancellations and non-renewals</w:t>
            </w:r>
          </w:p>
        </w:tc>
        <w:tc>
          <w:tcPr>
            <w:tcW w:w="196" w:type="dxa"/>
            <w:tcBorders/>
            <w:vAlign w:val="center"/>
          </w:tcPr>
          <w:p>
            <w:pPr>
              <w:pStyle w:val="TableContents"/>
              <w:bidi w:val="0"/>
              <w:spacing w:before="0" w:after="1"/>
              <w:ind w:left="0" w:right="0" w:hanging="0"/>
              <w:jc w:val="left"/>
              <w:rPr/>
            </w:pPr>
            <w:r>
              <w:rPr/>
              <w:t> </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629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6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(136)</w:t>
            </w:r>
          </w:p>
        </w:tc>
      </w:tr>
      <w:tr>
        <w:trPr/>
        <w:tc>
          <w:tcPr>
            <w:tcW w:w="798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Amortization of deferred financing costs</w:t>
            </w:r>
          </w:p>
        </w:tc>
        <w:tc>
          <w:tcPr>
            <w:tcW w:w="196" w:type="dxa"/>
            <w:tcBorders/>
            <w:shd w:fill="CCEEFF" w:val="clear"/>
            <w:vAlign w:val="center"/>
          </w:tcPr>
          <w:p>
            <w:pPr>
              <w:pStyle w:val="TableContents"/>
              <w:bidi w:val="0"/>
              <w:spacing w:before="0" w:after="1"/>
              <w:ind w:left="0" w:right="0" w:hanging="0"/>
              <w:jc w:val="left"/>
              <w:rPr/>
            </w:pPr>
            <w:r>
              <w:rPr/>
              <w:t> </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1,361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6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1,361</w:t>
            </w:r>
          </w:p>
        </w:tc>
      </w:tr>
      <w:tr>
        <w:trPr/>
        <w:tc>
          <w:tcPr>
            <w:tcW w:w="798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Change in fair value of contingent consideration liabilities</w:t>
            </w:r>
          </w:p>
        </w:tc>
        <w:tc>
          <w:tcPr>
            <w:tcW w:w="196" w:type="dxa"/>
            <w:tcBorders/>
            <w:vAlign w:val="center"/>
          </w:tcPr>
          <w:p>
            <w:pPr>
              <w:pStyle w:val="TableContents"/>
              <w:bidi w:val="0"/>
              <w:spacing w:before="0" w:after="1"/>
              <w:ind w:left="0" w:right="0" w:hanging="0"/>
              <w:jc w:val="left"/>
              <w:rPr/>
            </w:pPr>
            <w:r>
              <w:rPr/>
              <w:t>​</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(5,838)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6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(12,200)</w:t>
            </w:r>
          </w:p>
        </w:tc>
      </w:tr>
      <w:tr>
        <w:trPr/>
        <w:tc>
          <w:tcPr>
            <w:tcW w:w="798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196" w:type="dxa"/>
            <w:tcBorders/>
            <w:shd w:fill="CCEEFF" w:val="clear"/>
            <w:vAlign w:val="center"/>
          </w:tcPr>
          <w:p>
            <w:pPr>
              <w:pStyle w:val="TableContents"/>
              <w:bidi w:val="0"/>
              <w:spacing w:before="0" w:after="1"/>
              <w:ind w:left="0" w:right="0" w:hanging="0"/>
              <w:jc w:val="left"/>
              <w:rPr/>
            </w:pPr>
            <w:r>
              <w:rPr/>
              <w:t> </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32,270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6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33,034</w:t>
            </w:r>
          </w:p>
        </w:tc>
      </w:tr>
      <w:tr>
        <w:trPr/>
        <w:tc>
          <w:tcPr>
            <w:tcW w:w="798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income taxes</w:t>
            </w:r>
          </w:p>
        </w:tc>
        <w:tc>
          <w:tcPr>
            <w:tcW w:w="196" w:type="dxa"/>
            <w:tcBorders/>
            <w:vAlign w:val="center"/>
          </w:tcPr>
          <w:p>
            <w:pPr>
              <w:pStyle w:val="TableContents"/>
              <w:bidi w:val="0"/>
              <w:spacing w:before="0" w:after="1"/>
              <w:ind w:left="0" w:right="0" w:hanging="0"/>
              <w:jc w:val="left"/>
              <w:rPr/>
            </w:pPr>
            <w:r>
              <w:rPr/>
              <w:t>​</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6,051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6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(1,641)</w:t>
            </w:r>
          </w:p>
        </w:tc>
      </w:tr>
      <w:tr>
        <w:trPr/>
        <w:tc>
          <w:tcPr>
            <w:tcW w:w="798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Non-cash operating lease costs</w:t>
            </w:r>
          </w:p>
        </w:tc>
        <w:tc>
          <w:tcPr>
            <w:tcW w:w="196" w:type="dxa"/>
            <w:tcBorders/>
            <w:shd w:fill="CCEEFF" w:val="clear"/>
            <w:vAlign w:val="center"/>
          </w:tcPr>
          <w:p>
            <w:pPr>
              <w:pStyle w:val="TableContents"/>
              <w:bidi w:val="0"/>
              <w:spacing w:before="0" w:after="1"/>
              <w:ind w:left="0" w:right="0" w:hanging="0"/>
              <w:jc w:val="left"/>
              <w:rPr/>
            </w:pPr>
            <w:r>
              <w:rPr/>
              <w:t>​</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2,226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6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1,595</w:t>
            </w:r>
          </w:p>
        </w:tc>
      </w:tr>
      <w:tr>
        <w:trPr/>
        <w:tc>
          <w:tcPr>
            <w:tcW w:w="798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w:t>
            </w:r>
          </w:p>
        </w:tc>
        <w:tc>
          <w:tcPr>
            <w:tcW w:w="196" w:type="dxa"/>
            <w:tcBorders/>
            <w:vAlign w:val="center"/>
          </w:tcPr>
          <w:p>
            <w:pPr>
              <w:pStyle w:val="TableContents"/>
              <w:bidi w:val="0"/>
              <w:spacing w:before="0" w:after="1"/>
              <w:ind w:left="0" w:right="0" w:hanging="0"/>
              <w:jc w:val="left"/>
              <w:rPr/>
            </w:pPr>
            <w:r>
              <w:rPr/>
              <w:t> </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6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w:t>
            </w:r>
          </w:p>
        </w:tc>
      </w:tr>
      <w:tr>
        <w:trPr/>
        <w:tc>
          <w:tcPr>
            <w:tcW w:w="798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Changes in operating assets and liabilities, net of the effects of business acquisition(s):</w:t>
            </w:r>
          </w:p>
        </w:tc>
        <w:tc>
          <w:tcPr>
            <w:tcW w:w="196" w:type="dxa"/>
            <w:tcBorders/>
            <w:shd w:fill="CCEEFF" w:val="clear"/>
            <w:vAlign w:val="center"/>
          </w:tcPr>
          <w:p>
            <w:pPr>
              <w:pStyle w:val="TableContents"/>
              <w:bidi w:val="0"/>
              <w:spacing w:before="0" w:after="1"/>
              <w:ind w:left="0" w:right="0" w:hanging="0"/>
              <w:jc w:val="left"/>
              <w:rPr/>
            </w:pPr>
            <w:r>
              <w:rPr/>
              <w:t> </w:t>
            </w:r>
          </w:p>
        </w:tc>
        <w:tc>
          <w:tcPr>
            <w:tcW w:w="71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65" w:type="dxa"/>
            <w:tcBorders/>
            <w:shd w:fill="CCEEFF" w:val="clear"/>
            <w:vAlign w:val="center"/>
          </w:tcPr>
          <w:p>
            <w:pPr>
              <w:pStyle w:val="TableContents"/>
              <w:bidi w:val="0"/>
              <w:spacing w:before="0" w:after="1"/>
              <w:ind w:left="0" w:right="0" w:hanging="0"/>
              <w:jc w:val="right"/>
              <w:rPr/>
            </w:pPr>
            <w:r>
              <w:rPr/>
              <w:t>​</w:t>
            </w:r>
          </w:p>
        </w:tc>
      </w:tr>
      <w:tr>
        <w:trPr/>
        <w:tc>
          <w:tcPr>
            <w:tcW w:w="798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receivable</w:t>
            </w:r>
          </w:p>
        </w:tc>
        <w:tc>
          <w:tcPr>
            <w:tcW w:w="196" w:type="dxa"/>
            <w:tcBorders/>
            <w:vAlign w:val="center"/>
          </w:tcPr>
          <w:p>
            <w:pPr>
              <w:pStyle w:val="TableContents"/>
              <w:bidi w:val="0"/>
              <w:spacing w:before="0" w:after="1"/>
              <w:ind w:left="0" w:right="0" w:hanging="0"/>
              <w:jc w:val="left"/>
              <w:rPr/>
            </w:pPr>
            <w:r>
              <w:rPr/>
              <w:t> </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29,887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6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22,320</w:t>
            </w:r>
          </w:p>
        </w:tc>
      </w:tr>
      <w:tr>
        <w:trPr/>
        <w:tc>
          <w:tcPr>
            <w:tcW w:w="798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Prepaid expenses and other current assets</w:t>
            </w:r>
          </w:p>
        </w:tc>
        <w:tc>
          <w:tcPr>
            <w:tcW w:w="196" w:type="dxa"/>
            <w:tcBorders/>
            <w:shd w:fill="CCEEFF" w:val="clear"/>
            <w:vAlign w:val="center"/>
          </w:tcPr>
          <w:p>
            <w:pPr>
              <w:pStyle w:val="TableContents"/>
              <w:bidi w:val="0"/>
              <w:spacing w:before="0" w:after="1"/>
              <w:ind w:left="0" w:right="0" w:hanging="0"/>
              <w:jc w:val="left"/>
              <w:rPr/>
            </w:pPr>
            <w:r>
              <w:rPr/>
              <w:t> </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(44,994)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6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(13,406)</w:t>
            </w:r>
          </w:p>
        </w:tc>
      </w:tr>
      <w:tr>
        <w:trPr/>
        <w:tc>
          <w:tcPr>
            <w:tcW w:w="798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commissions</w:t>
            </w:r>
          </w:p>
        </w:tc>
        <w:tc>
          <w:tcPr>
            <w:tcW w:w="196" w:type="dxa"/>
            <w:tcBorders/>
            <w:vAlign w:val="center"/>
          </w:tcPr>
          <w:p>
            <w:pPr>
              <w:pStyle w:val="TableContents"/>
              <w:bidi w:val="0"/>
              <w:spacing w:before="0" w:after="1"/>
              <w:ind w:left="0" w:right="0" w:hanging="0"/>
              <w:jc w:val="left"/>
              <w:rPr/>
            </w:pPr>
            <w:r>
              <w:rPr/>
              <w:t> </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2,741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6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(258)</w:t>
            </w:r>
          </w:p>
        </w:tc>
      </w:tr>
      <w:tr>
        <w:trPr/>
        <w:tc>
          <w:tcPr>
            <w:tcW w:w="798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196" w:type="dxa"/>
            <w:tcBorders/>
            <w:shd w:fill="CCEEFF" w:val="clear"/>
            <w:vAlign w:val="center"/>
          </w:tcPr>
          <w:p>
            <w:pPr>
              <w:pStyle w:val="TableContents"/>
              <w:bidi w:val="0"/>
              <w:spacing w:before="0" w:after="1"/>
              <w:ind w:left="0" w:right="0" w:hanging="0"/>
              <w:jc w:val="left"/>
              <w:rPr/>
            </w:pPr>
            <w:r>
              <w:rPr/>
              <w:t> </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6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(5,886)</w:t>
            </w:r>
          </w:p>
        </w:tc>
      </w:tr>
      <w:tr>
        <w:trPr/>
        <w:tc>
          <w:tcPr>
            <w:tcW w:w="798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Accrued expenses</w:t>
            </w:r>
          </w:p>
        </w:tc>
        <w:tc>
          <w:tcPr>
            <w:tcW w:w="196" w:type="dxa"/>
            <w:tcBorders/>
            <w:vAlign w:val="center"/>
          </w:tcPr>
          <w:p>
            <w:pPr>
              <w:pStyle w:val="TableContents"/>
              <w:bidi w:val="0"/>
              <w:spacing w:before="0" w:after="1"/>
              <w:ind w:left="0" w:right="0" w:hanging="0"/>
              <w:jc w:val="left"/>
              <w:rPr/>
            </w:pPr>
            <w:r>
              <w:rPr/>
              <w:t> </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(9,185)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6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6,446</w:t>
            </w:r>
          </w:p>
        </w:tc>
      </w:tr>
      <w:tr>
        <w:trPr/>
        <w:tc>
          <w:tcPr>
            <w:tcW w:w="798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Accrued and deferred compensation</w:t>
            </w:r>
          </w:p>
        </w:tc>
        <w:tc>
          <w:tcPr>
            <w:tcW w:w="196" w:type="dxa"/>
            <w:tcBorders/>
            <w:shd w:fill="CCEEFF" w:val="clear"/>
            <w:vAlign w:val="center"/>
          </w:tcPr>
          <w:p>
            <w:pPr>
              <w:pStyle w:val="TableContents"/>
              <w:bidi w:val="0"/>
              <w:spacing w:before="0" w:after="1"/>
              <w:ind w:left="0" w:right="0" w:hanging="0"/>
              <w:jc w:val="left"/>
              <w:rPr/>
            </w:pPr>
            <w:r>
              <w:rPr/>
              <w:t> </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(11,333)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6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(29,766)</w:t>
            </w:r>
          </w:p>
        </w:tc>
      </w:tr>
      <w:tr>
        <w:trPr/>
        <w:tc>
          <w:tcPr>
            <w:tcW w:w="798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revenue</w:t>
            </w:r>
          </w:p>
        </w:tc>
        <w:tc>
          <w:tcPr>
            <w:tcW w:w="196" w:type="dxa"/>
            <w:tcBorders/>
            <w:vAlign w:val="center"/>
          </w:tcPr>
          <w:p>
            <w:pPr>
              <w:pStyle w:val="TableContents"/>
              <w:bidi w:val="0"/>
              <w:spacing w:before="0" w:after="1"/>
              <w:ind w:left="0" w:right="0" w:hanging="0"/>
              <w:jc w:val="left"/>
              <w:rPr/>
            </w:pPr>
            <w:r>
              <w:rPr/>
              <w:t> </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(812)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6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2,374</w:t>
            </w:r>
          </w:p>
        </w:tc>
      </w:tr>
      <w:tr>
        <w:trPr/>
        <w:tc>
          <w:tcPr>
            <w:tcW w:w="798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Operating lease liabilities</w:t>
            </w:r>
          </w:p>
        </w:tc>
        <w:tc>
          <w:tcPr>
            <w:tcW w:w="196" w:type="dxa"/>
            <w:tcBorders/>
            <w:shd w:fill="CCEEFF" w:val="clear"/>
            <w:vAlign w:val="center"/>
          </w:tcPr>
          <w:p>
            <w:pPr>
              <w:pStyle w:val="TableContents"/>
              <w:bidi w:val="0"/>
              <w:spacing w:before="0" w:after="1"/>
              <w:ind w:left="0" w:right="0" w:hanging="0"/>
              <w:jc w:val="left"/>
              <w:rPr/>
            </w:pPr>
            <w:r>
              <w:rPr/>
              <w:t>​</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(2,827)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6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(2,057)</w:t>
            </w:r>
          </w:p>
        </w:tc>
      </w:tr>
      <w:tr>
        <w:trPr/>
        <w:tc>
          <w:tcPr>
            <w:tcW w:w="798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Payments for purchase commitment and contingent consideration liabilities in excess of initial fair value</w:t>
            </w:r>
          </w:p>
        </w:tc>
        <w:tc>
          <w:tcPr>
            <w:tcW w:w="196" w:type="dxa"/>
            <w:tcBorders/>
            <w:vAlign w:val="center"/>
          </w:tcPr>
          <w:p>
            <w:pPr>
              <w:pStyle w:val="TableContents"/>
              <w:bidi w:val="0"/>
              <w:spacing w:before="0" w:after="1"/>
              <w:ind w:left="0" w:right="0" w:hanging="0"/>
              <w:jc w:val="left"/>
              <w:rPr/>
            </w:pPr>
            <w:r>
              <w:rPr/>
              <w:t>​</w:t>
            </w:r>
          </w:p>
        </w:tc>
        <w:tc>
          <w:tcPr>
            <w:tcW w:w="71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6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(200)</w:t>
            </w:r>
          </w:p>
        </w:tc>
      </w:tr>
      <w:tr>
        <w:trPr/>
        <w:tc>
          <w:tcPr>
            <w:tcW w:w="798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3,863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6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1,412</w:t>
            </w:r>
          </w:p>
        </w:tc>
      </w:tr>
      <w:tr>
        <w:trPr/>
        <w:tc>
          <w:tcPr>
            <w:tcW w:w="798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cash provided by operating activities</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68,871</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6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60,808</w:t>
            </w:r>
          </w:p>
        </w:tc>
      </w:tr>
      <w:tr>
        <w:trPr/>
        <w:tc>
          <w:tcPr>
            <w:tcW w:w="7984" w:type="dxa"/>
            <w:tcBorders/>
            <w:shd w:fill="CCEEFF" w:val="clear"/>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Cash flows from investing activities:</w:t>
            </w:r>
          </w:p>
        </w:tc>
        <w:tc>
          <w:tcPr>
            <w:tcW w:w="196" w:type="dxa"/>
            <w:tcBorders/>
            <w:shd w:fill="CCEEFF" w:val="clear"/>
            <w:vAlign w:val="center"/>
          </w:tcPr>
          <w:p>
            <w:pPr>
              <w:pStyle w:val="TableContents"/>
              <w:bidi w:val="0"/>
              <w:spacing w:before="0" w:after="1"/>
              <w:ind w:left="0" w:right="0" w:hanging="0"/>
              <w:jc w:val="left"/>
              <w:rPr/>
            </w:pPr>
            <w:r>
              <w:rPr/>
              <w:t> </w:t>
            </w:r>
          </w:p>
        </w:tc>
        <w:tc>
          <w:tcPr>
            <w:tcW w:w="718"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65" w:type="dxa"/>
            <w:tcBorders/>
            <w:shd w:fill="CCEEFF" w:val="clear"/>
            <w:vAlign w:val="center"/>
          </w:tcPr>
          <w:p>
            <w:pPr>
              <w:pStyle w:val="TableContents"/>
              <w:bidi w:val="0"/>
              <w:spacing w:before="0" w:after="1"/>
              <w:ind w:left="0" w:right="0" w:hanging="0"/>
              <w:jc w:val="right"/>
              <w:rPr/>
            </w:pPr>
            <w:r>
              <w:rPr/>
              <w:t>  ​</w:t>
            </w:r>
          </w:p>
        </w:tc>
      </w:tr>
      <w:tr>
        <w:trPr/>
        <w:tc>
          <w:tcPr>
            <w:tcW w:w="798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Acquisition of businesses and assets, net of cash acquired</w:t>
            </w:r>
          </w:p>
        </w:tc>
        <w:tc>
          <w:tcPr>
            <w:tcW w:w="196" w:type="dxa"/>
            <w:tcBorders/>
            <w:vAlign w:val="center"/>
          </w:tcPr>
          <w:p>
            <w:pPr>
              <w:pStyle w:val="TableContents"/>
              <w:bidi w:val="0"/>
              <w:spacing w:before="0" w:after="1"/>
              <w:ind w:left="0" w:right="0" w:hanging="0"/>
              <w:jc w:val="left"/>
              <w:rPr/>
            </w:pPr>
            <w:r>
              <w:rPr/>
              <w:t> </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(21,968)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65" w:type="dxa"/>
            <w:tcBorders/>
            <w:vAlign w:val="center"/>
          </w:tcPr>
          <w:p>
            <w:pPr>
              <w:pStyle w:val="TableContents"/>
              <w:bidi w:val="0"/>
              <w:spacing w:before="0" w:after="1"/>
              <w:ind w:left="0" w:right="0" w:hanging="0"/>
              <w:jc w:val="right"/>
              <w:rPr/>
            </w:pPr>
            <w:r>
              <w:rPr/>
              <w:t>—</w:t>
            </w:r>
          </w:p>
        </w:tc>
      </w:tr>
      <w:tr>
        <w:trPr/>
        <w:tc>
          <w:tcPr>
            <w:tcW w:w="798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Long-term investment </w:t>
            </w:r>
          </w:p>
        </w:tc>
        <w:tc>
          <w:tcPr>
            <w:tcW w:w="196" w:type="dxa"/>
            <w:tcBorders/>
            <w:shd w:fill="CCEEFF" w:val="clear"/>
            <w:vAlign w:val="center"/>
          </w:tcPr>
          <w:p>
            <w:pPr>
              <w:pStyle w:val="TableContents"/>
              <w:bidi w:val="0"/>
              <w:spacing w:before="0" w:after="1"/>
              <w:ind w:left="0" w:right="0" w:hanging="0"/>
              <w:jc w:val="left"/>
              <w:rPr/>
            </w:pPr>
            <w:r>
              <w:rPr/>
              <w:t>​</w:t>
            </w:r>
          </w:p>
        </w:tc>
        <w:tc>
          <w:tcPr>
            <w:tcW w:w="71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6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(15,000)</w:t>
            </w:r>
          </w:p>
        </w:tc>
      </w:tr>
      <w:tr>
        <w:trPr/>
        <w:tc>
          <w:tcPr>
            <w:tcW w:w="798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Property and equipment additions</w:t>
            </w:r>
          </w:p>
        </w:tc>
        <w:tc>
          <w:tcPr>
            <w:tcW w:w="196" w:type="dxa"/>
            <w:tcBorders/>
            <w:vAlign w:val="center"/>
          </w:tcPr>
          <w:p>
            <w:pPr>
              <w:pStyle w:val="TableContents"/>
              <w:bidi w:val="0"/>
              <w:spacing w:before="0" w:after="1"/>
              <w:ind w:left="0" w:right="0" w:hanging="0"/>
              <w:jc w:val="left"/>
              <w:rPr/>
            </w:pPr>
            <w:r>
              <w:rPr/>
              <w:t> </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(47,831)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6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(42,906)</w:t>
            </w:r>
          </w:p>
        </w:tc>
      </w:tr>
      <w:tr>
        <w:trPr/>
        <w:tc>
          <w:tcPr>
            <w:tcW w:w="798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Capitalized software additions</w:t>
            </w:r>
          </w:p>
        </w:tc>
        <w:tc>
          <w:tcPr>
            <w:tcW w:w="196" w:type="dxa"/>
            <w:tcBorders/>
            <w:shd w:fill="CCEEFF" w:val="clear"/>
            <w:vAlign w:val="center"/>
          </w:tcPr>
          <w:p>
            <w:pPr>
              <w:pStyle w:val="TableContents"/>
              <w:bidi w:val="0"/>
              <w:spacing w:before="0" w:after="1"/>
              <w:ind w:left="0" w:right="0" w:hanging="0"/>
              <w:jc w:val="left"/>
              <w:rPr/>
            </w:pPr>
            <w:r>
              <w:rPr/>
              <w:t> </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(10,648)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6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(10,565)</w:t>
            </w:r>
          </w:p>
        </w:tc>
      </w:tr>
      <w:tr>
        <w:trPr/>
        <w:tc>
          <w:tcPr>
            <w:tcW w:w="798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Purchase of investment securities, available-for-sale</w:t>
            </w:r>
          </w:p>
        </w:tc>
        <w:tc>
          <w:tcPr>
            <w:tcW w:w="196" w:type="dxa"/>
            <w:tcBorders/>
            <w:vAlign w:val="center"/>
          </w:tcPr>
          <w:p>
            <w:pPr>
              <w:pStyle w:val="TableContents"/>
              <w:bidi w:val="0"/>
              <w:spacing w:before="0" w:after="1"/>
              <w:ind w:left="0" w:right="0" w:hanging="0"/>
              <w:jc w:val="left"/>
              <w:rPr/>
            </w:pPr>
            <w:r>
              <w:rPr/>
              <w:t>​</w:t>
            </w:r>
          </w:p>
        </w:tc>
        <w:tc>
          <w:tcPr>
            <w:tcW w:w="71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6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(2,398)</w:t>
            </w:r>
          </w:p>
        </w:tc>
      </w:tr>
      <w:tr>
        <w:trPr/>
        <w:tc>
          <w:tcPr>
            <w:tcW w:w="798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sales and maturities of investment securities, available-for-sale</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6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11,607</w:t>
            </w:r>
          </w:p>
        </w:tc>
      </w:tr>
      <w:tr>
        <w:trPr/>
        <w:tc>
          <w:tcPr>
            <w:tcW w:w="798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cash used in investing activities</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(80,447)</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6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(59,262)</w:t>
            </w:r>
          </w:p>
        </w:tc>
      </w:tr>
      <w:tr>
        <w:trPr/>
        <w:tc>
          <w:tcPr>
            <w:tcW w:w="798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flows from financing activities:</w:t>
            </w:r>
          </w:p>
        </w:tc>
        <w:tc>
          <w:tcPr>
            <w:tcW w:w="196" w:type="dxa"/>
            <w:tcBorders/>
            <w:shd w:fill="CCEEFF" w:val="clear"/>
            <w:vAlign w:val="center"/>
          </w:tcPr>
          <w:p>
            <w:pPr>
              <w:pStyle w:val="TableContents"/>
              <w:bidi w:val="0"/>
              <w:spacing w:before="0" w:after="1"/>
              <w:ind w:left="0" w:right="0" w:hanging="0"/>
              <w:jc w:val="left"/>
              <w:rPr/>
            </w:pPr>
            <w:r>
              <w:rPr/>
              <w:t> </w:t>
            </w:r>
          </w:p>
        </w:tc>
        <w:tc>
          <w:tcPr>
            <w:tcW w:w="718"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65" w:type="dxa"/>
            <w:tcBorders/>
            <w:shd w:fill="CCEEFF" w:val="clear"/>
            <w:vAlign w:val="center"/>
          </w:tcPr>
          <w:p>
            <w:pPr>
              <w:pStyle w:val="TableContents"/>
              <w:bidi w:val="0"/>
              <w:spacing w:before="0" w:after="1"/>
              <w:ind w:left="0" w:right="0" w:hanging="0"/>
              <w:jc w:val="right"/>
              <w:rPr/>
            </w:pPr>
            <w:r>
              <w:rPr/>
              <w:t>  ​</w:t>
            </w:r>
          </w:p>
        </w:tc>
      </w:tr>
      <w:tr>
        <w:trPr/>
        <w:tc>
          <w:tcPr>
            <w:tcW w:w="798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increase (decrease) in customer funds obligations</w:t>
            </w:r>
          </w:p>
        </w:tc>
        <w:tc>
          <w:tcPr>
            <w:tcW w:w="196" w:type="dxa"/>
            <w:tcBorders/>
            <w:vAlign w:val="center"/>
          </w:tcPr>
          <w:p>
            <w:pPr>
              <w:pStyle w:val="TableContents"/>
              <w:bidi w:val="0"/>
              <w:spacing w:before="0" w:after="1"/>
              <w:ind w:left="0" w:right="0" w:hanging="0"/>
              <w:jc w:val="left"/>
              <w:rPr/>
            </w:pPr>
            <w:r>
              <w:rPr/>
              <w:t> </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2,838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6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(3,493)</w:t>
            </w:r>
          </w:p>
        </w:tc>
      </w:tr>
      <w:tr>
        <w:trPr/>
        <w:tc>
          <w:tcPr>
            <w:tcW w:w="798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Repurchases of shares</w:t>
            </w:r>
          </w:p>
        </w:tc>
        <w:tc>
          <w:tcPr>
            <w:tcW w:w="196" w:type="dxa"/>
            <w:tcBorders/>
            <w:shd w:fill="CCEEFF" w:val="clear"/>
            <w:vAlign w:val="center"/>
          </w:tcPr>
          <w:p>
            <w:pPr>
              <w:pStyle w:val="TableContents"/>
              <w:bidi w:val="0"/>
              <w:spacing w:before="0" w:after="1"/>
              <w:ind w:left="0" w:right="0" w:hanging="0"/>
              <w:jc w:val="left"/>
              <w:rPr/>
            </w:pPr>
            <w:r>
              <w:rPr/>
              <w:t>​</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(46,602)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65" w:type="dxa"/>
            <w:tcBorders/>
            <w:shd w:fill="CCEEFF" w:val="clear"/>
            <w:vAlign w:val="center"/>
          </w:tcPr>
          <w:p>
            <w:pPr>
              <w:pStyle w:val="TableContents"/>
              <w:bidi w:val="0"/>
              <w:spacing w:before="0" w:after="1"/>
              <w:ind w:left="0" w:right="0" w:hanging="0"/>
              <w:jc w:val="right"/>
              <w:rPr/>
            </w:pPr>
            <w:r>
              <w:rPr/>
              <w:t>—</w:t>
            </w:r>
          </w:p>
        </w:tc>
      </w:tr>
      <w:tr>
        <w:trPr/>
        <w:tc>
          <w:tcPr>
            <w:tcW w:w="798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purchases of stock under ESPP</w:t>
            </w:r>
          </w:p>
        </w:tc>
        <w:tc>
          <w:tcPr>
            <w:tcW w:w="196" w:type="dxa"/>
            <w:tcBorders/>
            <w:vAlign w:val="center"/>
          </w:tcPr>
          <w:p>
            <w:pPr>
              <w:pStyle w:val="TableContents"/>
              <w:bidi w:val="0"/>
              <w:spacing w:before="0" w:after="1"/>
              <w:ind w:left="0" w:right="0" w:hanging="0"/>
              <w:jc w:val="left"/>
              <w:rPr/>
            </w:pPr>
            <w:r>
              <w:rPr/>
              <w:t>​</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1,807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6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1,782</w:t>
            </w:r>
          </w:p>
        </w:tc>
      </w:tr>
      <w:tr>
        <w:trPr/>
        <w:tc>
          <w:tcPr>
            <w:tcW w:w="798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Payments for taxes related to net share settlement of stock-based awards</w:t>
            </w:r>
          </w:p>
        </w:tc>
        <w:tc>
          <w:tcPr>
            <w:tcW w:w="196" w:type="dxa"/>
            <w:tcBorders/>
            <w:shd w:fill="CCEEFF" w:val="clear"/>
            <w:vAlign w:val="center"/>
          </w:tcPr>
          <w:p>
            <w:pPr>
              <w:pStyle w:val="TableContents"/>
              <w:bidi w:val="0"/>
              <w:spacing w:before="0" w:after="1"/>
              <w:ind w:left="0" w:right="0" w:hanging="0"/>
              <w:jc w:val="left"/>
              <w:rPr/>
            </w:pPr>
            <w:r>
              <w:rPr/>
              <w:t>​</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(7,936)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6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(26,105)</w:t>
            </w:r>
          </w:p>
        </w:tc>
      </w:tr>
      <w:tr>
        <w:trPr/>
        <w:tc>
          <w:tcPr>
            <w:tcW w:w="798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exercise of stock options</w:t>
            </w:r>
          </w:p>
        </w:tc>
        <w:tc>
          <w:tcPr>
            <w:tcW w:w="196" w:type="dxa"/>
            <w:tcBorders/>
            <w:vAlign w:val="center"/>
          </w:tcPr>
          <w:p>
            <w:pPr>
              <w:pStyle w:val="TableContents"/>
              <w:bidi w:val="0"/>
              <w:spacing w:before="0" w:after="1"/>
              <w:ind w:left="0" w:right="0" w:hanging="0"/>
              <w:jc w:val="left"/>
              <w:rPr/>
            </w:pPr>
            <w:r>
              <w:rPr/>
              <w:t> </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6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7,687</w:t>
            </w:r>
          </w:p>
        </w:tc>
      </w:tr>
      <w:tr>
        <w:trPr/>
        <w:tc>
          <w:tcPr>
            <w:tcW w:w="798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Payments for acquisition contingent cash earn-out </w:t>
            </w:r>
          </w:p>
        </w:tc>
        <w:tc>
          <w:tcPr>
            <w:tcW w:w="196" w:type="dxa"/>
            <w:tcBorders/>
            <w:shd w:fill="CCEEFF" w:val="clear"/>
            <w:vAlign w:val="center"/>
          </w:tcPr>
          <w:p>
            <w:pPr>
              <w:pStyle w:val="TableContents"/>
              <w:bidi w:val="0"/>
              <w:spacing w:before="0" w:after="1"/>
              <w:ind w:left="0" w:right="0" w:hanging="0"/>
              <w:jc w:val="left"/>
              <w:rPr/>
            </w:pPr>
            <w:r>
              <w:rPr/>
              <w:t>​</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(19,600)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65" w:type="dxa"/>
            <w:tcBorders/>
            <w:shd w:fill="CCEEFF" w:val="clear"/>
            <w:vAlign w:val="center"/>
          </w:tcPr>
          <w:p>
            <w:pPr>
              <w:pStyle w:val="TableContents"/>
              <w:bidi w:val="0"/>
              <w:spacing w:before="0" w:after="1"/>
              <w:ind w:left="0" w:right="0" w:hanging="0"/>
              <w:jc w:val="right"/>
              <w:rPr/>
            </w:pPr>
            <w:r>
              <w:rPr/>
              <w:t>—</w:t>
            </w:r>
          </w:p>
        </w:tc>
      </w:tr>
      <w:tr>
        <w:trPr/>
        <w:tc>
          <w:tcPr>
            <w:tcW w:w="798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Payments of finance lease liabilities</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6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w:t>
            </w:r>
          </w:p>
        </w:tc>
      </w:tr>
      <w:tr>
        <w:trPr/>
        <w:tc>
          <w:tcPr>
            <w:tcW w:w="798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cash used in financing activities</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(69,091)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6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(20,157)</w:t>
            </w:r>
          </w:p>
        </w:tc>
      </w:tr>
      <w:tr>
        <w:trPr/>
        <w:tc>
          <w:tcPr>
            <w:tcW w:w="7984"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Effect of exchange rate changes on cash, cash equivalents and restricted cash</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(642)</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6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3,307</w:t>
            </w:r>
          </w:p>
        </w:tc>
      </w:tr>
      <w:tr>
        <w:trPr/>
        <w:tc>
          <w:tcPr>
            <w:tcW w:w="798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decrease in cash, cash equivalents and restricted cash</w:t>
            </w:r>
          </w:p>
        </w:tc>
        <w:tc>
          <w:tcPr>
            <w:tcW w:w="196" w:type="dxa"/>
            <w:tcBorders/>
            <w:shd w:fill="CCEEFF" w:val="clear"/>
            <w:vAlign w:val="center"/>
          </w:tcPr>
          <w:p>
            <w:pPr>
              <w:pStyle w:val="TableContents"/>
              <w:bidi w:val="0"/>
              <w:spacing w:before="0" w:after="1"/>
              <w:ind w:left="0" w:right="0" w:hanging="0"/>
              <w:jc w:val="left"/>
              <w:rPr/>
            </w:pPr>
            <w:r>
              <w:rPr/>
              <w:t>​</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(81,309)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6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(15,304)</w:t>
            </w:r>
          </w:p>
        </w:tc>
      </w:tr>
      <w:tr>
        <w:trPr/>
        <w:tc>
          <w:tcPr>
            <w:tcW w:w="7984"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Cash, cash equivalents and restricted cash, beginning of period</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338,295</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6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326,066</w:t>
            </w:r>
          </w:p>
        </w:tc>
      </w:tr>
      <w:tr>
        <w:trPr/>
        <w:tc>
          <w:tcPr>
            <w:tcW w:w="798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cash equivalents and restricted cash, end of period</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1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256,986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6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310,762</w:t>
            </w:r>
          </w:p>
        </w:tc>
      </w:tr>
      <w:tr>
        <w:trPr/>
        <w:tc>
          <w:tcPr>
            <w:tcW w:w="7984"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Reconciliation of cash, cash equivalents and restricted cash to the Condensed Consolidated Balance Sheets, end of period:</w:t>
            </w:r>
          </w:p>
        </w:tc>
        <w:tc>
          <w:tcPr>
            <w:tcW w:w="196" w:type="dxa"/>
            <w:tcBorders/>
            <w:vAlign w:val="center"/>
          </w:tcPr>
          <w:p>
            <w:pPr>
              <w:pStyle w:val="TableContents"/>
              <w:bidi w:val="0"/>
              <w:spacing w:before="0" w:after="1"/>
              <w:ind w:left="0" w:right="0" w:hanging="0"/>
              <w:jc w:val="left"/>
              <w:rPr/>
            </w:pPr>
            <w:r>
              <w:rPr/>
              <w:t> </w:t>
            </w:r>
          </w:p>
        </w:tc>
        <w:tc>
          <w:tcPr>
            <w:tcW w:w="718"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65" w:type="dxa"/>
            <w:tcBorders/>
            <w:vAlign w:val="center"/>
          </w:tcPr>
          <w:p>
            <w:pPr>
              <w:pStyle w:val="TableContents"/>
              <w:bidi w:val="0"/>
              <w:spacing w:before="0" w:after="1"/>
              <w:ind w:left="0" w:right="0" w:hanging="0"/>
              <w:jc w:val="right"/>
              <w:rPr/>
            </w:pPr>
            <w:r>
              <w:rPr/>
              <w:t>  ​</w:t>
            </w:r>
          </w:p>
        </w:tc>
      </w:tr>
      <w:tr>
        <w:trPr/>
        <w:tc>
          <w:tcPr>
            <w:tcW w:w="798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230,489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6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284,386</w:t>
            </w:r>
          </w:p>
        </w:tc>
      </w:tr>
      <w:tr>
        <w:trPr/>
        <w:tc>
          <w:tcPr>
            <w:tcW w:w="798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Restricted cash—funds held for customers</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26,497</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6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26,376</w:t>
            </w:r>
          </w:p>
        </w:tc>
      </w:tr>
      <w:tr>
        <w:trPr/>
        <w:tc>
          <w:tcPr>
            <w:tcW w:w="798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cash, cash equivalents and restricted cash, end of period</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1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256,986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6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310,762</w:t>
            </w:r>
          </w:p>
        </w:tc>
      </w:tr>
      <w:tr>
        <w:trPr/>
        <w:tc>
          <w:tcPr>
            <w:tcW w:w="7984"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1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65" w:type="dxa"/>
            <w:tcBorders/>
            <w:vAlign w:val="center"/>
          </w:tcPr>
          <w:p>
            <w:pPr>
              <w:pStyle w:val="TableContents"/>
              <w:bidi w:val="0"/>
              <w:spacing w:before="0" w:after="1"/>
              <w:ind w:left="0" w:right="0" w:hanging="0"/>
              <w:jc w:val="left"/>
              <w:rPr/>
            </w:pPr>
            <w:r>
              <w:rPr/>
              <w:t>​</w:t>
            </w:r>
          </w:p>
        </w:tc>
      </w:tr>
      <w:tr>
        <w:trPr/>
        <w:tc>
          <w:tcPr>
            <w:tcW w:w="10205" w:type="dxa"/>
            <w:gridSpan w:val="6"/>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firstLine="360"/>
        <w:jc w:val="center"/>
        <w:rPr/>
      </w:pPr>
      <w:r>
        <w:rPr/>
        <w:t>​</w:t>
      </w:r>
    </w:p>
    <w:p>
      <w:pPr>
        <w:pStyle w:val="TextBody"/>
        <w:bidi w:val="0"/>
        <w:spacing w:before="0" w:after="0"/>
        <w:ind w:left="0" w:right="0" w:firstLine="360"/>
        <w:jc w:val="center"/>
        <w:rPr>
          <w:rFonts w:ascii="Times New Roman;Times;serif" w:hAnsi="Times New Roman;Times;serif"/>
          <w:sz w:val="16"/>
        </w:rPr>
      </w:pPr>
      <w:r>
        <w:rPr>
          <w:rFonts w:ascii="Times New Roman;Times;serif" w:hAnsi="Times New Roman;Times;serif"/>
          <w:sz w:val="16"/>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432" w:after="283"/>
        <w:jc w:val="left"/>
        <w:rPr>
          <w:sz w:val="4"/>
          <w:szCs w:val="4"/>
        </w:rPr>
      </w:pPr>
      <w:r>
        <w:rPr>
          <w:sz w:val="4"/>
          <w:szCs w:val="4"/>
        </w:rPr>
      </w:r>
      <w:bookmarkStart w:id="1243" w:name="_cc2ff6ea_eb41_4f64_ad73_fcd2ca9dc5f5"/>
      <w:bookmarkStart w:id="1244" w:name="_c5f3defc_848a_4ea4_807c_81d90df56238"/>
      <w:bookmarkStart w:id="1245" w:name="_cc2ff6ea_eb41_4f64_ad73_fcd2ca9dc5f5"/>
      <w:bookmarkStart w:id="1246" w:name="_c5f3defc_848a_4ea4_807c_81d90df56238"/>
      <w:bookmarkEnd w:id="1245"/>
      <w:bookmarkEnd w:id="1246"/>
    </w:p>
    <w:tbl>
      <w:tblPr>
        <w:tblW w:w="5776" w:type="dxa"/>
        <w:jc w:val="left"/>
        <w:tblInd w:w="0" w:type="dxa"/>
        <w:tblLayout w:type="fixed"/>
        <w:tblCellMar>
          <w:top w:w="0" w:type="dxa"/>
          <w:left w:w="0" w:type="dxa"/>
          <w:bottom w:w="0" w:type="dxa"/>
          <w:right w:w="0" w:type="dxa"/>
        </w:tblCellMar>
      </w:tblPr>
      <w:tblGrid>
        <w:gridCol w:w="5776"/>
      </w:tblGrid>
      <w:tr>
        <w:trPr/>
        <w:tc>
          <w:tcPr>
            <w:tcW w:w="5776" w:type="dxa"/>
            <w:tcBorders/>
            <w:vAlign w:val="center"/>
          </w:tcPr>
          <w:p>
            <w:pPr>
              <w:pStyle w:val="TableContents"/>
              <w:bidi w:val="0"/>
              <w:spacing w:before="0" w:after="283"/>
              <w:ind w:left="0" w:right="0" w:hanging="0"/>
              <w:jc w:val="left"/>
              <w:rPr>
                <w:sz w:val="4"/>
                <w:szCs w:val="4"/>
              </w:rPr>
            </w:pPr>
            <w:r>
              <w:rPr>
                <w:sz w:val="4"/>
                <w:szCs w:val="4"/>
              </w:rPr>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w:t>
            </w:r>
          </w:p>
        </w:tc>
      </w:tr>
      <w:tr>
        <w:trPr/>
        <w:tc>
          <w:tcPr>
            <w:tcW w:w="57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247" w:name="a1SUMMARYOFSIGNIFICANTACCOUNTINGPOLICIES"/>
      <w:bookmarkStart w:id="1248" w:name="a1SUMMARYOFSIGNIFICANTACCOUNTINGPOLICIES"/>
      <w:bookmarkEnd w:id="1248"/>
    </w:p>
    <w:tbl>
      <w:tblPr>
        <w:tblW w:w="5571" w:type="dxa"/>
        <w:jc w:val="left"/>
        <w:tblInd w:w="0" w:type="dxa"/>
        <w:tblLayout w:type="fixed"/>
        <w:tblCellMar>
          <w:top w:w="28" w:type="dxa"/>
          <w:left w:w="28" w:type="dxa"/>
          <w:bottom w:w="28" w:type="dxa"/>
          <w:right w:w="28" w:type="dxa"/>
        </w:tblCellMar>
      </w:tblPr>
      <w:tblGrid>
        <w:gridCol w:w="124"/>
        <w:gridCol w:w="256"/>
        <w:gridCol w:w="51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519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SUMMARY OF SIGNIFICANT ACCOUNTING POLICIES</w:t>
            </w:r>
            <w:r>
              <w:rPr>
                <w:caps w:val="false"/>
                <w:smallCaps w:val="false"/>
              </w:rPr>
              <w:t xml:space="preserve"> </w:t>
            </w:r>
          </w:p>
        </w:tc>
      </w:tr>
    </w:tbl>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sz w:val="20"/>
        </w:rPr>
        <w:t>Nature of Business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Vertex, Inc. (“Vertex”) and its consolidated subsidiaries (collectively, the “Company”) operate as solutions providers of state, local, and value added tax calculation, compliance, and analytics, offering software products that are sold through software license and software as a service (“cloud”) subscriptions. The Company also provides implementation and training services in connection with its software license and cloud subscriptions, transaction tax returns outsourcing, and other tax-related services. The Company sells to customers located throughout the United States (“U.S.”) and internationally.</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Basis of Consolidation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condensed consolidated financial statements are prepared in accordance with accounting principles generally accepted in the U.S. (“GAAP”) and include the accounts of the Company. All intercompany transactions have been eliminated in consolidation.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March 2, 2026, the Company completed its acquisition of Brinta (defined in Note 3). The acquisition was accounted for as a business combination. Upon its acquisition, Brinta became a wholly owned subsidiary of the Company, and its operations have been included in the Company’s condensed consolidated financial statements commencing on the Acquisition Date (as defined below).</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Unaudited Interim Financial Information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accompanying unaudited interim condensed consolidated financial statements have been prepared pursuant to the rules and regulations of the Securities and Exchange Commission (the “SEC”) for interim financial information and include the accounts of the Company. Certain information and disclosures normally included in consolidated financial statements prepared in accordance with GAAP have been condensed or omitted. Accordingly, these interim condensed consolidated financial statements should be read in conjunction with the audited consolidated financial statements and the related notes for the year ended December 31, 2025 included in the Company’s Annual Report on Form 10-K for the year ended December 31, 2025 (the “2025 Annual Report”) filed with the SEC on February 24, 2026. The condensed consolidated balance sheet as of December 31, 2025 has been derived from audited financial statements included in the 2025 Annual Report. The accompanying interim condensed consolidated balance sheet as of June 30, 2026, the interim condensed consolidated statements of comprehensive income (loss) and changes in stockholders’ equity for the three and six months ended June 30, 2026 and 2025, and the interim condensed consolidated statements of cash flows for the six months ended June 30, 2026 and 2025 are unaudited. The unaudited interim condensed consolidated financial statements have been prepared on a basis consistent with that used to prepare the annual audited consolidated financial statements and include, in the opinion of management, all adjustments, consisting of normal and recurring items necessary for the fair presentation of the condensed consolidated financial statements. The operating results for the three and six months ended June 30, 2026 are not necessarily indicative of the results expected for the full year ending December 31, 2026.</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Use of Estimates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preparation of condensed consolidated financial statements requires management to make estimates and assumptions that affect the reported amounts of assets, liabilities, equity, revenues, and expenses during the reporting period. Significant estimates used in preparing these condensed consolidated financial statements include: (i) the estimated allowance for subscription cancellations; (ii) expected credit losses associated with the allowance for doubtful accounts; (iii) allowance for credit losses on available-for-sale debt securities; (iv) the reserve for self-insurance; (v) assumptions related to achievement of technological feasibility for software developed for sale; (vi) product life cycles; (vii) estimated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432" w:after="283"/>
        <w:jc w:val="left"/>
        <w:rPr>
          <w:sz w:val="4"/>
          <w:szCs w:val="4"/>
        </w:rPr>
      </w:pPr>
      <w:r>
        <w:rPr>
          <w:sz w:val="4"/>
          <w:szCs w:val="4"/>
        </w:rPr>
      </w:r>
      <w:bookmarkStart w:id="1249" w:name="_f136d7eb_2fe3_4313_947e_bfbde33cd0d2"/>
      <w:bookmarkStart w:id="1250" w:name="_6db42027_5db6_4923_a44f_591bae303bb9"/>
      <w:bookmarkStart w:id="1251" w:name="_f136d7eb_2fe3_4313_947e_bfbde33cd0d2"/>
      <w:bookmarkStart w:id="1252" w:name="_6db42027_5db6_4923_a44f_591bae303bb9"/>
      <w:bookmarkEnd w:id="1251"/>
      <w:bookmarkEnd w:id="1252"/>
    </w:p>
    <w:tbl>
      <w:tblPr>
        <w:tblW w:w="6766" w:type="dxa"/>
        <w:jc w:val="left"/>
        <w:tblInd w:w="0" w:type="dxa"/>
        <w:tblLayout w:type="fixed"/>
        <w:tblCellMar>
          <w:top w:w="0" w:type="dxa"/>
          <w:left w:w="0" w:type="dxa"/>
          <w:bottom w:w="0" w:type="dxa"/>
          <w:right w:w="0" w:type="dxa"/>
        </w:tblCellMar>
      </w:tblPr>
      <w:tblGrid>
        <w:gridCol w:w="6766"/>
      </w:tblGrid>
      <w:tr>
        <w:trPr/>
        <w:tc>
          <w:tcPr>
            <w:tcW w:w="6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bookmarkStart w:id="1253" w:name="Tc_fsSfaXwDrkiVNaZuqhv9Rg_21_4"/>
      <w:bookmarkStart w:id="1254" w:name="Tc_C1nAewqVyUOIEPLbspUV6g_21_1"/>
      <w:bookmarkStart w:id="1255" w:name="Tc_HawHwejgs0GFI_YTz9zWcA_21_0"/>
      <w:bookmarkStart w:id="1256" w:name="Tc_q_nZlclNLE2PFiQUHSVzUA_20_0"/>
      <w:bookmarkStart w:id="1257" w:name="Tc_JTqbvSa1Sk2zES-1BuYhLg_19_0"/>
      <w:bookmarkStart w:id="1258" w:name="Tc_VFN2mrxxoEuWyaMptZnyYQ_18_4"/>
      <w:bookmarkStart w:id="1259" w:name="Tc_M2uR0CpCLECy_Hrpu5_gIQ_18_1"/>
      <w:bookmarkStart w:id="1260" w:name="Tc_nJj7raJBSUi6b34fqrrHKA_18_0"/>
      <w:bookmarkStart w:id="1261" w:name="Tc_nlhvATkrlUSx8X2Mifn3pA_17_0"/>
      <w:bookmarkStart w:id="1262" w:name="Tc_3Bt8-IPmaU2cp9ii4aJ8Ew_15_4"/>
      <w:bookmarkStart w:id="1263" w:name="Tc_ebwRL5f7hki-4kvGzePWGA_15_1"/>
      <w:bookmarkStart w:id="1264" w:name="Tc_ZrjufZcnnkeT00xWGDIgwQ_15_0"/>
      <w:bookmarkStart w:id="1265" w:name="Tc_JHud5nuI6ES6Hq34t7odYA_14_0"/>
      <w:bookmarkStart w:id="1266" w:name="Tc__7S1W6a8Sk20APPoyJCAnQ_13_4"/>
      <w:bookmarkStart w:id="1267" w:name="Tc_IDis-BMVkEOsJtQxdtrAgg_13_1"/>
      <w:bookmarkStart w:id="1268" w:name="Tc_uwEexIoBjkCqo5MH3TmyhA_13_0"/>
      <w:bookmarkStart w:id="1269" w:name="Tc_C2nFqsasKU-eUp2lS82mAA_12_0"/>
      <w:bookmarkStart w:id="1270" w:name="Tc_W7bdNX3Ml0mXWtP3kbarlQ_10_4"/>
      <w:bookmarkStart w:id="1271" w:name="Tc_2_vO8MMf4k-kQQuiNBGkmw_10_1"/>
      <w:bookmarkStart w:id="1272" w:name="Tc_yJudPVwjxEW_QRMi6HAlsQ_10_0"/>
      <w:bookmarkStart w:id="1273" w:name="Tc_VrD1Mdu04EylLVxusK2a5A_9_0"/>
      <w:bookmarkStart w:id="1274" w:name="Tc_LvEJyvkwE0OV1G0RIVk9bQ_8_0"/>
      <w:bookmarkStart w:id="1275" w:name="Tc_daV0SRp-BEqNCSHFSpY1cA_7_0"/>
      <w:bookmarkStart w:id="1276" w:name="Tc_xXUgxqPnP06zAfOgysIwUw_6_0"/>
      <w:bookmarkStart w:id="1277" w:name="Tc_HYDtfUHXvk-WfPZMMBFJDg_5_4"/>
      <w:bookmarkStart w:id="1278" w:name="Tc_KTK-XTRA1UG8PTjnYwCUUw_5_1"/>
      <w:bookmarkStart w:id="1279" w:name="Tc_U9I9TH-680WtDN186IPn8Q_5_0"/>
      <w:bookmarkStart w:id="1280" w:name="Tc_eRKNhT2BLk63y4gWt4tISw_4_0"/>
      <w:bookmarkStart w:id="1281" w:name="Tc_0HHX3vZOOEuYvdzpKe4k7w_3_1"/>
      <w:bookmarkStart w:id="1282" w:name="Tc_j6oZFbMW-E-YudmqzhfliA_2_4"/>
      <w:bookmarkStart w:id="1283" w:name="Tc_r-8OXRiaA02tdMQ_9cqocg_2_1"/>
      <w:bookmarkStart w:id="1284" w:name="Tc_B_NQJvkzik2xQdFsqHYDJw_1_4"/>
      <w:bookmarkStart w:id="1285" w:name="Tc_T9ims5xy70qOxL5XWby2zA_1_1"/>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r>
        <w:rPr>
          <w:rFonts w:ascii="Times New Roman;Times;serif" w:hAnsi="Times New Roman;Times;serif"/>
          <w:sz w:val="20"/>
        </w:rPr>
        <w:t xml:space="preserve">useful lives and potential impairment of long-lived assets, intangible assets, and capitalized cloud computing arrangement software implementation costs; (viii) potential impairment of goodwill; (ix) determination of the fair value of tangible and intangible assets acquired, liabilities assumed, and consideration transferred in acquisitions; (x) amortization period of deferred commissions; (xi) Black-Scholes-Merton option pricing model (“Black-Scholes model”) input assumptions used to determine the fair value of certain stock-based compensation awards and Employee Stock Purchase Plan (“ESPP”) purchase rights; (xii) measurement of future purchase commitment, fair value of contingent consideration liabilities related to cash and stock earn-out payments, contingent consideration and deferred purchase consideration liabilities associated with acquisitions; (xiii) measurements of long-term investment and warrant rights; and (xiv) the potential outcome of future tax consequences of events that have been recognized in the condensed consolidated financial statements or tax returns. Actual results may differ from these estimates. </w:t>
      </w:r>
    </w:p>
    <w:p>
      <w:pPr>
        <w:pStyle w:val="TextBody"/>
        <w:bidi w:val="0"/>
        <w:spacing w:before="0" w:after="0"/>
        <w:ind w:left="0" w:right="0" w:hanging="0"/>
        <w:jc w:val="both"/>
        <w:rPr/>
      </w:pPr>
      <w:r>
        <w:rPr/>
        <w:t>​</w:t>
      </w:r>
    </w:p>
    <w:p>
      <w:pPr>
        <w:pStyle w:val="TextBody"/>
        <w:bidi w:val="0"/>
        <w:spacing w:before="0" w:after="240"/>
        <w:ind w:left="0" w:right="0" w:firstLine="360"/>
        <w:jc w:val="left"/>
        <w:rPr>
          <w:rFonts w:ascii="Times New Roman;Times;serif" w:hAnsi="Times New Roman;Times;serif"/>
          <w:b/>
          <w:sz w:val="20"/>
        </w:rPr>
      </w:pPr>
      <w:r>
        <w:rPr>
          <w:rFonts w:ascii="Times New Roman;Times;serif" w:hAnsi="Times New Roman;Times;serif"/>
          <w:b/>
          <w:sz w:val="20"/>
        </w:rPr>
        <w:t>Supplemental Balance Sheet Disclosures</w:t>
      </w:r>
      <w:r>
        <w:rPr>
          <w:rFonts w:ascii="Times New Roman;Times;serif" w:hAnsi="Times New Roman;Times;serif"/>
          <w:b/>
          <w:color w:val="FF0000"/>
          <w:sz w:val="20"/>
        </w:rPr>
        <w:t xml:space="preserve">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Supplemental balance sheet disclosures are as follows for the respective periods:</w:t>
      </w:r>
    </w:p>
    <w:p>
      <w:pPr>
        <w:pStyle w:val="TextBody"/>
        <w:bidi w:val="0"/>
        <w:spacing w:before="0" w:after="240"/>
        <w:ind w:left="0" w:right="0" w:firstLine="360"/>
        <w:jc w:val="both"/>
        <w:rPr/>
      </w:pPr>
      <w:r>
        <w:rPr/>
        <w:t>​</w:t>
      </w:r>
    </w:p>
    <w:tbl>
      <w:tblPr>
        <w:tblW w:w="7287" w:type="dxa"/>
        <w:jc w:val="left"/>
        <w:tblInd w:w="0" w:type="dxa"/>
        <w:tblLayout w:type="fixed"/>
        <w:tblCellMar>
          <w:top w:w="0" w:type="dxa"/>
          <w:left w:w="0" w:type="dxa"/>
          <w:bottom w:w="0" w:type="dxa"/>
          <w:right w:w="0" w:type="dxa"/>
        </w:tblCellMar>
      </w:tblPr>
      <w:tblGrid>
        <w:gridCol w:w="4396"/>
        <w:gridCol w:w="282"/>
        <w:gridCol w:w="903"/>
        <w:gridCol w:w="146"/>
        <w:gridCol w:w="328"/>
        <w:gridCol w:w="1232"/>
      </w:tblGrid>
      <w:tr>
        <w:trPr/>
        <w:tc>
          <w:tcPr>
            <w:tcW w:w="4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791460" cy="175260"/>
                      <wp:effectExtent l="0" t="0" r="0" b="0"/>
                      <wp:wrapNone/>
                      <wp:docPr id="54" name="Frame54"/>
                      <a:graphic xmlns:a="http://schemas.openxmlformats.org/drawingml/2006/main">
                        <a:graphicData uri="http://schemas.microsoft.com/office/word/2010/wordprocessingShape">
                          <wps:wsp>
                            <wps:cNvSpPr txBox="1"/>
                            <wps:spPr>
                              <a:xfrm>
                                <a:off x="0" y="0"/>
                                <a:ext cx="2791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79070" cy="175260"/>
                      <wp:effectExtent l="0" t="0" r="0" b="0"/>
                      <wp:wrapNone/>
                      <wp:docPr id="55" name="Frame55"/>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573405" cy="175260"/>
                      <wp:effectExtent l="0" t="0" r="0" b="0"/>
                      <wp:wrapNone/>
                      <wp:docPr id="56" name="Frame56"/>
                      <a:graphic xmlns:a="http://schemas.openxmlformats.org/drawingml/2006/main">
                        <a:graphicData uri="http://schemas.microsoft.com/office/word/2010/wordprocessingShape">
                          <wps:wsp>
                            <wps:cNvSpPr txBox="1"/>
                            <wps:spPr>
                              <a:xfrm>
                                <a:off x="0" y="0"/>
                                <a:ext cx="573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92710" cy="175260"/>
                      <wp:effectExtent l="0" t="0" r="0" b="0"/>
                      <wp:wrapNone/>
                      <wp:docPr id="57" name="Frame5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08280" cy="175260"/>
                      <wp:effectExtent l="0" t="0" r="0" b="0"/>
                      <wp:wrapNone/>
                      <wp:docPr id="58" name="Frame58"/>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782320" cy="175260"/>
                      <wp:effectExtent l="0" t="0" r="0" b="0"/>
                      <wp:wrapNone/>
                      <wp:docPr id="59" name="Frame59"/>
                      <a:graphic xmlns:a="http://schemas.openxmlformats.org/drawingml/2006/main">
                        <a:graphicData uri="http://schemas.microsoft.com/office/word/2010/wordprocessingShape">
                          <wps:wsp>
                            <wps:cNvSpPr txBox="1"/>
                            <wps:spPr>
                              <a:xfrm>
                                <a:off x="0" y="0"/>
                                <a:ext cx="782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9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w:t>
            </w:r>
          </w:p>
        </w:tc>
        <w:tc>
          <w:tcPr>
            <w:tcW w:w="146" w:type="dxa"/>
            <w:tcBorders/>
            <w:vAlign w:val="center"/>
          </w:tcPr>
          <w:p>
            <w:pPr>
              <w:pStyle w:val="TableContents"/>
              <w:bidi w:val="0"/>
              <w:spacing w:before="0" w:after="0"/>
              <w:ind w:left="0" w:right="0" w:hanging="0"/>
              <w:jc w:val="left"/>
              <w:rPr/>
            </w:pPr>
            <w:r>
              <w:rPr/>
              <w:t>​</w:t>
            </w:r>
          </w:p>
        </w:tc>
        <w:tc>
          <w:tcPr>
            <w:tcW w:w="156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4396" w:type="dxa"/>
            <w:tcBorders/>
            <w:vAlign w:val="center"/>
          </w:tcPr>
          <w:p>
            <w:pPr>
              <w:pStyle w:val="TableContents"/>
              <w:bidi w:val="0"/>
              <w:spacing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46" w:type="dxa"/>
            <w:tcBorders/>
            <w:vAlign w:val="center"/>
          </w:tcPr>
          <w:p>
            <w:pPr>
              <w:pStyle w:val="TableContents"/>
              <w:bidi w:val="0"/>
              <w:spacing w:before="0" w:after="0"/>
              <w:ind w:left="0" w:right="0" w:hanging="0"/>
              <w:jc w:val="center"/>
              <w:rPr/>
            </w:pPr>
            <w:r>
              <w:rPr/>
              <w:t>​</w:t>
            </w:r>
          </w:p>
        </w:tc>
        <w:tc>
          <w:tcPr>
            <w:tcW w:w="15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39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4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232" w:type="dxa"/>
            <w:tcBorders/>
            <w:vAlign w:val="center"/>
          </w:tcPr>
          <w:p>
            <w:pPr>
              <w:pStyle w:val="TableContents"/>
              <w:bidi w:val="0"/>
              <w:spacing w:before="0" w:after="0"/>
              <w:ind w:left="0" w:right="0" w:hanging="0"/>
              <w:jc w:val="left"/>
              <w:rPr/>
            </w:pPr>
            <w:r>
              <w:rPr/>
              <w:t>​</w:t>
            </w:r>
          </w:p>
        </w:tc>
      </w:tr>
      <w:tr>
        <w:trPr/>
        <w:tc>
          <w:tcPr>
            <w:tcW w:w="43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Prepaid expenses and other current assets:</w:t>
            </w:r>
          </w:p>
        </w:tc>
        <w:tc>
          <w:tcPr>
            <w:tcW w:w="282" w:type="dxa"/>
            <w:tcBorders/>
            <w:shd w:fill="CCEEFF" w:val="clear"/>
            <w:vAlign w:val="center"/>
          </w:tcPr>
          <w:p>
            <w:pPr>
              <w:pStyle w:val="TableContents"/>
              <w:bidi w:val="0"/>
              <w:spacing w:before="0" w:after="0"/>
              <w:ind w:left="0" w:right="0" w:hanging="0"/>
              <w:jc w:val="left"/>
              <w:rPr/>
            </w:pPr>
            <w:r>
              <w:rPr/>
              <w:t>​</w:t>
            </w:r>
          </w:p>
        </w:tc>
        <w:tc>
          <w:tcPr>
            <w:tcW w:w="903"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328" w:type="dxa"/>
            <w:tcBorders/>
            <w:shd w:fill="CCEEFF" w:val="clear"/>
            <w:vAlign w:val="center"/>
          </w:tcPr>
          <w:p>
            <w:pPr>
              <w:pStyle w:val="TableContents"/>
              <w:bidi w:val="0"/>
              <w:spacing w:before="0" w:after="0"/>
              <w:ind w:left="0" w:right="0" w:hanging="0"/>
              <w:jc w:val="left"/>
              <w:rPr/>
            </w:pPr>
            <w:r>
              <w:rPr/>
              <w:t>​</w:t>
            </w:r>
          </w:p>
        </w:tc>
        <w:tc>
          <w:tcPr>
            <w:tcW w:w="1232" w:type="dxa"/>
            <w:tcBorders/>
            <w:shd w:fill="CCEEFF" w:val="clear"/>
            <w:vAlign w:val="center"/>
          </w:tcPr>
          <w:p>
            <w:pPr>
              <w:pStyle w:val="TableContents"/>
              <w:bidi w:val="0"/>
              <w:spacing w:before="0" w:after="0"/>
              <w:ind w:left="0" w:right="0" w:hanging="0"/>
              <w:jc w:val="right"/>
              <w:rPr/>
            </w:pPr>
            <w:r>
              <w:rPr/>
              <w:t>  ​</w:t>
            </w:r>
          </w:p>
        </w:tc>
      </w:tr>
      <w:tr>
        <w:trPr/>
        <w:tc>
          <w:tcPr>
            <w:tcW w:w="4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w:t>
            </w:r>
          </w:p>
        </w:tc>
        <w:tc>
          <w:tcPr>
            <w:tcW w:w="2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8,838</w:t>
            </w:r>
          </w:p>
        </w:tc>
        <w:tc>
          <w:tcPr>
            <w:tcW w:w="14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6,187</w:t>
            </w:r>
          </w:p>
        </w:tc>
      </w:tr>
      <w:tr>
        <w:trPr/>
        <w:tc>
          <w:tcPr>
            <w:tcW w:w="4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Unamortized cloud computing implementation costs</w:t>
            </w:r>
          </w:p>
        </w:tc>
        <w:tc>
          <w:tcPr>
            <w:tcW w:w="282" w:type="dxa"/>
            <w:tcBorders/>
            <w:shd w:fill="CCEEFF" w:val="clear"/>
            <w:vAlign w:val="center"/>
          </w:tcPr>
          <w:p>
            <w:pPr>
              <w:pStyle w:val="TableContents"/>
              <w:bidi w:val="0"/>
              <w:spacing w:before="0" w:after="0"/>
              <w:ind w:left="0" w:right="0" w:hanging="0"/>
              <w:jc w:val="left"/>
              <w:rPr/>
            </w:pPr>
            <w:r>
              <w:rPr/>
              <w:t>​</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6,555</w:t>
            </w:r>
          </w:p>
        </w:tc>
        <w:tc>
          <w:tcPr>
            <w:tcW w:w="14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12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4,666</w:t>
            </w:r>
          </w:p>
        </w:tc>
      </w:tr>
      <w:tr>
        <w:trPr/>
        <w:tc>
          <w:tcPr>
            <w:tcW w:w="4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insurance</w:t>
            </w:r>
          </w:p>
        </w:tc>
        <w:tc>
          <w:tcPr>
            <w:tcW w:w="282" w:type="dxa"/>
            <w:tcBorders/>
            <w:vAlign w:val="center"/>
          </w:tcPr>
          <w:p>
            <w:pPr>
              <w:pStyle w:val="TableContents"/>
              <w:bidi w:val="0"/>
              <w:spacing w:before="0" w:after="0"/>
              <w:ind w:left="0" w:right="0" w:hanging="0"/>
              <w:jc w:val="left"/>
              <w:rPr/>
            </w:pPr>
            <w:r>
              <w:rPr/>
              <w:t>​</w:t>
            </w:r>
          </w:p>
        </w:tc>
        <w:tc>
          <w:tcPr>
            <w:tcW w:w="9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1,059</w:t>
            </w:r>
          </w:p>
        </w:tc>
        <w:tc>
          <w:tcPr>
            <w:tcW w:w="14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2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1,229</w:t>
            </w:r>
          </w:p>
        </w:tc>
      </w:tr>
      <w:tr>
        <w:trPr/>
        <w:tc>
          <w:tcPr>
            <w:tcW w:w="4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licenses and support</w:t>
            </w:r>
          </w:p>
        </w:tc>
        <w:tc>
          <w:tcPr>
            <w:tcW w:w="282" w:type="dxa"/>
            <w:tcBorders/>
            <w:shd w:fill="CCEEFF" w:val="clear"/>
            <w:vAlign w:val="center"/>
          </w:tcPr>
          <w:p>
            <w:pPr>
              <w:pStyle w:val="TableContents"/>
              <w:bidi w:val="0"/>
              <w:spacing w:before="0" w:after="0"/>
              <w:ind w:left="0" w:right="0" w:hanging="0"/>
              <w:jc w:val="left"/>
              <w:rPr/>
            </w:pPr>
            <w:r>
              <w:rPr/>
              <w:t>​</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24,611</w:t>
            </w:r>
          </w:p>
        </w:tc>
        <w:tc>
          <w:tcPr>
            <w:tcW w:w="14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12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20,003</w:t>
            </w:r>
          </w:p>
        </w:tc>
      </w:tr>
      <w:tr>
        <w:trPr/>
        <w:tc>
          <w:tcPr>
            <w:tcW w:w="4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Prepaid corporate income taxes </w:t>
            </w:r>
          </w:p>
        </w:tc>
        <w:tc>
          <w:tcPr>
            <w:tcW w:w="28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40,464</w:t>
            </w:r>
          </w:p>
        </w:tc>
        <w:tc>
          <w:tcPr>
            <w:tcW w:w="146" w:type="dxa"/>
            <w:tcBorders/>
            <w:vAlign w:val="center"/>
          </w:tcPr>
          <w:p>
            <w:pPr>
              <w:pStyle w:val="TableContents"/>
              <w:bidi w:val="0"/>
              <w:spacing w:before="0" w:after="0"/>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6,881</w:t>
            </w:r>
          </w:p>
        </w:tc>
      </w:tr>
      <w:tr>
        <w:trPr/>
        <w:tc>
          <w:tcPr>
            <w:tcW w:w="4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28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81,527</w:t>
            </w:r>
          </w:p>
        </w:tc>
        <w:tc>
          <w:tcPr>
            <w:tcW w:w="146" w:type="dxa"/>
            <w:tcBorders/>
            <w:shd w:fill="CCEEFF" w:val="clear"/>
            <w:vAlign w:val="center"/>
          </w:tcPr>
          <w:p>
            <w:pPr>
              <w:pStyle w:val="TableContents"/>
              <w:bidi w:val="0"/>
              <w:spacing w:before="0" w:after="0"/>
              <w:ind w:left="0" w:right="0" w:hanging="0"/>
              <w:jc w:val="left"/>
              <w:rPr/>
            </w:pPr>
            <w:r>
              <w:rPr/>
              <w:t>​</w:t>
            </w:r>
          </w:p>
        </w:tc>
        <w:tc>
          <w:tcPr>
            <w:tcW w:w="3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38,966</w:t>
            </w:r>
          </w:p>
        </w:tc>
      </w:tr>
      <w:tr>
        <w:trPr/>
        <w:tc>
          <w:tcPr>
            <w:tcW w:w="4396"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w:t>
            </w:r>
          </w:p>
        </w:tc>
        <w:tc>
          <w:tcPr>
            <w:tcW w:w="90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232" w:type="dxa"/>
            <w:tcBorders/>
            <w:vAlign w:val="center"/>
          </w:tcPr>
          <w:p>
            <w:pPr>
              <w:pStyle w:val="TableContents"/>
              <w:bidi w:val="0"/>
              <w:spacing w:before="0" w:after="0"/>
              <w:ind w:left="0" w:right="0" w:hanging="0"/>
              <w:jc w:val="right"/>
              <w:rPr/>
            </w:pPr>
            <w:r>
              <w:rPr/>
              <w:t>​</w:t>
            </w:r>
          </w:p>
        </w:tc>
      </w:tr>
      <w:tr>
        <w:trPr/>
        <w:tc>
          <w:tcPr>
            <w:tcW w:w="43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assets:</w:t>
            </w:r>
          </w:p>
        </w:tc>
        <w:tc>
          <w:tcPr>
            <w:tcW w:w="282" w:type="dxa"/>
            <w:tcBorders/>
            <w:shd w:fill="CCEEFF" w:val="clear"/>
            <w:vAlign w:val="center"/>
          </w:tcPr>
          <w:p>
            <w:pPr>
              <w:pStyle w:val="TableContents"/>
              <w:bidi w:val="0"/>
              <w:spacing w:before="0" w:after="0"/>
              <w:ind w:left="0" w:right="0" w:hanging="0"/>
              <w:jc w:val="left"/>
              <w:rPr/>
            </w:pPr>
            <w:r>
              <w:rPr/>
              <w:t> </w:t>
            </w:r>
          </w:p>
        </w:tc>
        <w:tc>
          <w:tcPr>
            <w:tcW w:w="903"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32" w:type="dxa"/>
            <w:tcBorders/>
            <w:shd w:fill="CCEEFF" w:val="clear"/>
            <w:vAlign w:val="center"/>
          </w:tcPr>
          <w:p>
            <w:pPr>
              <w:pStyle w:val="TableContents"/>
              <w:bidi w:val="0"/>
              <w:spacing w:before="0" w:after="0"/>
              <w:ind w:left="0" w:right="0" w:hanging="0"/>
              <w:jc w:val="right"/>
              <w:rPr/>
            </w:pPr>
            <w:r>
              <w:rPr/>
              <w:t>​</w:t>
            </w:r>
          </w:p>
        </w:tc>
      </w:tr>
      <w:tr>
        <w:trPr/>
        <w:tc>
          <w:tcPr>
            <w:tcW w:w="4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Unamortized cloud computing implementation costs</w:t>
            </w:r>
          </w:p>
        </w:tc>
        <w:tc>
          <w:tcPr>
            <w:tcW w:w="2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4,629</w:t>
            </w:r>
          </w:p>
        </w:tc>
        <w:tc>
          <w:tcPr>
            <w:tcW w:w="14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8,518</w:t>
            </w:r>
          </w:p>
        </w:tc>
      </w:tr>
      <w:tr>
        <w:trPr/>
        <w:tc>
          <w:tcPr>
            <w:tcW w:w="4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assets </w:t>
            </w:r>
          </w:p>
        </w:tc>
        <w:tc>
          <w:tcPr>
            <w:tcW w:w="2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3,447</w:t>
            </w:r>
          </w:p>
        </w:tc>
        <w:tc>
          <w:tcPr>
            <w:tcW w:w="146" w:type="dxa"/>
            <w:tcBorders/>
            <w:shd w:fill="CCEEFF" w:val="clear"/>
            <w:vAlign w:val="center"/>
          </w:tcPr>
          <w:p>
            <w:pPr>
              <w:pStyle w:val="TableContents"/>
              <w:bidi w:val="0"/>
              <w:spacing w:before="0" w:after="0"/>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3,727</w:t>
            </w:r>
          </w:p>
        </w:tc>
      </w:tr>
      <w:tr>
        <w:trPr/>
        <w:tc>
          <w:tcPr>
            <w:tcW w:w="4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assets</w:t>
            </w:r>
          </w:p>
        </w:tc>
        <w:tc>
          <w:tcPr>
            <w:tcW w:w="28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8,076</w:t>
            </w:r>
          </w:p>
        </w:tc>
        <w:tc>
          <w:tcPr>
            <w:tcW w:w="146" w:type="dxa"/>
            <w:tcBorders/>
            <w:vAlign w:val="center"/>
          </w:tcPr>
          <w:p>
            <w:pPr>
              <w:pStyle w:val="TableContents"/>
              <w:bidi w:val="0"/>
              <w:spacing w:before="0" w:after="0"/>
              <w:ind w:left="0" w:right="0" w:hanging="0"/>
              <w:jc w:val="left"/>
              <w:rPr/>
            </w:pPr>
            <w:r>
              <w:rPr/>
              <w:t>​</w:t>
            </w:r>
          </w:p>
        </w:tc>
        <w:tc>
          <w:tcPr>
            <w:tcW w:w="32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12,245</w:t>
            </w:r>
          </w:p>
        </w:tc>
      </w:tr>
      <w:tr>
        <w:trPr/>
        <w:tc>
          <w:tcPr>
            <w:tcW w:w="4396"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903"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1232" w:type="dxa"/>
            <w:tcBorders/>
            <w:shd w:fill="CCEEFF" w:val="clear"/>
            <w:vAlign w:val="center"/>
          </w:tcPr>
          <w:p>
            <w:pPr>
              <w:pStyle w:val="TableContents"/>
              <w:bidi w:val="0"/>
              <w:spacing w:before="0" w:after="0"/>
              <w:ind w:left="0" w:right="0" w:hanging="0"/>
              <w:jc w:val="right"/>
              <w:rPr/>
            </w:pPr>
            <w:r>
              <w:rPr/>
              <w:t>​</w:t>
            </w:r>
          </w:p>
        </w:tc>
      </w:tr>
      <w:tr>
        <w:trPr/>
        <w:tc>
          <w:tcPr>
            <w:tcW w:w="43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Accrued expenses:</w:t>
            </w:r>
          </w:p>
        </w:tc>
        <w:tc>
          <w:tcPr>
            <w:tcW w:w="282" w:type="dxa"/>
            <w:tcBorders/>
            <w:vAlign w:val="center"/>
          </w:tcPr>
          <w:p>
            <w:pPr>
              <w:pStyle w:val="TableContents"/>
              <w:bidi w:val="0"/>
              <w:spacing w:before="0" w:after="0"/>
              <w:ind w:left="0" w:right="0" w:hanging="0"/>
              <w:jc w:val="left"/>
              <w:rPr/>
            </w:pPr>
            <w:r>
              <w:rPr/>
              <w:t>​</w:t>
            </w:r>
          </w:p>
        </w:tc>
        <w:tc>
          <w:tcPr>
            <w:tcW w:w="90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232" w:type="dxa"/>
            <w:tcBorders/>
            <w:vAlign w:val="center"/>
          </w:tcPr>
          <w:p>
            <w:pPr>
              <w:pStyle w:val="TableContents"/>
              <w:bidi w:val="0"/>
              <w:spacing w:before="0" w:after="0"/>
              <w:ind w:left="0" w:right="0" w:hanging="0"/>
              <w:jc w:val="right"/>
              <w:rPr/>
            </w:pPr>
            <w:r>
              <w:rPr/>
              <w:t>​</w:t>
            </w:r>
          </w:p>
        </w:tc>
      </w:tr>
      <w:tr>
        <w:trPr/>
        <w:tc>
          <w:tcPr>
            <w:tcW w:w="4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general expenses</w:t>
            </w:r>
          </w:p>
        </w:tc>
        <w:tc>
          <w:tcPr>
            <w:tcW w:w="2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15,439</w:t>
            </w:r>
          </w:p>
        </w:tc>
        <w:tc>
          <w:tcPr>
            <w:tcW w:w="14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18,918</w:t>
            </w:r>
          </w:p>
        </w:tc>
      </w:tr>
      <w:tr>
        <w:trPr/>
        <w:tc>
          <w:tcPr>
            <w:tcW w:w="4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contract labor and professional fees</w:t>
            </w:r>
          </w:p>
        </w:tc>
        <w:tc>
          <w:tcPr>
            <w:tcW w:w="282" w:type="dxa"/>
            <w:tcBorders/>
            <w:vAlign w:val="center"/>
          </w:tcPr>
          <w:p>
            <w:pPr>
              <w:pStyle w:val="TableContents"/>
              <w:bidi w:val="0"/>
              <w:spacing w:before="0" w:after="0"/>
              <w:ind w:left="0" w:right="0" w:hanging="0"/>
              <w:jc w:val="left"/>
              <w:rPr/>
            </w:pPr>
            <w:r>
              <w:rPr/>
              <w:t>​</w:t>
            </w:r>
          </w:p>
        </w:tc>
        <w:tc>
          <w:tcPr>
            <w:tcW w:w="9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12,774</w:t>
            </w:r>
          </w:p>
        </w:tc>
        <w:tc>
          <w:tcPr>
            <w:tcW w:w="14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2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17,624</w:t>
            </w:r>
          </w:p>
        </w:tc>
      </w:tr>
      <w:tr>
        <w:trPr/>
        <w:tc>
          <w:tcPr>
            <w:tcW w:w="4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income and other taxes</w:t>
            </w:r>
          </w:p>
        </w:tc>
        <w:tc>
          <w:tcPr>
            <w:tcW w:w="2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6,336</w:t>
            </w:r>
          </w:p>
        </w:tc>
        <w:tc>
          <w:tcPr>
            <w:tcW w:w="146" w:type="dxa"/>
            <w:tcBorders/>
            <w:shd w:fill="CCEEFF" w:val="clear"/>
            <w:vAlign w:val="center"/>
          </w:tcPr>
          <w:p>
            <w:pPr>
              <w:pStyle w:val="TableContents"/>
              <w:bidi w:val="0"/>
              <w:spacing w:before="0" w:after="0"/>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7,100</w:t>
            </w:r>
          </w:p>
        </w:tc>
      </w:tr>
      <w:tr>
        <w:trPr/>
        <w:tc>
          <w:tcPr>
            <w:tcW w:w="4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28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34,549</w:t>
            </w:r>
          </w:p>
        </w:tc>
        <w:tc>
          <w:tcPr>
            <w:tcW w:w="146" w:type="dxa"/>
            <w:tcBorders/>
            <w:vAlign w:val="center"/>
          </w:tcPr>
          <w:p>
            <w:pPr>
              <w:pStyle w:val="TableContents"/>
              <w:bidi w:val="0"/>
              <w:spacing w:before="0" w:after="0"/>
              <w:ind w:left="0" w:right="0" w:hanging="0"/>
              <w:jc w:val="left"/>
              <w:rPr/>
            </w:pPr>
            <w:r>
              <w:rPr/>
              <w:t>​</w:t>
            </w:r>
          </w:p>
        </w:tc>
        <w:tc>
          <w:tcPr>
            <w:tcW w:w="32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2"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43,642</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Cloud computing software implementation costs incurred in hosting arrangements are capitalized and included as a component of prepaid expenses and other current assets, or other assets, once available for their intended use. These costs are amortized using the straight-line method over their respective contract service periods, including periods covered by an option to extend, ranging from </w:t>
      </w:r>
      <w:r>
        <w:rPr>
          <w:rFonts w:ascii="Times New Roman;Times;serif" w:hAnsi="Times New Roman;Times;serif"/>
          <w:b w:val="false"/>
          <w:i w:val="false"/>
          <w:caps w:val="false"/>
          <w:smallCaps w:val="false"/>
          <w:sz w:val="20"/>
        </w:rPr>
        <w:t>two</w:t>
      </w:r>
      <w:r>
        <w:rPr>
          <w:rFonts w:ascii="Times New Roman;Times;serif" w:hAnsi="Times New Roman;Times;serif"/>
          <w:sz w:val="20"/>
        </w:rPr>
        <w:t xml:space="preserve"> to five years. Amortization expense for capitalized cloud computing implementation costs for the three and six months ended June 30, 2026 were $1,358 and $2,395, respectively, and for the three and six months ended June 30, 2025 were $1,018 and $2,204, respectively, and are included in general and administrative expense in the condensed consolidated statements of comprehensive income (loss).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766" w:type="dxa"/>
        <w:jc w:val="left"/>
        <w:tblInd w:w="0" w:type="dxa"/>
        <w:tblLayout w:type="fixed"/>
        <w:tblCellMar>
          <w:top w:w="0" w:type="dxa"/>
          <w:left w:w="0" w:type="dxa"/>
          <w:bottom w:w="0" w:type="dxa"/>
          <w:right w:w="0" w:type="dxa"/>
        </w:tblCellMar>
      </w:tblPr>
      <w:tblGrid>
        <w:gridCol w:w="6766"/>
      </w:tblGrid>
      <w:tr>
        <w:trPr/>
        <w:tc>
          <w:tcPr>
            <w:tcW w:w="6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b/>
          <w:sz w:val="20"/>
        </w:rPr>
      </w:pPr>
      <w:r>
        <w:rPr>
          <w:rFonts w:ascii="Times New Roman;Times;serif" w:hAnsi="Times New Roman;Times;serif"/>
          <w:b/>
          <w:sz w:val="20"/>
        </w:rPr>
        <w:t>Recently Issued Accounting Pronouncements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i/>
          <w:sz w:val="20"/>
        </w:rPr>
      </w:pPr>
      <w:r>
        <w:rPr>
          <w:rFonts w:ascii="Times New Roman;Times;serif" w:hAnsi="Times New Roman;Times;serif"/>
          <w:i/>
          <w:sz w:val="20"/>
        </w:rPr>
        <w:t>Interim Reporting (Topic 270): Narrow-Scope Improvements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December 2025, the Financial Accounting Standards Board (the “FASB”) issued Accounting Standards Update (“ASU”) 2025-11, Interim Reporting (Topic 270): Narrow-Scope Improvements. The standard provides clarifications intended to improve the consistency and usability of interim disclosure requirements, including a comprehensive listing of required interim disclosures and a new disclosure principle for reporting material events occurring after the most recent annual period. The standard does not change the fundamental nature of interim reporting. The standard is effective for fiscal years beginning after December 15, 2027, including interim periods within those fiscal years. The Company is currently evaluating the impact of the standard on its interim reporting processes, including updates to disclosure controls, and interim footnote structure. However, the Company does not expect the adoption of the standard to have a material impact on its consolidated financial statements.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i/>
          <w:sz w:val="20"/>
        </w:rPr>
      </w:pPr>
      <w:r>
        <w:rPr>
          <w:rFonts w:ascii="Times New Roman;Times;serif" w:hAnsi="Times New Roman;Times;serif"/>
          <w:i/>
          <w:sz w:val="20"/>
        </w:rPr>
        <w:t xml:space="preserve">Targeted Improvements to the Accounting for Internal-Use Software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September 2025, the FASB issued ASU 2025-06, Intangibles-Goodwill and Other-Internal-Use Software (Subtopic 350-40): Targeted Improvements to the Accounting for Internal-Use Software. ASU 2025-06 replaces the existing stage based capitalization model with a principles-based approach. Under the new guidance, software development costs are capitalized only when (i) management has authorized and committed to funding the software project, and (ii) it is probable that the project will be completed and the software will be used to perform its intended function. The standard also consolidates guidance for website development costs from Subtopic 350-50 into Subtopic 350-40 and introduces enhanced disclosure requirements related to capitalized software costs. The standard is effective for annual reporting periods beginning after December 15, 2027, including interim reporting periods within those fiscal years. The standard can be adopted retrospectively, prospectively or on a modified prospective basis, and early adoption is permitted as of the beginning of an annual reporting period, provided that the financial statements for that period have not yet been issued or made available for issuance. The Company is currently evaluating the impact of the standard on its consolidated financial statements and related disclosures and will determine the appropriate transition method prior to adoption.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i/>
          <w:sz w:val="20"/>
        </w:rPr>
      </w:pPr>
      <w:r>
        <w:rPr>
          <w:rFonts w:ascii="Times New Roman;Times;serif" w:hAnsi="Times New Roman;Times;serif"/>
          <w:i/>
          <w:sz w:val="20"/>
        </w:rPr>
        <w:t xml:space="preserve">Disaggregation of Income Statement Expenses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November 2024, the FASB issued ASU 2024-03, Income Statement - Reporting Comprehensive Income - Expense Disaggregation Disclosures (Subtopic 220-40): Disaggregation of Income Statement Expenses. Entities will be required to provide disaggregation of certain expense captions into specified categories in disclosures within the footnotes to the financial statements for both interim and annual reporting periods. The standard does not change the expense captions that an entity presents on the face of the income statement. The standard will be effective for annual reporting periods beginning after December 15, 2026, and for interim reporting periods for annual reporting periods beginning after December 15, 2027, with early adoption permitted. Entities are required to adopt the standard prospectively; however, entities are permitted to apply the amendments retrospectively to any or all prior periods presented in the financial statements. The Company is continuing to assess the potential impacts of the standard but does not expect this standard to have a material effect on its financial statements, other than the required changes to the disclosures.</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766" w:type="dxa"/>
        <w:jc w:val="left"/>
        <w:tblInd w:w="0" w:type="dxa"/>
        <w:tblLayout w:type="fixed"/>
        <w:tblCellMar>
          <w:top w:w="0" w:type="dxa"/>
          <w:left w:w="0" w:type="dxa"/>
          <w:bottom w:w="0" w:type="dxa"/>
          <w:right w:w="0" w:type="dxa"/>
        </w:tblCellMar>
      </w:tblPr>
      <w:tblGrid>
        <w:gridCol w:w="6766"/>
      </w:tblGrid>
      <w:tr>
        <w:trPr/>
        <w:tc>
          <w:tcPr>
            <w:tcW w:w="6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286" w:name="Tc_-_7ib9eycEym-_bpPM76bQ_5_5"/>
      <w:bookmarkStart w:id="1287" w:name="Tc_ZLvIR9MKlUuSMASowRXlAA_5_2"/>
      <w:bookmarkStart w:id="1288" w:name="Tc_x6wVaKOB7ESTSRZkFxM8_A_5_0"/>
      <w:bookmarkStart w:id="1289" w:name="Tc_YsDoOfyUxEOka5Dfunpqmw_4_0"/>
      <w:bookmarkStart w:id="1290" w:name="Tc_OI0BB4oJ2EWyj-3FTIDMgg_3_5"/>
      <w:bookmarkStart w:id="1291" w:name="Tc_HpuCH109e0Oo5hnJhXR0Jg_3_2"/>
      <w:bookmarkStart w:id="1292" w:name="Tc_KunEdCgsCkCmW9AYAz6k2w_3_0"/>
      <w:bookmarkStart w:id="1293" w:name="Tc_NQfQC36-PkKMXdhC3_Sqig_2_2"/>
      <w:bookmarkStart w:id="1294" w:name="Tc_tlLsb4Pp8EaU4VVcVtjYSg_1_5"/>
      <w:bookmarkStart w:id="1295" w:name="Tc_8PmOXsZIRkmABIDTiGsODA_1_2"/>
      <w:bookmarkStart w:id="1296" w:name="Tc_locZvEjay06m2fuGHdauww_9_11"/>
      <w:bookmarkStart w:id="1297" w:name="Tc_pG7vUkWSzUy0oW67aGyXNg_9_8"/>
      <w:bookmarkStart w:id="1298" w:name="Tc_YgOMfAHazkiYY7y2cxf1EQ_9_5"/>
      <w:bookmarkStart w:id="1299" w:name="Tc_yhzIDnPHL0asArWEoN2njg_9_2"/>
      <w:bookmarkStart w:id="1300" w:name="Tc_7Qa2hFDMt0ePQNvmNeGGfg_9_0"/>
      <w:bookmarkStart w:id="1301" w:name="Tc_tlURmS1k1E-1vPc_nQOK4Q_8_0"/>
      <w:bookmarkStart w:id="1302" w:name="Tc_vPY1jV5snkW6MvdJjgua3Q_7_0"/>
      <w:bookmarkStart w:id="1303" w:name="Tc_vZ_V359UqkmxV9wCJ5Z9Mw_6_0"/>
      <w:bookmarkStart w:id="1304" w:name="Tc_9ursBZ4cVkmpQPTW6AaHeQ_5_11"/>
      <w:bookmarkStart w:id="1305" w:name="Tc_DMAQ5K66WkyqUM3Ohgncow_5_8"/>
      <w:bookmarkStart w:id="1306" w:name="Tc_FonpJXjAzUavekZ3634ooA_5_5"/>
      <w:bookmarkStart w:id="1307" w:name="Tc_MCcFSdz5NEi2N-gqtZN7HQ_5_2"/>
      <w:bookmarkStart w:id="1308" w:name="Tc_xn3rDpf9UkOnZvWBRURTrw_5_0"/>
      <w:bookmarkStart w:id="1309" w:name="Tc_CBAzEJl6dUm-CsORdow9yQ_4_0"/>
      <w:bookmarkStart w:id="1310" w:name="Tc_HbAuV6GmI0ytZfFSJKDMdQ_3_8"/>
      <w:bookmarkStart w:id="1311" w:name="Tc_J1AmFJLgIkyjGGMlAZil0Q_3_2"/>
      <w:bookmarkStart w:id="1312" w:name="Tc_XV7RlVbCSUuYDnd4yr4B_A_2_11"/>
      <w:bookmarkStart w:id="1313" w:name="Tc_C46NTzgjzESkivAoNhmAyg_2_9"/>
      <w:bookmarkStart w:id="1314" w:name="Tc_OatnJPLFFkCnKTg4JyCJQw_2_5"/>
      <w:bookmarkStart w:id="1315" w:name="Tc_jD77Uy_Wbkeqzca_-I5BzA_2_3"/>
      <w:bookmarkStart w:id="1316" w:name="Tc_uTFQlUey10Ka9cUcSckgVg_1_8"/>
      <w:bookmarkStart w:id="1317" w:name="Tc_sMDvmHElrEG7yRAdFW8nDw_1_2"/>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r>
        <w:rPr>
          <w:rFonts w:ascii="Times New Roman;Times;serif" w:hAnsi="Times New Roman;Times;serif"/>
          <w:b/>
          <w:sz w:val="20"/>
        </w:rPr>
        <w:t>2.     REVENUE RECOGNITION</w:t>
      </w:r>
    </w:p>
    <w:p>
      <w:pPr>
        <w:pStyle w:val="TextBody"/>
        <w:bidi w:val="0"/>
        <w:spacing w:before="0" w:after="240"/>
        <w:ind w:left="0" w:right="0" w:firstLine="360"/>
        <w:jc w:val="left"/>
        <w:rPr>
          <w:rFonts w:ascii="Times New Roman;Times;serif" w:hAnsi="Times New Roman;Times;serif"/>
          <w:b w:val="false"/>
          <w:i/>
          <w:sz w:val="20"/>
        </w:rPr>
      </w:pPr>
      <w:r>
        <w:rPr>
          <w:rFonts w:ascii="Times New Roman;Times;serif" w:hAnsi="Times New Roman;Times;serif"/>
          <w:b w:val="false"/>
          <w:i/>
          <w:sz w:val="20"/>
        </w:rPr>
        <w:t>Disaggregation of revenue</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table reflects revenue by major source for the following periods:</w:t>
      </w:r>
    </w:p>
    <w:p>
      <w:pPr>
        <w:pStyle w:val="TextBody"/>
        <w:bidi w:val="0"/>
        <w:spacing w:before="0" w:after="0"/>
        <w:ind w:left="0" w:right="0" w:hanging="0"/>
        <w:jc w:val="left"/>
        <w:rPr/>
      </w:pPr>
      <w:r>
        <w:rPr/>
        <w:t>​</w:t>
      </w:r>
    </w:p>
    <w:tbl>
      <w:tblPr>
        <w:tblW w:w="7478" w:type="dxa"/>
        <w:jc w:val="left"/>
        <w:tblInd w:w="0" w:type="dxa"/>
        <w:tblLayout w:type="fixed"/>
        <w:tblCellMar>
          <w:top w:w="0" w:type="dxa"/>
          <w:left w:w="0" w:type="dxa"/>
          <w:bottom w:w="0" w:type="dxa"/>
          <w:right w:w="0" w:type="dxa"/>
        </w:tblCellMar>
      </w:tblPr>
      <w:tblGrid>
        <w:gridCol w:w="2011"/>
        <w:gridCol w:w="346"/>
        <w:gridCol w:w="211"/>
        <w:gridCol w:w="781"/>
        <w:gridCol w:w="346"/>
        <w:gridCol w:w="211"/>
        <w:gridCol w:w="781"/>
        <w:gridCol w:w="346"/>
        <w:gridCol w:w="211"/>
        <w:gridCol w:w="781"/>
        <w:gridCol w:w="346"/>
        <w:gridCol w:w="211"/>
        <w:gridCol w:w="896"/>
      </w:tblGrid>
      <w:tr>
        <w:trPr/>
        <w:tc>
          <w:tcPr>
            <w:tcW w:w="2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276985" cy="175260"/>
                      <wp:effectExtent l="0" t="0" r="0" b="0"/>
                      <wp:wrapNone/>
                      <wp:docPr id="60" name="Frame60"/>
                      <a:graphic xmlns:a="http://schemas.openxmlformats.org/drawingml/2006/main">
                        <a:graphicData uri="http://schemas.microsoft.com/office/word/2010/wordprocessingShape">
                          <wps:wsp>
                            <wps:cNvSpPr txBox="1"/>
                            <wps:spPr>
                              <a:xfrm>
                                <a:off x="0" y="0"/>
                                <a:ext cx="1276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19710" cy="175260"/>
                      <wp:effectExtent l="0" t="0" r="0" b="0"/>
                      <wp:wrapNone/>
                      <wp:docPr id="61" name="Frame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33985" cy="175260"/>
                      <wp:effectExtent l="0" t="0" r="0" b="0"/>
                      <wp:wrapNone/>
                      <wp:docPr id="62" name="Frame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495935" cy="175260"/>
                      <wp:effectExtent l="0" t="0" r="0" b="0"/>
                      <wp:wrapNone/>
                      <wp:docPr id="63" name="Frame6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19710" cy="175260"/>
                      <wp:effectExtent l="0" t="0" r="0" b="0"/>
                      <wp:wrapNone/>
                      <wp:docPr id="64" name="Frame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33985" cy="175260"/>
                      <wp:effectExtent l="0" t="0" r="0" b="0"/>
                      <wp:wrapNone/>
                      <wp:docPr id="65" name="Frame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495935" cy="175260"/>
                      <wp:effectExtent l="0" t="0" r="0" b="0"/>
                      <wp:wrapNone/>
                      <wp:docPr id="66" name="Frame6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19710" cy="175260"/>
                      <wp:effectExtent l="0" t="0" r="0" b="0"/>
                      <wp:wrapNone/>
                      <wp:docPr id="67" name="Frame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33985" cy="175260"/>
                      <wp:effectExtent l="0" t="0" r="0" b="0"/>
                      <wp:wrapNone/>
                      <wp:docPr id="68" name="Frame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495935" cy="175260"/>
                      <wp:effectExtent l="0" t="0" r="0" b="0"/>
                      <wp:wrapNone/>
                      <wp:docPr id="69" name="Frame6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19710" cy="175260"/>
                      <wp:effectExtent l="0" t="0" r="0" b="0"/>
                      <wp:wrapNone/>
                      <wp:docPr id="70" name="Frame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33985" cy="175260"/>
                      <wp:effectExtent l="0" t="0" r="0" b="0"/>
                      <wp:wrapNone/>
                      <wp:docPr id="71" name="Frame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568960" cy="175260"/>
                      <wp:effectExtent l="0" t="0" r="0" b="0"/>
                      <wp:wrapNone/>
                      <wp:docPr id="72" name="Frame72"/>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0"/>
              <w:ind w:left="0" w:right="0" w:hanging="0"/>
              <w:jc w:val="left"/>
              <w:rPr/>
            </w:pPr>
            <w:r>
              <w:rPr/>
              <w:t>  ​ ​ ​</w:t>
            </w:r>
          </w:p>
        </w:tc>
        <w:tc>
          <w:tcPr>
            <w:tcW w:w="244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20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478"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0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233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0"/>
              <w:ind w:left="0" w:right="0" w:hanging="0"/>
              <w:jc w:val="left"/>
              <w:rPr/>
            </w:pPr>
            <w:r>
              <w:rPr/>
              <w:t>  ​ ​ ​</w:t>
            </w:r>
          </w:p>
        </w:tc>
        <w:tc>
          <w:tcPr>
            <w:tcW w:w="244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201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Software subscriptions: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6" w:type="dxa"/>
            <w:tcBorders/>
            <w:shd w:fill="CCEEFF" w:val="clear"/>
            <w:vAlign w:val="center"/>
          </w:tcPr>
          <w:p>
            <w:pPr>
              <w:pStyle w:val="TableContents"/>
              <w:bidi w:val="0"/>
              <w:spacing w:before="0" w:after="0"/>
              <w:ind w:left="0" w:right="0" w:hanging="0"/>
              <w:jc w:val="right"/>
              <w:rPr/>
            </w:pPr>
            <w:r>
              <w:rPr/>
              <w:t>  ​</w:t>
            </w:r>
          </w:p>
        </w:tc>
      </w:tr>
      <w:tr>
        <w:trPr/>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Software licenses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73,089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71,632</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143,465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142,243</w:t>
            </w:r>
          </w:p>
        </w:tc>
      </w:tr>
      <w:tr>
        <w:trPr/>
        <w:tc>
          <w:tcPr>
            <w:tcW w:w="20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Cloud subscriptions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101,664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86,212</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198,434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166,362</w:t>
            </w:r>
          </w:p>
        </w:tc>
      </w:tr>
      <w:tr>
        <w:trPr/>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Software subscriptions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174,753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157,844</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341,899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308,605</w:t>
            </w:r>
          </w:p>
        </w:tc>
      </w:tr>
      <w:tr>
        <w:trPr/>
        <w:tc>
          <w:tcPr>
            <w:tcW w:w="20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26,715</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53,016</w:t>
            </w:r>
          </w:p>
        </w:tc>
      </w:tr>
      <w:tr>
        <w:trPr/>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203,970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184,559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400,616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361,621</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Contract balances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Timing of revenue recognition may differ from the timing of invoicing customers. A receivable is recorded in the condensed consolidated balance sheets when customers are billed related to revenue to be collected and recognized for subscription agreements as there is an unconditional right to invoice and receive payment in the future related to these subscriptions. A receivable and related revenue may also be recorded in advance of billings to the extent services have been performed and the Company has a right under the contract to bill and collect for such performance. Subscription-based customers are generally invoiced annually at the beginning of each annual subscription period. Accounts receivable is presented net of an allowance for potentially uncollectible accounts and estimated cancellations of software license and cloud-based subscriptions (the “allowance”) of $12,271 and $11,466 at June 30, 2026 and December 31, 2025, respectively. The allowance for potentially uncollectible accounts represents future expected credit losses over the life of the receivables based on past experience, current information and forward-looking economic considerations.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beginning and ending balances of accounts receivable, net of allowance, are as follows:</w:t>
      </w:r>
    </w:p>
    <w:p>
      <w:pPr>
        <w:pStyle w:val="TextBody"/>
        <w:bidi w:val="0"/>
        <w:spacing w:before="0" w:after="0"/>
        <w:ind w:left="0" w:right="0" w:hanging="0"/>
        <w:jc w:val="left"/>
        <w:rPr/>
      </w:pPr>
      <w:r>
        <w:rPr/>
        <w:t>​</w:t>
      </w:r>
    </w:p>
    <w:tbl>
      <w:tblPr>
        <w:tblW w:w="8664" w:type="dxa"/>
        <w:jc w:val="left"/>
        <w:tblInd w:w="0" w:type="dxa"/>
        <w:tblLayout w:type="fixed"/>
        <w:tblCellMar>
          <w:top w:w="0" w:type="dxa"/>
          <w:left w:w="0" w:type="dxa"/>
          <w:bottom w:w="0" w:type="dxa"/>
          <w:right w:w="0" w:type="dxa"/>
        </w:tblCellMar>
      </w:tblPr>
      <w:tblGrid>
        <w:gridCol w:w="2491"/>
        <w:gridCol w:w="109"/>
        <w:gridCol w:w="633"/>
        <w:gridCol w:w="2352"/>
        <w:gridCol w:w="109"/>
        <w:gridCol w:w="603"/>
        <w:gridCol w:w="2367"/>
      </w:tblGrid>
      <w:tr>
        <w:trPr/>
        <w:tc>
          <w:tcPr>
            <w:tcW w:w="2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581785" cy="175260"/>
                      <wp:effectExtent l="0" t="0" r="0" b="0"/>
                      <wp:wrapNone/>
                      <wp:docPr id="73" name="Frame73"/>
                      <a:graphic xmlns:a="http://schemas.openxmlformats.org/drawingml/2006/main">
                        <a:graphicData uri="http://schemas.microsoft.com/office/word/2010/wordprocessingShape">
                          <wps:wsp>
                            <wps:cNvSpPr txBox="1"/>
                            <wps:spPr>
                              <a:xfrm>
                                <a:off x="0" y="0"/>
                                <a:ext cx="1581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9215" cy="175260"/>
                      <wp:effectExtent l="0" t="0" r="0" b="0"/>
                      <wp:wrapNone/>
                      <wp:docPr id="74" name="Frame7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401955" cy="175260"/>
                      <wp:effectExtent l="0" t="0" r="0" b="0"/>
                      <wp:wrapNone/>
                      <wp:docPr id="75" name="Frame75"/>
                      <a:graphic xmlns:a="http://schemas.openxmlformats.org/drawingml/2006/main">
                        <a:graphicData uri="http://schemas.microsoft.com/office/word/2010/wordprocessingShape">
                          <wps:wsp>
                            <wps:cNvSpPr txBox="1"/>
                            <wps:spPr>
                              <a:xfrm>
                                <a:off x="0" y="0"/>
                                <a:ext cx="401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493520" cy="175260"/>
                      <wp:effectExtent l="0" t="0" r="0" b="0"/>
                      <wp:wrapNone/>
                      <wp:docPr id="76" name="Frame76"/>
                      <a:graphic xmlns:a="http://schemas.openxmlformats.org/drawingml/2006/main">
                        <a:graphicData uri="http://schemas.microsoft.com/office/word/2010/wordprocessingShape">
                          <wps:wsp>
                            <wps:cNvSpPr txBox="1"/>
                            <wps:spPr>
                              <a:xfrm>
                                <a:off x="0" y="0"/>
                                <a:ext cx="1493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9215" cy="175260"/>
                      <wp:effectExtent l="0" t="0" r="0" b="0"/>
                      <wp:wrapNone/>
                      <wp:docPr id="77" name="Frame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382905" cy="175260"/>
                      <wp:effectExtent l="0" t="0" r="0" b="0"/>
                      <wp:wrapNone/>
                      <wp:docPr id="78" name="Frame78"/>
                      <a:graphic xmlns:a="http://schemas.openxmlformats.org/drawingml/2006/main">
                        <a:graphicData uri="http://schemas.microsoft.com/office/word/2010/wordprocessingShape">
                          <wps:wsp>
                            <wps:cNvSpPr txBox="1"/>
                            <wps:spPr>
                              <a:xfrm>
                                <a:off x="0" y="0"/>
                                <a:ext cx="382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503045" cy="175260"/>
                      <wp:effectExtent l="0" t="0" r="0" b="0"/>
                      <wp:wrapNone/>
                      <wp:docPr id="79" name="Frame79"/>
                      <a:graphic xmlns:a="http://schemas.openxmlformats.org/drawingml/2006/main">
                        <a:graphicData uri="http://schemas.microsoft.com/office/word/2010/wordprocessingShape">
                          <wps:wsp>
                            <wps:cNvSpPr txBox="1"/>
                            <wps:spPr>
                              <a:xfrm>
                                <a:off x="0" y="0"/>
                                <a:ext cx="1503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9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 2026</w:t>
            </w:r>
          </w:p>
        </w:tc>
        <w:tc>
          <w:tcPr>
            <w:tcW w:w="109" w:type="dxa"/>
            <w:tcBorders/>
            <w:vAlign w:val="center"/>
          </w:tcPr>
          <w:p>
            <w:pPr>
              <w:pStyle w:val="TableContents"/>
              <w:bidi w:val="0"/>
              <w:spacing w:before="0" w:after="1"/>
              <w:ind w:left="0" w:right="0" w:hanging="0"/>
              <w:jc w:val="center"/>
              <w:rPr/>
            </w:pPr>
            <w:r>
              <w:rPr/>
              <w:t>​</w:t>
            </w:r>
          </w:p>
        </w:tc>
        <w:tc>
          <w:tcPr>
            <w:tcW w:w="29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 2025</w:t>
            </w:r>
          </w:p>
        </w:tc>
      </w:tr>
      <w:tr>
        <w:trPr/>
        <w:tc>
          <w:tcPr>
            <w:tcW w:w="24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9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09" w:type="dxa"/>
            <w:tcBorders/>
            <w:vAlign w:val="center"/>
          </w:tcPr>
          <w:p>
            <w:pPr>
              <w:pStyle w:val="TableContents"/>
              <w:bidi w:val="0"/>
              <w:spacing w:before="0" w:after="1"/>
              <w:ind w:left="0" w:right="0" w:hanging="0"/>
              <w:jc w:val="center"/>
              <w:rPr/>
            </w:pPr>
            <w:r>
              <w:rPr/>
              <w:t>​</w:t>
            </w:r>
          </w:p>
        </w:tc>
        <w:tc>
          <w:tcPr>
            <w:tcW w:w="603" w:type="dxa"/>
            <w:tcBorders/>
            <w:vAlign w:val="center"/>
          </w:tcPr>
          <w:p>
            <w:pPr>
              <w:pStyle w:val="TableContents"/>
              <w:bidi w:val="0"/>
              <w:spacing w:before="0" w:after="1"/>
              <w:ind w:left="0" w:right="0" w:hanging="0"/>
              <w:jc w:val="center"/>
              <w:rPr/>
            </w:pPr>
            <w:r>
              <w:rPr/>
              <w:t>​</w:t>
            </w:r>
          </w:p>
        </w:tc>
        <w:tc>
          <w:tcPr>
            <w:tcW w:w="2367" w:type="dxa"/>
            <w:tcBorders/>
            <w:vAlign w:val="center"/>
          </w:tcPr>
          <w:p>
            <w:pPr>
              <w:pStyle w:val="TableContents"/>
              <w:bidi w:val="0"/>
              <w:spacing w:before="0" w:after="1"/>
              <w:ind w:left="0" w:right="0" w:hanging="0"/>
              <w:jc w:val="center"/>
              <w:rPr/>
            </w:pPr>
            <w:r>
              <w:rPr/>
              <w:t>​</w:t>
            </w:r>
          </w:p>
        </w:tc>
      </w:tr>
      <w:tr>
        <w:trPr/>
        <w:tc>
          <w:tcPr>
            <w:tcW w:w="249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Balance, beginning of period</w:t>
            </w:r>
          </w:p>
        </w:tc>
        <w:tc>
          <w:tcPr>
            <w:tcW w:w="109" w:type="dxa"/>
            <w:tcBorders/>
            <w:shd w:fill="CCEEFF" w:val="clear"/>
            <w:vAlign w:val="center"/>
          </w:tcPr>
          <w:p>
            <w:pPr>
              <w:pStyle w:val="TableContents"/>
              <w:bidi w:val="0"/>
              <w:spacing w:before="0" w:after="1"/>
              <w:ind w:left="0" w:right="0" w:hanging="0"/>
              <w:jc w:val="left"/>
              <w:rPr/>
            </w:pPr>
            <w:r>
              <w:rPr/>
              <w:t>​</w:t>
            </w:r>
          </w:p>
        </w:tc>
        <w:tc>
          <w:tcPr>
            <w:tcW w:w="63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3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183,446</w:t>
            </w:r>
          </w:p>
        </w:tc>
        <w:tc>
          <w:tcPr>
            <w:tcW w:w="109" w:type="dxa"/>
            <w:tcBorders/>
            <w:shd w:fill="CCEEFF" w:val="clear"/>
            <w:vAlign w:val="center"/>
          </w:tcPr>
          <w:p>
            <w:pPr>
              <w:pStyle w:val="TableContents"/>
              <w:bidi w:val="0"/>
              <w:spacing w:before="0" w:after="1"/>
              <w:ind w:left="0" w:right="0" w:hanging="0"/>
              <w:jc w:val="left"/>
              <w:rPr/>
            </w:pPr>
            <w:r>
              <w:rPr/>
              <w:t>​</w:t>
            </w:r>
          </w:p>
        </w:tc>
        <w:tc>
          <w:tcPr>
            <w:tcW w:w="60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3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164,432</w:t>
            </w:r>
          </w:p>
        </w:tc>
      </w:tr>
      <w:tr>
        <w:trPr/>
        <w:tc>
          <w:tcPr>
            <w:tcW w:w="249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Balance, end of period</w:t>
            </w:r>
          </w:p>
        </w:tc>
        <w:tc>
          <w:tcPr>
            <w:tcW w:w="109" w:type="dxa"/>
            <w:tcBorders/>
            <w:vAlign w:val="center"/>
          </w:tcPr>
          <w:p>
            <w:pPr>
              <w:pStyle w:val="TableContents"/>
              <w:bidi w:val="0"/>
              <w:spacing w:before="0" w:after="1"/>
              <w:ind w:left="0" w:right="0" w:hanging="0"/>
              <w:jc w:val="left"/>
              <w:rPr/>
            </w:pPr>
            <w:r>
              <w:rPr/>
              <w:t>​</w:t>
            </w:r>
          </w:p>
        </w:tc>
        <w:tc>
          <w:tcPr>
            <w:tcW w:w="63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235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153,432</w:t>
            </w:r>
          </w:p>
        </w:tc>
        <w:tc>
          <w:tcPr>
            <w:tcW w:w="109" w:type="dxa"/>
            <w:tcBorders/>
            <w:vAlign w:val="center"/>
          </w:tcPr>
          <w:p>
            <w:pPr>
              <w:pStyle w:val="TableContents"/>
              <w:bidi w:val="0"/>
              <w:spacing w:before="0" w:after="1"/>
              <w:ind w:left="0" w:right="0" w:hanging="0"/>
              <w:jc w:val="left"/>
              <w:rPr/>
            </w:pPr>
            <w:r>
              <w:rPr/>
              <w:t>​</w:t>
            </w:r>
          </w:p>
        </w:tc>
        <w:tc>
          <w:tcPr>
            <w:tcW w:w="60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236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183,446</w:t>
            </w:r>
          </w:p>
        </w:tc>
      </w:tr>
      <w:tr>
        <w:trPr/>
        <w:tc>
          <w:tcPr>
            <w:tcW w:w="24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Increase (decrease)</w:t>
            </w:r>
          </w:p>
        </w:tc>
        <w:tc>
          <w:tcPr>
            <w:tcW w:w="109" w:type="dxa"/>
            <w:tcBorders/>
            <w:shd w:fill="CCEEFF" w:val="clear"/>
            <w:vAlign w:val="center"/>
          </w:tcPr>
          <w:p>
            <w:pPr>
              <w:pStyle w:val="TableContents"/>
              <w:bidi w:val="0"/>
              <w:spacing w:before="0" w:after="1"/>
              <w:ind w:left="0" w:right="0" w:hanging="0"/>
              <w:jc w:val="left"/>
              <w:rPr/>
            </w:pPr>
            <w:r>
              <w:rPr/>
              <w:t>​</w:t>
            </w:r>
          </w:p>
        </w:tc>
        <w:tc>
          <w:tcPr>
            <w:tcW w:w="63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35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(30,014)</w:t>
            </w:r>
          </w:p>
        </w:tc>
        <w:tc>
          <w:tcPr>
            <w:tcW w:w="109" w:type="dxa"/>
            <w:tcBorders/>
            <w:shd w:fill="CCEEFF" w:val="clear"/>
            <w:vAlign w:val="center"/>
          </w:tcPr>
          <w:p>
            <w:pPr>
              <w:pStyle w:val="TableContents"/>
              <w:bidi w:val="0"/>
              <w:spacing w:before="0" w:after="1"/>
              <w:ind w:left="0" w:right="0" w:hanging="0"/>
              <w:jc w:val="left"/>
              <w:rPr/>
            </w:pPr>
            <w:r>
              <w:rPr/>
              <w:t>​</w:t>
            </w:r>
          </w:p>
        </w:tc>
        <w:tc>
          <w:tcPr>
            <w:tcW w:w="60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367"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19,014</w:t>
            </w:r>
          </w:p>
        </w:tc>
      </w:tr>
    </w:tbl>
    <w:p>
      <w:pPr>
        <w:pStyle w:val="TextBody"/>
        <w:bidi w:val="0"/>
        <w:spacing w:before="0" w:after="24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 contract liability is recorded as deferred revenue on the condensed consolidated balance sheets when customers are billed in advance of performance obligations being satisfied, and revenue is recognized after invoicing ratably over the subscription period. Deferred revenue is included net of a related deferred allowance for subscription cancellations (the “deferred allowance”) of $4,303 and $4,120 at June 30, 2026 and December 31, 2025, respectively. The deferred allowance represents the portion of the allowance for subscription cancellations associated with deferred revenue.</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beginning and ending balances of and changes to the allowance and the deferred allowance are as follows: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766" w:type="dxa"/>
        <w:jc w:val="left"/>
        <w:tblInd w:w="0" w:type="dxa"/>
        <w:tblLayout w:type="fixed"/>
        <w:tblCellMar>
          <w:top w:w="0" w:type="dxa"/>
          <w:left w:w="0" w:type="dxa"/>
          <w:bottom w:w="0" w:type="dxa"/>
          <w:right w:w="0" w:type="dxa"/>
        </w:tblCellMar>
      </w:tblPr>
      <w:tblGrid>
        <w:gridCol w:w="6766"/>
      </w:tblGrid>
      <w:tr>
        <w:trPr/>
        <w:tc>
          <w:tcPr>
            <w:tcW w:w="6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318" w:name="Tc_PQwFGdEGXEaFL8Lu8-u5Sg_8_11"/>
      <w:bookmarkStart w:id="1319" w:name="Tc_8Zc5PYnbdUOFNqBRWWLEBQ_8_8"/>
      <w:bookmarkStart w:id="1320" w:name="Tc_W3WAh3AZ2EC1IKCST3DSOg_8_5"/>
      <w:bookmarkStart w:id="1321" w:name="Tc_pmA13UpFnEW7Yz2A6otxAg_8_2"/>
      <w:bookmarkStart w:id="1322" w:name="Tc_OO-EQLyiDEC5Uv5OVgTzWg_8_0"/>
      <w:bookmarkStart w:id="1323" w:name="Tc_cka5BX0aRUS9iYFNQqoAIQ_7_0"/>
      <w:bookmarkStart w:id="1324" w:name="Tc_wyYANBowhUa75qKM08aNIA_6_0"/>
      <w:bookmarkStart w:id="1325" w:name="Tc_Wdntq64lPUyesC66KKfbig_5_11"/>
      <w:bookmarkStart w:id="1326" w:name="Tc_WVv4eS9oIECQW8aHysnmDQ_5_8"/>
      <w:bookmarkStart w:id="1327" w:name="Tc_ZTJlX7FAMEWQhxJel3Lh7w_5_5"/>
      <w:bookmarkStart w:id="1328" w:name="Tc_EONW68dnXE6pOU_KesFhlQ_5_2"/>
      <w:bookmarkStart w:id="1329" w:name="Tc_z9brzquRqUy_-9FpxsY1PQ_5_0"/>
      <w:bookmarkStart w:id="1330" w:name="Tc_0IOls1Kvek-nFFM5zZp_dA_4_0"/>
      <w:bookmarkStart w:id="1331" w:name="Tc_iV7AzgDYK0mtUw_cHFH4Ig_3_8"/>
      <w:bookmarkStart w:id="1332" w:name="Tc_2fI3Cey8Sk2YpqedURvrpA_3_2"/>
      <w:bookmarkStart w:id="1333" w:name="Tc_4UHgO0faWUWr1G1uJMgVIA_2_11"/>
      <w:bookmarkStart w:id="1334" w:name="Tc_yHHuB2bJQ0qJxVr9k6_vDQ_2_8"/>
      <w:bookmarkStart w:id="1335" w:name="Tc_7llb92RNfEy6hGXKH8lOIQ_2_5"/>
      <w:bookmarkStart w:id="1336" w:name="Tc_c-FbjBwCykOJixgXoy2jaQ_2_2"/>
      <w:bookmarkStart w:id="1337" w:name="Tc_dFeENiLp0kOKCA6yru5l5w_1_8"/>
      <w:bookmarkStart w:id="1338" w:name="Tc_G3nN58F4nEahfw9NjgmnBQ_1_2"/>
      <w:bookmarkStart w:id="1339" w:name="_322db969_9af5_4826_a799_82c46ebd4e82"/>
      <w:bookmarkStart w:id="1340" w:name="Tc_TRrYf3n5b0qUm0KWD_hu1A_23_11"/>
      <w:bookmarkStart w:id="1341" w:name="Tc_wF-7lem4hkmVbTmxZ3TI-Q_23_5"/>
      <w:bookmarkStart w:id="1342" w:name="Tc_HPyDMMKhHk2OK__3buYYzA_23_0"/>
      <w:bookmarkStart w:id="1343" w:name="Tc_lmyN0PkDkkKiEXByA7s52A_22_0"/>
      <w:bookmarkStart w:id="1344" w:name="Tc_zTQQ5giDeU2b63_aWAcm6Q_21_0"/>
      <w:bookmarkStart w:id="1345" w:name="Tc__TktMvz4WkKUFW4Zr1noEQ_20_0"/>
      <w:bookmarkStart w:id="1346" w:name="Tc_hptBapVhn0yybT1focm_4Q_19_11"/>
      <w:bookmarkStart w:id="1347" w:name="Tc_V7-LbUC62U2BoB4esiuvRg_19_5"/>
      <w:bookmarkStart w:id="1348" w:name="Tc_nYkXowL_7U6gU3A5bqPtcg_19_0"/>
      <w:bookmarkStart w:id="1349" w:name="Tc_B5u0k_yFnEmecyqe_tqP6A_18_0"/>
      <w:bookmarkStart w:id="1350" w:name="Tc_KPWbJocPiE2LZSFt-5YxDw_17_8"/>
      <w:bookmarkStart w:id="1351" w:name="Tc_CGmrjeWGh0mz0sT1eTQo-w_17_2"/>
      <w:bookmarkStart w:id="1352" w:name="Tc__PEPuM7KFky4YAMeKuKUvA_17_0"/>
      <w:bookmarkStart w:id="1353" w:name="Tc_k8p_S2PIfkCez66geGVEzA_16_2"/>
      <w:bookmarkStart w:id="1354" w:name="Tc_BOHa0C-Ep0SmScJKcmZvpw_15_12"/>
      <w:bookmarkStart w:id="1355" w:name="Tc_dicfvqS1v0mnng7QocBW_g_15_8"/>
      <w:bookmarkStart w:id="1356" w:name="Tc_rDZ7Clr-s0eJMQ7KpIKbXQ_15_6"/>
      <w:bookmarkStart w:id="1357" w:name="Tc_rhO1kICbAUifqjnXMZ0Fpg_15_2"/>
      <w:bookmarkStart w:id="1358" w:name="Tc_DUkyAV1fRESZfPo0k36SPg_14_8"/>
      <w:bookmarkStart w:id="1359" w:name="Tc_uuPWcVzpIUKPe2pJhtbsqg_14_2"/>
      <w:bookmarkStart w:id="1360" w:name="Tc_PvE5NrvTy0iUzsFinLgvaA_13_2"/>
      <w:bookmarkStart w:id="1361" w:name="Tc_vO_8VYODi0S93h15eZ3MpQ_11_11"/>
      <w:bookmarkStart w:id="1362" w:name="Tc_gHGiXKzmFk2_RI9G5oPRqA_11_5"/>
      <w:bookmarkStart w:id="1363" w:name="Tc_eXWpRW118UWQRRHxQCPPDA_11_0"/>
      <w:bookmarkStart w:id="1364" w:name="Tc_n69KeT-T70-vwWIbFvTIpQ_10_0"/>
      <w:bookmarkStart w:id="1365" w:name="Tc_vog31YG-j0Gaay0i6gh0yQ_9_0"/>
      <w:bookmarkStart w:id="1366" w:name="Tc_lcBBbHz-2UimR1MSoU8vTA_8_0"/>
      <w:bookmarkStart w:id="1367" w:name="Tc_uXO79JLYs060_MNJxSdUJw_7_11"/>
      <w:bookmarkStart w:id="1368" w:name="Tc_MlDi4mKkZEG2KmSltrsliA_7_5"/>
      <w:bookmarkStart w:id="1369" w:name="Tc_77_2ypJKhUqq-bcQ9wfP5w_7_0"/>
      <w:bookmarkStart w:id="1370" w:name="Tc_YN5IIG4okEuo87jni7M3Gg_6_0"/>
      <w:bookmarkStart w:id="1371" w:name="Tc_iQ0uVSSGfkGiuFcp6UAE6w_5_8"/>
      <w:bookmarkStart w:id="1372" w:name="Tc_AYk9_6Bh-UikIK56m3Hi6Q_5_2"/>
      <w:bookmarkStart w:id="1373" w:name="Tc_gfWbxeXki0KxNRVOzH0lNA_5_0"/>
      <w:bookmarkStart w:id="1374" w:name="Tc_OFep_Igop0u13qePCbogaw_4_2"/>
      <w:bookmarkStart w:id="1375" w:name="Tc_VSROOUkbPkip50NRsGOZwg_3_12"/>
      <w:bookmarkStart w:id="1376" w:name="Tc_0nDBozbuEku9VUp_Y5kBpQ_3_8"/>
      <w:bookmarkStart w:id="1377" w:name="Tc_5lhxhzIJm0WvhrBRCDj4qg_3_6"/>
      <w:bookmarkStart w:id="1378" w:name="Tc_alheRx3IuUaqVcGrM-7FMA_3_2"/>
      <w:bookmarkStart w:id="1379" w:name="Tc_KX_0SUVVj02cwUEsBkP3DA_2_8"/>
      <w:bookmarkStart w:id="1380" w:name="Tc_LauBuswAe0yZa4HkWLIHmA_2_2"/>
      <w:bookmarkStart w:id="1381" w:name="Tc_WYNXypukYUOHNz4Cer7bEg_1_2"/>
      <w:bookmarkStart w:id="1382" w:name="Tc_PQwFGdEGXEaFL8Lu8-u5Sg_8_11"/>
      <w:bookmarkStart w:id="1383" w:name="Tc_8Zc5PYnbdUOFNqBRWWLEBQ_8_8"/>
      <w:bookmarkStart w:id="1384" w:name="Tc_W3WAh3AZ2EC1IKCST3DSOg_8_5"/>
      <w:bookmarkStart w:id="1385" w:name="Tc_pmA13UpFnEW7Yz2A6otxAg_8_2"/>
      <w:bookmarkStart w:id="1386" w:name="Tc_OO-EQLyiDEC5Uv5OVgTzWg_8_0"/>
      <w:bookmarkStart w:id="1387" w:name="Tc_cka5BX0aRUS9iYFNQqoAIQ_7_0"/>
      <w:bookmarkStart w:id="1388" w:name="Tc_wyYANBowhUa75qKM08aNIA_6_0"/>
      <w:bookmarkStart w:id="1389" w:name="Tc_Wdntq64lPUyesC66KKfbig_5_11"/>
      <w:bookmarkStart w:id="1390" w:name="Tc_WVv4eS9oIECQW8aHysnmDQ_5_8"/>
      <w:bookmarkStart w:id="1391" w:name="Tc_ZTJlX7FAMEWQhxJel3Lh7w_5_5"/>
      <w:bookmarkStart w:id="1392" w:name="Tc_EONW68dnXE6pOU_KesFhlQ_5_2"/>
      <w:bookmarkStart w:id="1393" w:name="Tc_z9brzquRqUy_-9FpxsY1PQ_5_0"/>
      <w:bookmarkStart w:id="1394" w:name="Tc_0IOls1Kvek-nFFM5zZp_dA_4_0"/>
      <w:bookmarkStart w:id="1395" w:name="Tc_iV7AzgDYK0mtUw_cHFH4Ig_3_8"/>
      <w:bookmarkStart w:id="1396" w:name="Tc_2fI3Cey8Sk2YpqedURvrpA_3_2"/>
      <w:bookmarkStart w:id="1397" w:name="Tc_4UHgO0faWUWr1G1uJMgVIA_2_11"/>
      <w:bookmarkStart w:id="1398" w:name="Tc_yHHuB2bJQ0qJxVr9k6_vDQ_2_8"/>
      <w:bookmarkStart w:id="1399" w:name="Tc_7llb92RNfEy6hGXKH8lOIQ_2_5"/>
      <w:bookmarkStart w:id="1400" w:name="Tc_c-FbjBwCykOJixgXoy2jaQ_2_2"/>
      <w:bookmarkStart w:id="1401" w:name="Tc_dFeENiLp0kOKCA6yru5l5w_1_8"/>
      <w:bookmarkStart w:id="1402" w:name="Tc_G3nN58F4nEahfw9NjgmnBQ_1_2"/>
      <w:bookmarkStart w:id="1403" w:name="_322db969_9af5_4826_a799_82c46ebd4e82"/>
      <w:bookmarkStart w:id="1404" w:name="Tc_TRrYf3n5b0qUm0KWD_hu1A_23_11"/>
      <w:bookmarkStart w:id="1405" w:name="Tc_wF-7lem4hkmVbTmxZ3TI-Q_23_5"/>
      <w:bookmarkStart w:id="1406" w:name="Tc_HPyDMMKhHk2OK__3buYYzA_23_0"/>
      <w:bookmarkStart w:id="1407" w:name="Tc_lmyN0PkDkkKiEXByA7s52A_22_0"/>
      <w:bookmarkStart w:id="1408" w:name="Tc_zTQQ5giDeU2b63_aWAcm6Q_21_0"/>
      <w:bookmarkStart w:id="1409" w:name="Tc__TktMvz4WkKUFW4Zr1noEQ_20_0"/>
      <w:bookmarkStart w:id="1410" w:name="Tc_hptBapVhn0yybT1focm_4Q_19_11"/>
      <w:bookmarkStart w:id="1411" w:name="Tc_V7-LbUC62U2BoB4esiuvRg_19_5"/>
      <w:bookmarkStart w:id="1412" w:name="Tc_nYkXowL_7U6gU3A5bqPtcg_19_0"/>
      <w:bookmarkStart w:id="1413" w:name="Tc_B5u0k_yFnEmecyqe_tqP6A_18_0"/>
      <w:bookmarkStart w:id="1414" w:name="Tc_KPWbJocPiE2LZSFt-5YxDw_17_8"/>
      <w:bookmarkStart w:id="1415" w:name="Tc_CGmrjeWGh0mz0sT1eTQo-w_17_2"/>
      <w:bookmarkStart w:id="1416" w:name="Tc__PEPuM7KFky4YAMeKuKUvA_17_0"/>
      <w:bookmarkStart w:id="1417" w:name="Tc_k8p_S2PIfkCez66geGVEzA_16_2"/>
      <w:bookmarkStart w:id="1418" w:name="Tc_BOHa0C-Ep0SmScJKcmZvpw_15_12"/>
      <w:bookmarkStart w:id="1419" w:name="Tc_dicfvqS1v0mnng7QocBW_g_15_8"/>
      <w:bookmarkStart w:id="1420" w:name="Tc_rDZ7Clr-s0eJMQ7KpIKbXQ_15_6"/>
      <w:bookmarkStart w:id="1421" w:name="Tc_rhO1kICbAUifqjnXMZ0Fpg_15_2"/>
      <w:bookmarkStart w:id="1422" w:name="Tc_DUkyAV1fRESZfPo0k36SPg_14_8"/>
      <w:bookmarkStart w:id="1423" w:name="Tc_uuPWcVzpIUKPe2pJhtbsqg_14_2"/>
      <w:bookmarkStart w:id="1424" w:name="Tc_PvE5NrvTy0iUzsFinLgvaA_13_2"/>
      <w:bookmarkStart w:id="1425" w:name="Tc_vO_8VYODi0S93h15eZ3MpQ_11_11"/>
      <w:bookmarkStart w:id="1426" w:name="Tc_gHGiXKzmFk2_RI9G5oPRqA_11_5"/>
      <w:bookmarkStart w:id="1427" w:name="Tc_eXWpRW118UWQRRHxQCPPDA_11_0"/>
      <w:bookmarkStart w:id="1428" w:name="Tc_n69KeT-T70-vwWIbFvTIpQ_10_0"/>
      <w:bookmarkStart w:id="1429" w:name="Tc_vog31YG-j0Gaay0i6gh0yQ_9_0"/>
      <w:bookmarkStart w:id="1430" w:name="Tc_lcBBbHz-2UimR1MSoU8vTA_8_0"/>
      <w:bookmarkStart w:id="1431" w:name="Tc_uXO79JLYs060_MNJxSdUJw_7_11"/>
      <w:bookmarkStart w:id="1432" w:name="Tc_MlDi4mKkZEG2KmSltrsliA_7_5"/>
      <w:bookmarkStart w:id="1433" w:name="Tc_77_2ypJKhUqq-bcQ9wfP5w_7_0"/>
      <w:bookmarkStart w:id="1434" w:name="Tc_YN5IIG4okEuo87jni7M3Gg_6_0"/>
      <w:bookmarkStart w:id="1435" w:name="Tc_iQ0uVSSGfkGiuFcp6UAE6w_5_8"/>
      <w:bookmarkStart w:id="1436" w:name="Tc_AYk9_6Bh-UikIK56m3Hi6Q_5_2"/>
      <w:bookmarkStart w:id="1437" w:name="Tc_gfWbxeXki0KxNRVOzH0lNA_5_0"/>
      <w:bookmarkStart w:id="1438" w:name="Tc_OFep_Igop0u13qePCbogaw_4_2"/>
      <w:bookmarkStart w:id="1439" w:name="Tc_VSROOUkbPkip50NRsGOZwg_3_12"/>
      <w:bookmarkStart w:id="1440" w:name="Tc_0nDBozbuEku9VUp_Y5kBpQ_3_8"/>
      <w:bookmarkStart w:id="1441" w:name="Tc_5lhxhzIJm0WvhrBRCDj4qg_3_6"/>
      <w:bookmarkStart w:id="1442" w:name="Tc_alheRx3IuUaqVcGrM-7FMA_3_2"/>
      <w:bookmarkStart w:id="1443" w:name="Tc_KX_0SUVVj02cwUEsBkP3DA_2_8"/>
      <w:bookmarkStart w:id="1444" w:name="Tc_LauBuswAe0yZa4HkWLIHmA_2_2"/>
      <w:bookmarkStart w:id="1445" w:name="Tc_WYNXypukYUOHNz4Cer7bEg_1_2"/>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p>
    <w:tbl>
      <w:tblPr>
        <w:tblW w:w="8866" w:type="dxa"/>
        <w:jc w:val="left"/>
        <w:tblInd w:w="0" w:type="dxa"/>
        <w:tblLayout w:type="fixed"/>
        <w:tblCellMar>
          <w:top w:w="0" w:type="dxa"/>
          <w:left w:w="0" w:type="dxa"/>
          <w:bottom w:w="0" w:type="dxa"/>
          <w:right w:w="0" w:type="dxa"/>
        </w:tblCellMar>
      </w:tblPr>
      <w:tblGrid>
        <w:gridCol w:w="3316"/>
        <w:gridCol w:w="109"/>
        <w:gridCol w:w="211"/>
        <w:gridCol w:w="796"/>
        <w:gridCol w:w="346"/>
        <w:gridCol w:w="211"/>
        <w:gridCol w:w="961"/>
        <w:gridCol w:w="346"/>
        <w:gridCol w:w="211"/>
        <w:gridCol w:w="796"/>
        <w:gridCol w:w="346"/>
        <w:gridCol w:w="211"/>
        <w:gridCol w:w="1006"/>
      </w:tblGrid>
      <w:tr>
        <w:trPr/>
        <w:tc>
          <w:tcPr>
            <w:tcW w:w="3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105660" cy="175260"/>
                      <wp:effectExtent l="0" t="0" r="0" b="0"/>
                      <wp:wrapNone/>
                      <wp:docPr id="80" name="Frame80"/>
                      <a:graphic xmlns:a="http://schemas.openxmlformats.org/drawingml/2006/main">
                        <a:graphicData uri="http://schemas.microsoft.com/office/word/2010/wordprocessingShape">
                          <wps:wsp>
                            <wps:cNvSpPr txBox="1"/>
                            <wps:spPr>
                              <a:xfrm>
                                <a:off x="0" y="0"/>
                                <a:ext cx="2105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9215" cy="175260"/>
                      <wp:effectExtent l="0" t="0" r="0" b="0"/>
                      <wp:wrapNone/>
                      <wp:docPr id="81" name="Frame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33985" cy="175260"/>
                      <wp:effectExtent l="0" t="0" r="0" b="0"/>
                      <wp:wrapNone/>
                      <wp:docPr id="82" name="Frame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505460" cy="175260"/>
                      <wp:effectExtent l="0" t="0" r="0" b="0"/>
                      <wp:wrapNone/>
                      <wp:docPr id="83" name="Frame8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19710" cy="175260"/>
                      <wp:effectExtent l="0" t="0" r="0" b="0"/>
                      <wp:wrapNone/>
                      <wp:docPr id="84" name="Frame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33985" cy="175260"/>
                      <wp:effectExtent l="0" t="0" r="0" b="0"/>
                      <wp:wrapNone/>
                      <wp:docPr id="85" name="Frame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10235" cy="175260"/>
                      <wp:effectExtent l="0" t="0" r="0" b="0"/>
                      <wp:wrapNone/>
                      <wp:docPr id="86" name="Frame86"/>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19710" cy="175260"/>
                      <wp:effectExtent l="0" t="0" r="0" b="0"/>
                      <wp:wrapNone/>
                      <wp:docPr id="87" name="Frame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33985" cy="175260"/>
                      <wp:effectExtent l="0" t="0" r="0" b="0"/>
                      <wp:wrapNone/>
                      <wp:docPr id="88" name="Frame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505460" cy="175260"/>
                      <wp:effectExtent l="0" t="0" r="0" b="0"/>
                      <wp:wrapNone/>
                      <wp:docPr id="89" name="Frame8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19710" cy="175260"/>
                      <wp:effectExtent l="0" t="0" r="0" b="0"/>
                      <wp:wrapNone/>
                      <wp:docPr id="90" name="Frame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33985" cy="175260"/>
                      <wp:effectExtent l="0" t="0" r="0" b="0"/>
                      <wp:wrapNone/>
                      <wp:docPr id="91" name="Frame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38810" cy="175260"/>
                      <wp:effectExtent l="0" t="0" r="0" b="0"/>
                      <wp:wrapNone/>
                      <wp:docPr id="92" name="Frame92"/>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441"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June 30, </w:t>
            </w:r>
          </w:p>
        </w:tc>
      </w:tr>
      <w:tr>
        <w:trPr/>
        <w:tc>
          <w:tcPr>
            <w:tcW w:w="3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w:t>
            </w:r>
          </w:p>
        </w:tc>
        <w:tc>
          <w:tcPr>
            <w:tcW w:w="257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center"/>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Change</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center"/>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Change</w:t>
            </w:r>
          </w:p>
        </w:tc>
      </w:tr>
      <w:tr>
        <w:trPr/>
        <w:tc>
          <w:tcPr>
            <w:tcW w:w="8866"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441"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Allowance balance, April 1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(13,225)</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(17,566)</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  ​</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balance, June 30, </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(12,271)</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(16,389)</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  ​</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allowance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(1,177)</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Deferred allowance balance, April 1,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4,943</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12,547</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  ​</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allowance balance, June 30,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4,303</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11,661</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  ​</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deferred allowance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886</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amount charged to revenues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w:t>
            </w:r>
          </w:p>
        </w:tc>
      </w:tr>
      <w:tr>
        <w:trPr/>
        <w:tc>
          <w:tcPr>
            <w:tcW w:w="3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r>
      <w:tr>
        <w:trPr/>
        <w:tc>
          <w:tcPr>
            <w:tcW w:w="3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441"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 </w:t>
            </w:r>
          </w:p>
        </w:tc>
      </w:tr>
      <w:tr>
        <w:trPr/>
        <w:tc>
          <w:tcPr>
            <w:tcW w:w="3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w:t>
            </w:r>
          </w:p>
        </w:tc>
        <w:tc>
          <w:tcPr>
            <w:tcW w:w="257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center"/>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Change</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center"/>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Change</w:t>
            </w:r>
          </w:p>
        </w:tc>
      </w:tr>
      <w:tr>
        <w:trPr/>
        <w:tc>
          <w:tcPr>
            <w:tcW w:w="8866"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441"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Allowance balance, January 1,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(11,466)</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(16,838)</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  ​</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balance, June 30, </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(12,271)</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(16,389)</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  ​</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allowance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Deferred allowance balance, January 1,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4,120</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12,028</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  ​</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allowance balance, June 30,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4,303</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11,661</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  ​</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deferred allowance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amount charged to revenues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r>
      <w:tr>
        <w:trPr/>
        <w:tc>
          <w:tcPr>
            <w:tcW w:w="3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The portion of deferred revenue expected to be recognized in revenue beyond one year is included in deferred revenue, net of current portion in the condensed consolidated balance sheets. The following table provides information about the balances of and changes to deferred revenue for the following periods:</w:t>
      </w:r>
    </w:p>
    <w:p>
      <w:pPr>
        <w:pStyle w:val="TextBody"/>
        <w:bidi w:val="0"/>
        <w:spacing w:before="0" w:after="0"/>
        <w:ind w:left="0" w:right="0" w:hanging="0"/>
        <w:jc w:val="left"/>
        <w:rPr/>
      </w:pPr>
      <w:r>
        <w:rPr/>
        <w:t>​</w:t>
      </w:r>
    </w:p>
    <w:tbl>
      <w:tblPr>
        <w:tblW w:w="8700" w:type="dxa"/>
        <w:jc w:val="left"/>
        <w:tblInd w:w="0" w:type="dxa"/>
        <w:tblLayout w:type="fixed"/>
        <w:tblCellMar>
          <w:top w:w="0" w:type="dxa"/>
          <w:left w:w="0" w:type="dxa"/>
          <w:bottom w:w="0" w:type="dxa"/>
          <w:right w:w="0" w:type="dxa"/>
        </w:tblCellMar>
      </w:tblPr>
      <w:tblGrid>
        <w:gridCol w:w="2491"/>
        <w:gridCol w:w="346"/>
        <w:gridCol w:w="230"/>
        <w:gridCol w:w="983"/>
        <w:gridCol w:w="377"/>
        <w:gridCol w:w="230"/>
        <w:gridCol w:w="983"/>
        <w:gridCol w:w="346"/>
        <w:gridCol w:w="219"/>
        <w:gridCol w:w="935"/>
        <w:gridCol w:w="359"/>
        <w:gridCol w:w="219"/>
        <w:gridCol w:w="982"/>
      </w:tblGrid>
      <w:tr>
        <w:trPr/>
        <w:tc>
          <w:tcPr>
            <w:tcW w:w="2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581785" cy="175260"/>
                      <wp:effectExtent l="0" t="0" r="0" b="0"/>
                      <wp:wrapNone/>
                      <wp:docPr id="93" name="Frame93"/>
                      <a:graphic xmlns:a="http://schemas.openxmlformats.org/drawingml/2006/main">
                        <a:graphicData uri="http://schemas.microsoft.com/office/word/2010/wordprocessingShape">
                          <wps:wsp>
                            <wps:cNvSpPr txBox="1"/>
                            <wps:spPr>
                              <a:xfrm>
                                <a:off x="0" y="0"/>
                                <a:ext cx="1581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19710" cy="175260"/>
                      <wp:effectExtent l="0" t="0" r="0" b="0"/>
                      <wp:wrapNone/>
                      <wp:docPr id="94" name="Frame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46050" cy="175260"/>
                      <wp:effectExtent l="0" t="0" r="0" b="0"/>
                      <wp:wrapNone/>
                      <wp:docPr id="95" name="Frame95"/>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24205" cy="175260"/>
                      <wp:effectExtent l="0" t="0" r="0" b="0"/>
                      <wp:wrapNone/>
                      <wp:docPr id="96" name="Frame96"/>
                      <a:graphic xmlns:a="http://schemas.openxmlformats.org/drawingml/2006/main">
                        <a:graphicData uri="http://schemas.microsoft.com/office/word/2010/wordprocessingShape">
                          <wps:wsp>
                            <wps:cNvSpPr txBox="1"/>
                            <wps:spPr>
                              <a:xfrm>
                                <a:off x="0" y="0"/>
                                <a:ext cx="624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39395" cy="175260"/>
                      <wp:effectExtent l="0" t="0" r="0" b="0"/>
                      <wp:wrapNone/>
                      <wp:docPr id="97" name="Frame97"/>
                      <a:graphic xmlns:a="http://schemas.openxmlformats.org/drawingml/2006/main">
                        <a:graphicData uri="http://schemas.microsoft.com/office/word/2010/wordprocessingShape">
                          <wps:wsp>
                            <wps:cNvSpPr txBox="1"/>
                            <wps:spPr>
                              <a:xfrm>
                                <a:off x="0" y="0"/>
                                <a:ext cx="239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46050" cy="175260"/>
                      <wp:effectExtent l="0" t="0" r="0" b="0"/>
                      <wp:wrapNone/>
                      <wp:docPr id="98" name="Frame98"/>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24205" cy="175260"/>
                      <wp:effectExtent l="0" t="0" r="0" b="0"/>
                      <wp:wrapNone/>
                      <wp:docPr id="99" name="Frame99"/>
                      <a:graphic xmlns:a="http://schemas.openxmlformats.org/drawingml/2006/main">
                        <a:graphicData uri="http://schemas.microsoft.com/office/word/2010/wordprocessingShape">
                          <wps:wsp>
                            <wps:cNvSpPr txBox="1"/>
                            <wps:spPr>
                              <a:xfrm>
                                <a:off x="0" y="0"/>
                                <a:ext cx="624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19710" cy="175260"/>
                      <wp:effectExtent l="0" t="0" r="0" b="0"/>
                      <wp:wrapNone/>
                      <wp:docPr id="100" name="Frame1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39065" cy="175260"/>
                      <wp:effectExtent l="0" t="0" r="0" b="0"/>
                      <wp:wrapNone/>
                      <wp:docPr id="101" name="Frame101"/>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593725" cy="175260"/>
                      <wp:effectExtent l="0" t="0" r="0" b="0"/>
                      <wp:wrapNone/>
                      <wp:docPr id="102" name="Frame102"/>
                      <a:graphic xmlns:a="http://schemas.openxmlformats.org/drawingml/2006/main">
                        <a:graphicData uri="http://schemas.microsoft.com/office/word/2010/wordprocessingShape">
                          <wps:wsp>
                            <wps:cNvSpPr txBox="1"/>
                            <wps:spPr>
                              <a:xfrm>
                                <a:off x="0" y="0"/>
                                <a:ext cx="593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27965" cy="175260"/>
                      <wp:effectExtent l="0" t="0" r="0" b="0"/>
                      <wp:wrapNone/>
                      <wp:docPr id="103" name="Frame103"/>
                      <a:graphic xmlns:a="http://schemas.openxmlformats.org/drawingml/2006/main">
                        <a:graphicData uri="http://schemas.microsoft.com/office/word/2010/wordprocessingShape">
                          <wps:wsp>
                            <wps:cNvSpPr txBox="1"/>
                            <wps:spPr>
                              <a:xfrm>
                                <a:off x="0" y="0"/>
                                <a:ext cx="227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39065" cy="175260"/>
                      <wp:effectExtent l="0" t="0" r="0" b="0"/>
                      <wp:wrapNone/>
                      <wp:docPr id="104" name="Frame104"/>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23570" cy="175260"/>
                      <wp:effectExtent l="0" t="0" r="0" b="0"/>
                      <wp:wrapNone/>
                      <wp:docPr id="105" name="Frame105"/>
                      <a:graphic xmlns:a="http://schemas.openxmlformats.org/drawingml/2006/main">
                        <a:graphicData uri="http://schemas.microsoft.com/office/word/2010/wordprocessingShape">
                          <wps:wsp>
                            <wps:cNvSpPr txBox="1"/>
                            <wps:spPr>
                              <a:xfrm>
                                <a:off x="0" y="0"/>
                                <a:ext cx="623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0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June 30, </w:t>
            </w:r>
          </w:p>
        </w:tc>
        <w:tc>
          <w:tcPr>
            <w:tcW w:w="346" w:type="dxa"/>
            <w:tcBorders/>
            <w:vAlign w:val="center"/>
          </w:tcPr>
          <w:p>
            <w:pPr>
              <w:pStyle w:val="TableContents"/>
              <w:bidi w:val="0"/>
              <w:spacing w:before="0" w:after="0"/>
              <w:ind w:left="0" w:right="0" w:hanging="0"/>
              <w:jc w:val="left"/>
              <w:rPr/>
            </w:pPr>
            <w:r>
              <w:rPr/>
              <w:t>​</w:t>
            </w:r>
          </w:p>
        </w:tc>
        <w:tc>
          <w:tcPr>
            <w:tcW w:w="271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June 30,  </w:t>
            </w:r>
          </w:p>
        </w:tc>
      </w:tr>
      <w:tr>
        <w:trPr/>
        <w:tc>
          <w:tcPr>
            <w:tcW w:w="24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77" w:type="dxa"/>
            <w:tcBorders/>
            <w:vAlign w:val="center"/>
          </w:tcPr>
          <w:p>
            <w:pPr>
              <w:pStyle w:val="TableContents"/>
              <w:bidi w:val="0"/>
              <w:spacing w:before="0" w:after="0"/>
              <w:ind w:left="0" w:right="0" w:hanging="0"/>
              <w:jc w:val="left"/>
              <w:rPr/>
            </w:pPr>
            <w:r>
              <w:rPr/>
              <w:t>​</w:t>
            </w:r>
          </w:p>
        </w:tc>
        <w:tc>
          <w:tcPr>
            <w:tcW w:w="12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w:t>
            </w:r>
          </w:p>
        </w:tc>
        <w:tc>
          <w:tcPr>
            <w:tcW w:w="11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59" w:type="dxa"/>
            <w:tcBorders/>
            <w:vAlign w:val="center"/>
          </w:tcPr>
          <w:p>
            <w:pPr>
              <w:pStyle w:val="TableContents"/>
              <w:bidi w:val="0"/>
              <w:spacing w:before="0" w:after="0"/>
              <w:ind w:left="0" w:right="0" w:hanging="0"/>
              <w:jc w:val="left"/>
              <w:rPr/>
            </w:pPr>
            <w:r>
              <w:rPr/>
              <w:t>​</w:t>
            </w:r>
          </w:p>
        </w:tc>
        <w:tc>
          <w:tcPr>
            <w:tcW w:w="12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8700"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4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0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0"/>
              <w:ind w:left="0" w:right="0" w:hanging="0"/>
              <w:jc w:val="left"/>
              <w:rPr/>
            </w:pPr>
            <w:r>
              <w:rPr/>
              <w:t>​</w:t>
            </w:r>
          </w:p>
        </w:tc>
        <w:tc>
          <w:tcPr>
            <w:tcW w:w="271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249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Changes to deferred revenue:</w:t>
            </w:r>
          </w:p>
        </w:tc>
        <w:tc>
          <w:tcPr>
            <w:tcW w:w="346" w:type="dxa"/>
            <w:tcBorders/>
            <w:shd w:fill="CCEEFF" w:val="clear"/>
            <w:vAlign w:val="center"/>
          </w:tcPr>
          <w:p>
            <w:pPr>
              <w:pStyle w:val="TableContents"/>
              <w:bidi w:val="0"/>
              <w:spacing w:before="0" w:after="0"/>
              <w:ind w:left="0" w:right="0" w:hanging="0"/>
              <w:jc w:val="left"/>
              <w:rPr/>
            </w:pPr>
            <w:r>
              <w:rPr/>
              <w:t>  ​ ​ ​</w:t>
            </w:r>
          </w:p>
        </w:tc>
        <w:tc>
          <w:tcPr>
            <w:tcW w:w="230" w:type="dxa"/>
            <w:tcBorders/>
            <w:shd w:fill="CCEEFF" w:val="clear"/>
            <w:vAlign w:val="center"/>
          </w:tcPr>
          <w:p>
            <w:pPr>
              <w:pStyle w:val="TableContents"/>
              <w:bidi w:val="0"/>
              <w:spacing w:before="0" w:after="0"/>
              <w:ind w:left="0" w:right="0" w:hanging="0"/>
              <w:jc w:val="left"/>
              <w:rPr/>
            </w:pPr>
            <w:r>
              <w:rPr/>
              <w:t>​</w:t>
            </w:r>
          </w:p>
        </w:tc>
        <w:tc>
          <w:tcPr>
            <w:tcW w:w="983" w:type="dxa"/>
            <w:tcBorders/>
            <w:shd w:fill="CCEEFF" w:val="clear"/>
            <w:vAlign w:val="center"/>
          </w:tcPr>
          <w:p>
            <w:pPr>
              <w:pStyle w:val="TableContents"/>
              <w:bidi w:val="0"/>
              <w:spacing w:before="0" w:after="0"/>
              <w:ind w:left="0" w:right="0" w:hanging="0"/>
              <w:jc w:val="right"/>
              <w:rPr/>
            </w:pPr>
            <w:r>
              <w:rPr/>
              <w:t>  ​</w:t>
            </w:r>
          </w:p>
        </w:tc>
        <w:tc>
          <w:tcPr>
            <w:tcW w:w="377" w:type="dxa"/>
            <w:tcBorders/>
            <w:shd w:fill="CCEEFF" w:val="clear"/>
            <w:vAlign w:val="center"/>
          </w:tcPr>
          <w:p>
            <w:pPr>
              <w:pStyle w:val="TableContents"/>
              <w:bidi w:val="0"/>
              <w:spacing w:before="0" w:after="0"/>
              <w:ind w:left="0" w:right="0" w:hanging="0"/>
              <w:jc w:val="left"/>
              <w:rPr/>
            </w:pPr>
            <w:r>
              <w:rPr/>
              <w:t>  ​ ​ ​</w:t>
            </w:r>
          </w:p>
        </w:tc>
        <w:tc>
          <w:tcPr>
            <w:tcW w:w="230" w:type="dxa"/>
            <w:tcBorders/>
            <w:shd w:fill="CCEEFF" w:val="clear"/>
            <w:vAlign w:val="center"/>
          </w:tcPr>
          <w:p>
            <w:pPr>
              <w:pStyle w:val="TableContents"/>
              <w:bidi w:val="0"/>
              <w:spacing w:before="0" w:after="0"/>
              <w:ind w:left="0" w:right="0" w:hanging="0"/>
              <w:jc w:val="left"/>
              <w:rPr/>
            </w:pPr>
            <w:r>
              <w:rPr/>
              <w:t>​</w:t>
            </w:r>
          </w:p>
        </w:tc>
        <w:tc>
          <w:tcPr>
            <w:tcW w:w="983"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 ​ ​</w:t>
            </w:r>
          </w:p>
        </w:tc>
        <w:tc>
          <w:tcPr>
            <w:tcW w:w="219" w:type="dxa"/>
            <w:tcBorders/>
            <w:shd w:fill="CCEEFF" w:val="clear"/>
            <w:vAlign w:val="center"/>
          </w:tcPr>
          <w:p>
            <w:pPr>
              <w:pStyle w:val="TableContents"/>
              <w:bidi w:val="0"/>
              <w:spacing w:before="0" w:after="0"/>
              <w:ind w:left="0" w:right="0" w:hanging="0"/>
              <w:jc w:val="left"/>
              <w:rPr/>
            </w:pPr>
            <w:r>
              <w:rPr/>
              <w:t>​</w:t>
            </w:r>
          </w:p>
        </w:tc>
        <w:tc>
          <w:tcPr>
            <w:tcW w:w="935" w:type="dxa"/>
            <w:tcBorders/>
            <w:shd w:fill="CCEEFF" w:val="clear"/>
            <w:vAlign w:val="center"/>
          </w:tcPr>
          <w:p>
            <w:pPr>
              <w:pStyle w:val="TableContents"/>
              <w:bidi w:val="0"/>
              <w:spacing w:before="0" w:after="0"/>
              <w:ind w:left="0" w:right="0" w:hanging="0"/>
              <w:jc w:val="right"/>
              <w:rPr/>
            </w:pPr>
            <w:r>
              <w:rPr/>
              <w:t>  ​</w:t>
            </w:r>
          </w:p>
        </w:tc>
        <w:tc>
          <w:tcPr>
            <w:tcW w:w="359" w:type="dxa"/>
            <w:tcBorders/>
            <w:shd w:fill="CCEEFF" w:val="clear"/>
            <w:vAlign w:val="center"/>
          </w:tcPr>
          <w:p>
            <w:pPr>
              <w:pStyle w:val="TableContents"/>
              <w:bidi w:val="0"/>
              <w:spacing w:before="0" w:after="0"/>
              <w:ind w:left="0" w:right="0" w:hanging="0"/>
              <w:jc w:val="left"/>
              <w:rPr/>
            </w:pPr>
            <w:r>
              <w:rPr/>
              <w:t>  ​ ​ ​</w:t>
            </w:r>
          </w:p>
        </w:tc>
        <w:tc>
          <w:tcPr>
            <w:tcW w:w="219" w:type="dxa"/>
            <w:tcBorders/>
            <w:shd w:fill="CCEEFF" w:val="clear"/>
            <w:vAlign w:val="center"/>
          </w:tcPr>
          <w:p>
            <w:pPr>
              <w:pStyle w:val="TableContents"/>
              <w:bidi w:val="0"/>
              <w:spacing w:before="0" w:after="0"/>
              <w:ind w:left="0" w:right="0" w:hanging="0"/>
              <w:jc w:val="left"/>
              <w:rPr/>
            </w:pPr>
            <w:r>
              <w:rPr/>
              <w:t>​</w:t>
            </w:r>
          </w:p>
        </w:tc>
        <w:tc>
          <w:tcPr>
            <w:tcW w:w="982" w:type="dxa"/>
            <w:tcBorders/>
            <w:shd w:fill="CCEEFF" w:val="clear"/>
            <w:vAlign w:val="center"/>
          </w:tcPr>
          <w:p>
            <w:pPr>
              <w:pStyle w:val="TableContents"/>
              <w:bidi w:val="0"/>
              <w:spacing w:before="0" w:after="0"/>
              <w:ind w:left="0" w:right="0" w:hanging="0"/>
              <w:jc w:val="right"/>
              <w:rPr/>
            </w:pPr>
            <w:r>
              <w:rPr/>
              <w:t>  ​</w:t>
            </w:r>
          </w:p>
        </w:tc>
      </w:tr>
      <w:tr>
        <w:trPr/>
        <w:tc>
          <w:tcPr>
            <w:tcW w:w="2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balance</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398,397</w:t>
            </w:r>
          </w:p>
        </w:tc>
        <w:tc>
          <w:tcPr>
            <w:tcW w:w="377"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354,897</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388,048</w:t>
            </w:r>
          </w:p>
        </w:tc>
        <w:tc>
          <w:tcPr>
            <w:tcW w:w="359"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344,166</w:t>
            </w:r>
          </w:p>
        </w:tc>
      </w:tr>
      <w:tr>
        <w:trPr/>
        <w:tc>
          <w:tcPr>
            <w:tcW w:w="2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amounts deferred</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 </w:t>
            </w:r>
          </w:p>
        </w:tc>
        <w:tc>
          <w:tcPr>
            <w:tcW w:w="9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192,474</w:t>
            </w:r>
          </w:p>
        </w:tc>
        <w:tc>
          <w:tcPr>
            <w:tcW w:w="377"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 </w:t>
            </w:r>
          </w:p>
        </w:tc>
        <w:tc>
          <w:tcPr>
            <w:tcW w:w="9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176,912</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 </w:t>
            </w:r>
          </w:p>
        </w:tc>
        <w:tc>
          <w:tcPr>
            <w:tcW w:w="9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399,469</w:t>
            </w:r>
          </w:p>
        </w:tc>
        <w:tc>
          <w:tcPr>
            <w:tcW w:w="359"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 </w:t>
            </w:r>
          </w:p>
        </w:tc>
        <w:tc>
          <w:tcPr>
            <w:tcW w:w="9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364,705</w:t>
            </w:r>
          </w:p>
        </w:tc>
      </w:tr>
      <w:tr>
        <w:trPr/>
        <w:tc>
          <w:tcPr>
            <w:tcW w:w="2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 recognized</w:t>
            </w:r>
          </w:p>
        </w:tc>
        <w:tc>
          <w:tcPr>
            <w:tcW w:w="34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(203,970)</w:t>
            </w:r>
          </w:p>
        </w:tc>
        <w:tc>
          <w:tcPr>
            <w:tcW w:w="377"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(184,559)</w:t>
            </w:r>
          </w:p>
        </w:tc>
        <w:tc>
          <w:tcPr>
            <w:tcW w:w="346" w:type="dxa"/>
            <w:tcBorders/>
            <w:vAlign w:val="center"/>
          </w:tcPr>
          <w:p>
            <w:pPr>
              <w:pStyle w:val="TableContents"/>
              <w:bidi w:val="0"/>
              <w:spacing w:before="0" w:after="0"/>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(400,616)</w:t>
            </w:r>
          </w:p>
        </w:tc>
        <w:tc>
          <w:tcPr>
            <w:tcW w:w="359" w:type="dxa"/>
            <w:tcBorders/>
            <w:vAlign w:val="center"/>
          </w:tcPr>
          <w:p>
            <w:pPr>
              <w:pStyle w:val="TableContents"/>
              <w:bidi w:val="0"/>
              <w:spacing w:before="0" w:after="0"/>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(361,621)</w:t>
            </w:r>
          </w:p>
        </w:tc>
      </w:tr>
      <w:tr>
        <w:trPr/>
        <w:tc>
          <w:tcPr>
            <w:tcW w:w="2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Ending balance</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386,901</w:t>
            </w:r>
          </w:p>
        </w:tc>
        <w:tc>
          <w:tcPr>
            <w:tcW w:w="377"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347,250</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386,901</w:t>
            </w:r>
          </w:p>
        </w:tc>
        <w:tc>
          <w:tcPr>
            <w:tcW w:w="359" w:type="dxa"/>
            <w:tcBorders/>
            <w:shd w:fill="CCEEFF" w:val="clear"/>
            <w:vAlign w:val="center"/>
          </w:tcPr>
          <w:p>
            <w:pPr>
              <w:pStyle w:val="TableContents"/>
              <w:bidi w:val="0"/>
              <w:spacing w:before="0" w:after="0"/>
              <w:ind w:left="0" w:right="0" w:hanging="0"/>
              <w:jc w:val="left"/>
              <w:rPr/>
            </w:pPr>
            <w:r>
              <w:rPr/>
              <w:t>​</w:t>
            </w:r>
          </w:p>
        </w:tc>
        <w:tc>
          <w:tcPr>
            <w:tcW w:w="21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2"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347,250</w:t>
            </w:r>
          </w:p>
        </w:tc>
      </w:tr>
    </w:tbl>
    <w:p>
      <w:pPr>
        <w:pStyle w:val="TextBody"/>
        <w:bidi w:val="0"/>
        <w:spacing w:before="0" w:after="0"/>
        <w:ind w:left="0" w:right="0" w:hanging="0"/>
        <w:jc w:val="left"/>
        <w:rPr/>
      </w:pPr>
      <w:r>
        <w:rPr/>
        <w:t>​</w:t>
      </w:r>
    </w:p>
    <w:p>
      <w:pPr>
        <w:pStyle w:val="TextBody"/>
        <w:bidi w:val="0"/>
        <w:spacing w:before="0" w:after="240"/>
        <w:ind w:left="360" w:right="0" w:hanging="0"/>
        <w:jc w:val="left"/>
        <w:rPr>
          <w:rFonts w:ascii="Times New Roman;Times;serif" w:hAnsi="Times New Roman;Times;serif"/>
          <w:b w:val="false"/>
          <w:i/>
          <w:sz w:val="20"/>
        </w:rPr>
      </w:pPr>
      <w:r>
        <w:rPr>
          <w:rFonts w:ascii="Times New Roman;Times;serif" w:hAnsi="Times New Roman;Times;serif"/>
          <w:b w:val="false"/>
          <w:i/>
          <w:sz w:val="20"/>
        </w:rPr>
        <w:t>Contract costs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Deferred sales commissions earned by the Company’s sales force and certain sales incentive programs and vendor referral agreements are considered incremental and recoverable costs of obtaining a contract with a customer. An asset is recognized for these incremental contract costs and included as deferred commissions in the condensed consolidated balance sheets. These contract costs are amortized on a straight-line basis over a period consistent with the transfer of the associated products and services to the customer, which is generally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three years. Amortization of these costs are included in selling and marketing expense in the condensed consolidated statements of comprehensive income (loss). The Company periodically reviews these contract assets to determine whether events or changes in circumstances have occurred that could impact the period of benefit of these assets. There were no impairment losses recorded for the periods presented.</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changes to contract cost balances as of and for the following periods are:</w:t>
      </w:r>
      <w:r>
        <w:rPr>
          <w:rFonts w:ascii="Times New Roman;Times;serif" w:hAnsi="Times New Roman;Times;serif"/>
          <w:color w:val="FF0000"/>
          <w:sz w:val="20"/>
        </w:rPr>
        <w:t xml:space="preserv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766" w:type="dxa"/>
        <w:jc w:val="left"/>
        <w:tblInd w:w="0" w:type="dxa"/>
        <w:tblLayout w:type="fixed"/>
        <w:tblCellMar>
          <w:top w:w="0" w:type="dxa"/>
          <w:left w:w="0" w:type="dxa"/>
          <w:bottom w:w="0" w:type="dxa"/>
          <w:right w:w="0" w:type="dxa"/>
        </w:tblCellMar>
      </w:tblPr>
      <w:tblGrid>
        <w:gridCol w:w="6766"/>
      </w:tblGrid>
      <w:tr>
        <w:trPr/>
        <w:tc>
          <w:tcPr>
            <w:tcW w:w="6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bookmarkStart w:id="1446" w:name="Tc_hKhA_q_tQkO0dCCeoJp8UQ_8_11"/>
      <w:bookmarkStart w:id="1447" w:name="Tc_gJZnd-zoREyjqtQ3-O7jeA_8_8"/>
      <w:bookmarkStart w:id="1448" w:name="Tc__fEmHfQDKUidl83Q3qIurw_8_5"/>
      <w:bookmarkStart w:id="1449" w:name="Tc_DTPecAR0O0yIB7B838bpIA_8_2"/>
      <w:bookmarkStart w:id="1450" w:name="Tc__n91Bg4zEUO1XyddnvdR6w_8_0"/>
      <w:bookmarkStart w:id="1451" w:name="Tc_aSHODmRCM0Cg_1Wez_8Gog_7_0"/>
      <w:bookmarkStart w:id="1452" w:name="Tc_cJrPYDKTRU6ymyXdbcykPg_6_0"/>
      <w:bookmarkStart w:id="1453" w:name="Tc_bD59DxsCE0iN_LY5QsgTzA_5_11"/>
      <w:bookmarkStart w:id="1454" w:name="Tc_bVwEcmCe606miyPveVUvGA_5_8"/>
      <w:bookmarkStart w:id="1455" w:name="Tc_WWLjUMJITkyCkjlGfOxkpQ_5_5"/>
      <w:bookmarkStart w:id="1456" w:name="Tc_Eu5BjW0ztUuDkwsCaxs-nA_5_2"/>
      <w:bookmarkStart w:id="1457" w:name="Tc_FR0rK0k9pUef-DBa_j5YPA_5_0"/>
      <w:bookmarkStart w:id="1458" w:name="Tc_-R0H9sDWnEWDzMO56I9cPw_4_0"/>
      <w:bookmarkStart w:id="1459" w:name="Tc_MrxlUzBZrkycI26ihNZyrw_3_8"/>
      <w:bookmarkStart w:id="1460" w:name="Tc_Lf7dmuHuv0SAQX0PCnV8Bw_3_2"/>
      <w:bookmarkStart w:id="1461" w:name="Tc_S6Swz5FkhEqkwTDicYEvJg_2_11"/>
      <w:bookmarkStart w:id="1462" w:name="Tc__hFyDtYFX0ecEDoKJLWw7w_2_8"/>
      <w:bookmarkStart w:id="1463" w:name="Tc_PmQvxo6KMEK5L2sNuFeSCA_2_5"/>
      <w:bookmarkStart w:id="1464" w:name="Tc_8v25fWjlAkuQO2p3syRJJQ_2_2"/>
      <w:bookmarkStart w:id="1465" w:name="Tc_TO6p0W1viEinELai3z4qrg_1_8"/>
      <w:bookmarkStart w:id="1466" w:name="Tc_OuJ9pBgQOEuzn5WQbEbSQA_1_2"/>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r>
        <w:rPr/>
        <w:t>​</w:t>
      </w:r>
    </w:p>
    <w:tbl>
      <w:tblPr>
        <w:tblW w:w="8174" w:type="dxa"/>
        <w:jc w:val="left"/>
        <w:tblInd w:w="0" w:type="dxa"/>
        <w:tblLayout w:type="fixed"/>
        <w:tblCellMar>
          <w:top w:w="0" w:type="dxa"/>
          <w:left w:w="0" w:type="dxa"/>
          <w:bottom w:w="0" w:type="dxa"/>
          <w:right w:w="0" w:type="dxa"/>
        </w:tblCellMar>
      </w:tblPr>
      <w:tblGrid>
        <w:gridCol w:w="1966"/>
        <w:gridCol w:w="346"/>
        <w:gridCol w:w="275"/>
        <w:gridCol w:w="901"/>
        <w:gridCol w:w="451"/>
        <w:gridCol w:w="275"/>
        <w:gridCol w:w="901"/>
        <w:gridCol w:w="346"/>
        <w:gridCol w:w="238"/>
        <w:gridCol w:w="898"/>
        <w:gridCol w:w="390"/>
        <w:gridCol w:w="238"/>
        <w:gridCol w:w="949"/>
      </w:tblGrid>
      <w:tr>
        <w:trPr/>
        <w:tc>
          <w:tcPr>
            <w:tcW w:w="1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248410" cy="175260"/>
                      <wp:effectExtent l="0" t="0" r="0" b="0"/>
                      <wp:wrapNone/>
                      <wp:docPr id="106" name="Frame106"/>
                      <a:graphic xmlns:a="http://schemas.openxmlformats.org/drawingml/2006/main">
                        <a:graphicData uri="http://schemas.microsoft.com/office/word/2010/wordprocessingShape">
                          <wps:wsp>
                            <wps:cNvSpPr txBox="1"/>
                            <wps:spPr>
                              <a:xfrm>
                                <a:off x="0" y="0"/>
                                <a:ext cx="1248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19710" cy="175260"/>
                      <wp:effectExtent l="0" t="0" r="0" b="0"/>
                      <wp:wrapNone/>
                      <wp:docPr id="107" name="Frame1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74625" cy="175260"/>
                      <wp:effectExtent l="0" t="0" r="0" b="0"/>
                      <wp:wrapNone/>
                      <wp:docPr id="108" name="Frame108"/>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572135" cy="175260"/>
                      <wp:effectExtent l="0" t="0" r="0" b="0"/>
                      <wp:wrapNone/>
                      <wp:docPr id="109" name="Frame109"/>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86385" cy="175260"/>
                      <wp:effectExtent l="0" t="0" r="0" b="0"/>
                      <wp:wrapNone/>
                      <wp:docPr id="110" name="Frame110"/>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74625" cy="175260"/>
                      <wp:effectExtent l="0" t="0" r="0" b="0"/>
                      <wp:wrapNone/>
                      <wp:docPr id="111" name="Frame111"/>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572135" cy="175260"/>
                      <wp:effectExtent l="0" t="0" r="0" b="0"/>
                      <wp:wrapNone/>
                      <wp:docPr id="112" name="Frame112"/>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19710" cy="175260"/>
                      <wp:effectExtent l="0" t="0" r="0" b="0"/>
                      <wp:wrapNone/>
                      <wp:docPr id="113" name="Frame1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51130" cy="175260"/>
                      <wp:effectExtent l="0" t="0" r="0" b="0"/>
                      <wp:wrapNone/>
                      <wp:docPr id="114" name="Frame114"/>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570230" cy="175260"/>
                      <wp:effectExtent l="0" t="0" r="0" b="0"/>
                      <wp:wrapNone/>
                      <wp:docPr id="115" name="Frame115"/>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47650" cy="175260"/>
                      <wp:effectExtent l="0" t="0" r="0" b="0"/>
                      <wp:wrapNone/>
                      <wp:docPr id="116" name="Frame116"/>
                      <a:graphic xmlns:a="http://schemas.openxmlformats.org/drawingml/2006/main">
                        <a:graphicData uri="http://schemas.microsoft.com/office/word/2010/wordprocessingShape">
                          <wps:wsp>
                            <wps:cNvSpPr txBox="1"/>
                            <wps:spPr>
                              <a:xfrm>
                                <a:off x="0" y="0"/>
                                <a:ext cx="247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51130" cy="175260"/>
                      <wp:effectExtent l="0" t="0" r="0" b="0"/>
                      <wp:wrapNone/>
                      <wp:docPr id="117" name="Frame117"/>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02615" cy="175260"/>
                      <wp:effectExtent l="0" t="0" r="0" b="0"/>
                      <wp:wrapNone/>
                      <wp:docPr id="118" name="Frame118"/>
                      <a:graphic xmlns:a="http://schemas.openxmlformats.org/drawingml/2006/main">
                        <a:graphicData uri="http://schemas.microsoft.com/office/word/2010/wordprocessingShape">
                          <wps:wsp>
                            <wps:cNvSpPr txBox="1"/>
                            <wps:spPr>
                              <a:xfrm>
                                <a:off x="0" y="0"/>
                                <a:ext cx="602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0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June 30, </w:t>
            </w:r>
          </w:p>
        </w:tc>
        <w:tc>
          <w:tcPr>
            <w:tcW w:w="346" w:type="dxa"/>
            <w:tcBorders/>
            <w:vAlign w:val="center"/>
          </w:tcPr>
          <w:p>
            <w:pPr>
              <w:pStyle w:val="TableContents"/>
              <w:bidi w:val="0"/>
              <w:spacing w:before="0" w:after="0"/>
              <w:ind w:left="0" w:right="0" w:hanging="0"/>
              <w:jc w:val="left"/>
              <w:rPr/>
            </w:pPr>
            <w:r>
              <w:rPr/>
              <w:t>​</w:t>
            </w:r>
          </w:p>
        </w:tc>
        <w:tc>
          <w:tcPr>
            <w:tcW w:w="271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June 30,  </w:t>
            </w:r>
          </w:p>
        </w:tc>
      </w:tr>
      <w:tr>
        <w:trPr/>
        <w:tc>
          <w:tcPr>
            <w:tcW w:w="1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51" w:type="dxa"/>
            <w:tcBorders/>
            <w:vAlign w:val="center"/>
          </w:tcPr>
          <w:p>
            <w:pPr>
              <w:pStyle w:val="TableContents"/>
              <w:bidi w:val="0"/>
              <w:spacing w:before="0" w:after="0"/>
              <w:ind w:left="0" w:right="0" w:hanging="0"/>
              <w:jc w:val="left"/>
              <w:rPr/>
            </w:pPr>
            <w:r>
              <w:rPr/>
              <w:t>​</w:t>
            </w:r>
          </w:p>
        </w:tc>
        <w:tc>
          <w:tcPr>
            <w:tcW w:w="11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w:t>
            </w:r>
          </w:p>
        </w:tc>
        <w:tc>
          <w:tcPr>
            <w:tcW w:w="11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90" w:type="dxa"/>
            <w:tcBorders/>
            <w:vAlign w:val="center"/>
          </w:tcPr>
          <w:p>
            <w:pPr>
              <w:pStyle w:val="TableContents"/>
              <w:bidi w:val="0"/>
              <w:spacing w:before="0" w:after="0"/>
              <w:ind w:left="0" w:right="0" w:hanging="0"/>
              <w:jc w:val="left"/>
              <w:rPr/>
            </w:pPr>
            <w:r>
              <w:rPr/>
              <w:t>​</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8174"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1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0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0"/>
              <w:ind w:left="0" w:right="0" w:hanging="0"/>
              <w:jc w:val="left"/>
              <w:rPr/>
            </w:pPr>
            <w:r>
              <w:rPr/>
              <w:t>​</w:t>
            </w:r>
          </w:p>
        </w:tc>
        <w:tc>
          <w:tcPr>
            <w:tcW w:w="271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196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Deferred commissions:</w:t>
            </w:r>
          </w:p>
        </w:tc>
        <w:tc>
          <w:tcPr>
            <w:tcW w:w="346" w:type="dxa"/>
            <w:tcBorders/>
            <w:shd w:fill="CCEEFF" w:val="clear"/>
            <w:vAlign w:val="center"/>
          </w:tcPr>
          <w:p>
            <w:pPr>
              <w:pStyle w:val="TableContents"/>
              <w:bidi w:val="0"/>
              <w:spacing w:before="0" w:after="0"/>
              <w:ind w:left="0" w:right="0" w:hanging="0"/>
              <w:jc w:val="left"/>
              <w:rPr/>
            </w:pPr>
            <w:r>
              <w:rPr/>
              <w:t>  ​ ​ ​</w:t>
            </w:r>
          </w:p>
        </w:tc>
        <w:tc>
          <w:tcPr>
            <w:tcW w:w="275" w:type="dxa"/>
            <w:tcBorders/>
            <w:shd w:fill="CCEEFF" w:val="clear"/>
            <w:vAlign w:val="center"/>
          </w:tcPr>
          <w:p>
            <w:pPr>
              <w:pStyle w:val="TableContents"/>
              <w:bidi w:val="0"/>
              <w:spacing w:before="0" w:after="0"/>
              <w:ind w:left="0" w:right="0" w:hanging="0"/>
              <w:jc w:val="right"/>
              <w:rPr/>
            </w:pPr>
            <w:r>
              <w:rPr/>
              <w:t>​</w:t>
            </w:r>
          </w:p>
        </w:tc>
        <w:tc>
          <w:tcPr>
            <w:tcW w:w="901" w:type="dxa"/>
            <w:tcBorders/>
            <w:shd w:fill="CCEEFF" w:val="clear"/>
            <w:vAlign w:val="center"/>
          </w:tcPr>
          <w:p>
            <w:pPr>
              <w:pStyle w:val="TableContents"/>
              <w:bidi w:val="0"/>
              <w:spacing w:before="0" w:after="0"/>
              <w:ind w:left="0" w:right="0" w:hanging="0"/>
              <w:jc w:val="right"/>
              <w:rPr/>
            </w:pPr>
            <w:r>
              <w:rPr/>
              <w:t>  ​</w:t>
            </w:r>
          </w:p>
        </w:tc>
        <w:tc>
          <w:tcPr>
            <w:tcW w:w="451" w:type="dxa"/>
            <w:tcBorders/>
            <w:shd w:fill="CCEEFF" w:val="clear"/>
            <w:vAlign w:val="center"/>
          </w:tcPr>
          <w:p>
            <w:pPr>
              <w:pStyle w:val="TableContents"/>
              <w:bidi w:val="0"/>
              <w:spacing w:before="0" w:after="0"/>
              <w:ind w:left="0" w:right="0" w:hanging="0"/>
              <w:jc w:val="left"/>
              <w:rPr/>
            </w:pPr>
            <w:r>
              <w:rPr/>
              <w:t>  ​ ​ ​</w:t>
            </w:r>
          </w:p>
        </w:tc>
        <w:tc>
          <w:tcPr>
            <w:tcW w:w="275"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 ​ ​</w:t>
            </w:r>
          </w:p>
        </w:tc>
        <w:tc>
          <w:tcPr>
            <w:tcW w:w="238" w:type="dxa"/>
            <w:tcBorders/>
            <w:shd w:fill="CCEEFF" w:val="clear"/>
            <w:vAlign w:val="center"/>
          </w:tcPr>
          <w:p>
            <w:pPr>
              <w:pStyle w:val="TableContents"/>
              <w:bidi w:val="0"/>
              <w:spacing w:before="0" w:after="0"/>
              <w:ind w:left="0" w:right="0" w:hanging="0"/>
              <w:jc w:val="right"/>
              <w:rPr/>
            </w:pPr>
            <w:r>
              <w:rPr/>
              <w:t>​</w:t>
            </w:r>
          </w:p>
        </w:tc>
        <w:tc>
          <w:tcPr>
            <w:tcW w:w="898" w:type="dxa"/>
            <w:tcBorders/>
            <w:shd w:fill="CCEEFF" w:val="clear"/>
            <w:vAlign w:val="center"/>
          </w:tcPr>
          <w:p>
            <w:pPr>
              <w:pStyle w:val="TableContents"/>
              <w:bidi w:val="0"/>
              <w:spacing w:before="0" w:after="0"/>
              <w:ind w:left="0" w:right="0" w:hanging="0"/>
              <w:jc w:val="right"/>
              <w:rPr/>
            </w:pPr>
            <w:r>
              <w:rPr/>
              <w:t>  ​</w:t>
            </w:r>
          </w:p>
        </w:tc>
        <w:tc>
          <w:tcPr>
            <w:tcW w:w="390" w:type="dxa"/>
            <w:tcBorders/>
            <w:shd w:fill="CCEEFF" w:val="clear"/>
            <w:vAlign w:val="center"/>
          </w:tcPr>
          <w:p>
            <w:pPr>
              <w:pStyle w:val="TableContents"/>
              <w:bidi w:val="0"/>
              <w:spacing w:before="0" w:after="0"/>
              <w:ind w:left="0" w:right="0" w:hanging="0"/>
              <w:jc w:val="left"/>
              <w:rPr/>
            </w:pPr>
            <w:r>
              <w:rPr/>
              <w:t>  ​ ​ ​</w:t>
            </w:r>
          </w:p>
        </w:tc>
        <w:tc>
          <w:tcPr>
            <w:tcW w:w="238" w:type="dxa"/>
            <w:tcBorders/>
            <w:shd w:fill="CCEEFF" w:val="clear"/>
            <w:vAlign w:val="center"/>
          </w:tcPr>
          <w:p>
            <w:pPr>
              <w:pStyle w:val="TableContents"/>
              <w:bidi w:val="0"/>
              <w:spacing w:before="0" w:after="0"/>
              <w:ind w:left="0" w:right="0" w:hanging="0"/>
              <w:jc w:val="left"/>
              <w:rPr/>
            </w:pPr>
            <w:r>
              <w:rPr/>
              <w:t>​</w:t>
            </w:r>
          </w:p>
        </w:tc>
        <w:tc>
          <w:tcPr>
            <w:tcW w:w="949" w:type="dxa"/>
            <w:tcBorders/>
            <w:shd w:fill="CCEEFF" w:val="clear"/>
            <w:vAlign w:val="center"/>
          </w:tcPr>
          <w:p>
            <w:pPr>
              <w:pStyle w:val="TableContents"/>
              <w:bidi w:val="0"/>
              <w:spacing w:before="0" w:after="0"/>
              <w:ind w:left="0" w:right="0" w:hanging="0"/>
              <w:jc w:val="right"/>
              <w:rPr/>
            </w:pPr>
            <w:r>
              <w:rPr/>
              <w:t>  ​</w:t>
            </w:r>
          </w:p>
        </w:tc>
      </w:tr>
      <w:tr>
        <w:trPr/>
        <w:tc>
          <w:tcPr>
            <w:tcW w:w="1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balance</w:t>
            </w:r>
          </w:p>
        </w:tc>
        <w:tc>
          <w:tcPr>
            <w:tcW w:w="34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30,879</w:t>
            </w:r>
          </w:p>
        </w:tc>
        <w:tc>
          <w:tcPr>
            <w:tcW w:w="451"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27,535</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31,907</w:t>
            </w:r>
          </w:p>
        </w:tc>
        <w:tc>
          <w:tcPr>
            <w:tcW w:w="390"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27,480</w:t>
            </w:r>
          </w:p>
        </w:tc>
      </w:tr>
      <w:tr>
        <w:trPr/>
        <w:tc>
          <w:tcPr>
            <w:tcW w:w="19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w:t>
            </w:r>
          </w:p>
        </w:tc>
        <w:tc>
          <w:tcPr>
            <w:tcW w:w="346"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5,809</w:t>
            </w:r>
          </w:p>
        </w:tc>
        <w:tc>
          <w:tcPr>
            <w:tcW w:w="451"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5,922</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 </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11,927</w:t>
            </w:r>
          </w:p>
        </w:tc>
        <w:tc>
          <w:tcPr>
            <w:tcW w:w="390"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 </w:t>
            </w:r>
          </w:p>
        </w:tc>
        <w:tc>
          <w:tcPr>
            <w:tcW w:w="9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10,979</w:t>
            </w:r>
          </w:p>
        </w:tc>
      </w:tr>
      <w:tr>
        <w:trPr/>
        <w:tc>
          <w:tcPr>
            <w:tcW w:w="1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w:t>
            </w:r>
          </w:p>
        </w:tc>
        <w:tc>
          <w:tcPr>
            <w:tcW w:w="346" w:type="dxa"/>
            <w:tcBorders/>
            <w:vAlign w:val="center"/>
          </w:tcPr>
          <w:p>
            <w:pPr>
              <w:pStyle w:val="TableContents"/>
              <w:bidi w:val="0"/>
              <w:spacing w:before="0" w:after="0"/>
              <w:ind w:left="0" w:right="0" w:hanging="0"/>
              <w:jc w:val="left"/>
              <w:rPr/>
            </w:pPr>
            <w:r>
              <w:rPr/>
              <w:t>​</w:t>
            </w:r>
          </w:p>
        </w:tc>
        <w:tc>
          <w:tcPr>
            <w:tcW w:w="27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(7,522)</w:t>
            </w:r>
          </w:p>
        </w:tc>
        <w:tc>
          <w:tcPr>
            <w:tcW w:w="451" w:type="dxa"/>
            <w:tcBorders/>
            <w:vAlign w:val="center"/>
          </w:tcPr>
          <w:p>
            <w:pPr>
              <w:pStyle w:val="TableContents"/>
              <w:bidi w:val="0"/>
              <w:spacing w:before="0" w:after="0"/>
              <w:ind w:left="0" w:right="0" w:hanging="0"/>
              <w:jc w:val="left"/>
              <w:rPr/>
            </w:pPr>
            <w:r>
              <w:rPr/>
              <w:t>​</w:t>
            </w:r>
          </w:p>
        </w:tc>
        <w:tc>
          <w:tcPr>
            <w:tcW w:w="27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(5,720)</w:t>
            </w:r>
          </w:p>
        </w:tc>
        <w:tc>
          <w:tcPr>
            <w:tcW w:w="346" w:type="dxa"/>
            <w:tcBorders/>
            <w:vAlign w:val="center"/>
          </w:tcPr>
          <w:p>
            <w:pPr>
              <w:pStyle w:val="TableContents"/>
              <w:bidi w:val="0"/>
              <w:spacing w:before="0" w:after="0"/>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(14,668)</w:t>
            </w:r>
          </w:p>
        </w:tc>
        <w:tc>
          <w:tcPr>
            <w:tcW w:w="390" w:type="dxa"/>
            <w:tcBorders/>
            <w:vAlign w:val="center"/>
          </w:tcPr>
          <w:p>
            <w:pPr>
              <w:pStyle w:val="TableContents"/>
              <w:bidi w:val="0"/>
              <w:spacing w:before="0" w:after="0"/>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(10,722)</w:t>
            </w:r>
          </w:p>
        </w:tc>
      </w:tr>
      <w:tr>
        <w:trPr/>
        <w:tc>
          <w:tcPr>
            <w:tcW w:w="19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Ending balance</w:t>
            </w:r>
          </w:p>
        </w:tc>
        <w:tc>
          <w:tcPr>
            <w:tcW w:w="346" w:type="dxa"/>
            <w:tcBorders/>
            <w:shd w:fill="CCEEFF" w:val="clear"/>
            <w:vAlign w:val="center"/>
          </w:tcPr>
          <w:p>
            <w:pPr>
              <w:pStyle w:val="TableContents"/>
              <w:bidi w:val="0"/>
              <w:spacing w:before="0" w:after="0"/>
              <w:ind w:left="0" w:right="0" w:hanging="0"/>
              <w:jc w:val="left"/>
              <w:rPr/>
            </w:pPr>
            <w:r>
              <w:rPr/>
              <w:t>​</w:t>
            </w:r>
          </w:p>
        </w:tc>
        <w:tc>
          <w:tcPr>
            <w:tcW w:w="27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29,166</w:t>
            </w:r>
          </w:p>
        </w:tc>
        <w:tc>
          <w:tcPr>
            <w:tcW w:w="451" w:type="dxa"/>
            <w:tcBorders/>
            <w:shd w:fill="CCEEFF" w:val="clear"/>
            <w:vAlign w:val="center"/>
          </w:tcPr>
          <w:p>
            <w:pPr>
              <w:pStyle w:val="TableContents"/>
              <w:bidi w:val="0"/>
              <w:spacing w:before="0" w:after="0"/>
              <w:ind w:left="0" w:right="0" w:hanging="0"/>
              <w:jc w:val="left"/>
              <w:rPr/>
            </w:pPr>
            <w:r>
              <w:rPr/>
              <w:t>​</w:t>
            </w:r>
          </w:p>
        </w:tc>
        <w:tc>
          <w:tcPr>
            <w:tcW w:w="27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27,737</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29,166</w:t>
            </w:r>
          </w:p>
        </w:tc>
        <w:tc>
          <w:tcPr>
            <w:tcW w:w="390" w:type="dxa"/>
            <w:tcBorders/>
            <w:shd w:fill="CCEEFF" w:val="clear"/>
            <w:vAlign w:val="center"/>
          </w:tcPr>
          <w:p>
            <w:pPr>
              <w:pStyle w:val="TableContents"/>
              <w:bidi w:val="0"/>
              <w:spacing w:before="0" w:after="0"/>
              <w:ind w:left="0" w:right="0" w:hanging="0"/>
              <w:jc w:val="left"/>
              <w:rPr/>
            </w:pPr>
            <w:r>
              <w:rPr/>
              <w:t>​</w:t>
            </w:r>
          </w:p>
        </w:tc>
        <w:tc>
          <w:tcPr>
            <w:tcW w:w="23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9"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27,737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3.    ACQUISITIONS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March 2, 2026 (the “Acquisition Date”), the Company completed its acquisition of 100% of the equity interests of Finta Inc. and its subsidiaries (collectively, “Brinta” or the “Acquisition”). Headquartered in Uruguay, Brinta is a Latin American provider of business-to-business integration services, specializing in indirect tax calculation, tax filing, and e-invoicing. The Company plans to fully integrate Brinta, leveraging its e-invoicing capabilities to immediately expand the Company’s coverage across the Latin American region.</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Purchase Consideration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Total purchase consideration for the Acquisition was $22,070 net of $40 cash acquired, which included $10,089 for the settlement of pre-existing debt/borrowings.</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 xml:space="preserve">Additional Consideration </w:t>
      </w:r>
    </w:p>
    <w:p>
      <w:pPr>
        <w:pStyle w:val="TextBody"/>
        <w:bidi w:val="0"/>
        <w:spacing w:before="0" w:after="0"/>
        <w:ind w:left="0" w:right="0" w:firstLine="360"/>
        <w:jc w:val="both"/>
        <w:rPr>
          <w:rFonts w:ascii="Times New Roman;Times;serif" w:hAnsi="Times New Roman;Times;serif"/>
          <w:i/>
          <w:sz w:val="20"/>
        </w:rPr>
      </w:pPr>
      <w:r>
        <w:rPr>
          <w:rFonts w:ascii="Times New Roman;Times;serif" w:hAnsi="Times New Roman;Times;serif"/>
          <w:i/>
          <w:sz w:val="20"/>
        </w:rPr>
        <w:t>Stock Consideration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connection with the Acquisition, the Company granted the sellers 497 shares of its Class A common stock (the “Stock Consideration”) in the form of restricted stock awards (“RSAs”) with an aggregate fair value of $8,000 based on the average closing share price of the Company’s Class A common stock for the 30 consecutive trading days ending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business day prior to the Acquisition Date. The RSAs vest ratably over a </w:t>
      </w:r>
      <w:r>
        <w:rPr>
          <w:rFonts w:ascii="Times New Roman;Times;serif" w:hAnsi="Times New Roman;Times;serif"/>
          <w:b w:val="false"/>
          <w:i w:val="false"/>
          <w:caps w:val="false"/>
          <w:smallCaps w:val="false"/>
          <w:sz w:val="20"/>
        </w:rPr>
        <w:t>four</w:t>
      </w:r>
      <w:r>
        <w:rPr>
          <w:rFonts w:ascii="Times New Roman;Times;serif" w:hAnsi="Times New Roman;Times;serif"/>
          <w:sz w:val="20"/>
        </w:rPr>
        <w:t>-year period (25% vesting annually), conditioned on the continued employment of the sellers during that period. The Stock Consideration is accounted for as post-combination compensation cost and will be recognized as stock-based compensation expense over the applicable service period. For further information on these RSAs, see Note 11, “Stock-Based Award Plans.”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i/>
          <w:sz w:val="20"/>
        </w:rPr>
      </w:pPr>
      <w:r>
        <w:rPr>
          <w:rFonts w:ascii="Times New Roman;Times;serif" w:hAnsi="Times New Roman;Times;serif"/>
          <w:i/>
          <w:sz w:val="20"/>
        </w:rPr>
        <w:t xml:space="preserve">Additional Cash Consideration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connection with the Acquisition, the Company entered into arrangements providing for aggregate additional cash consideration payments of $10,000 to the sellers (the “Additional Cash Consideration”), consisting of two installment payments of $5,000, payable on each of the first and second anniversaries of the Acquisition Date. Continued service to the Company is a requirement for the sellers to receive the additional cash consideration payments; however, in the event a seller is terminated without cause, the remaining payments remain payable on the original scheduled payment dates. These payments are accounted for as post-combination compensation liabilities and will be recognized as compensation expense over the applicable service period. Additional Cash Consideration for the three and six months ended June 30, 2026 was $1,250 and $1,667, respectively, and is included in general and administrative expense in the condensed consolidated statements of comprehensive income (loss).</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766" w:type="dxa"/>
        <w:jc w:val="left"/>
        <w:tblInd w:w="0" w:type="dxa"/>
        <w:tblLayout w:type="fixed"/>
        <w:tblCellMar>
          <w:top w:w="0" w:type="dxa"/>
          <w:left w:w="0" w:type="dxa"/>
          <w:bottom w:w="0" w:type="dxa"/>
          <w:right w:w="0" w:type="dxa"/>
        </w:tblCellMar>
      </w:tblPr>
      <w:tblGrid>
        <w:gridCol w:w="6766"/>
      </w:tblGrid>
      <w:tr>
        <w:trPr/>
        <w:tc>
          <w:tcPr>
            <w:tcW w:w="6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b/>
          <w:sz w:val="20"/>
        </w:rPr>
      </w:pPr>
      <w:bookmarkStart w:id="1467" w:name="Tc_pmFo1_hTf0CcTT1hwMEojw_3_7"/>
      <w:bookmarkStart w:id="1468" w:name="Tc_CEuKbf40zkuzEUt6PpxuXg_3_4"/>
      <w:bookmarkStart w:id="1469" w:name="Tc_p06cuYt_PEik1wv6-SIklw_3_2"/>
      <w:bookmarkStart w:id="1470" w:name="Tc_FGhsgaizHUenEfpp5oosPQ_3_0"/>
      <w:bookmarkStart w:id="1471" w:name="Tc_0rn9ZYuBFE--7h0V1xUxoQ_2_9"/>
      <w:bookmarkStart w:id="1472" w:name="Tc_-v_wA8ru5E6-d8I4aym14w_2_7"/>
      <w:bookmarkStart w:id="1473" w:name="Tc_Mc9hPYw_7ECkRyq9GAqDuA_2_5"/>
      <w:bookmarkStart w:id="1474" w:name="Tc_o2JJmQPAek2RcWwKlTgBxw_2_2"/>
      <w:bookmarkStart w:id="1475" w:name="Tc_QpgJlxY0a0KRA6egGpUeWg_2_0"/>
      <w:bookmarkStart w:id="1476" w:name="Tc_pX4Gqtn8ckW84IErY1EQlA_1_4"/>
      <w:bookmarkStart w:id="1477" w:name="Tc_WGjzit8n10GU1eqxOC9oPQ_13_0"/>
      <w:bookmarkStart w:id="1478" w:name="Tc_g28bEGvp_U6C6nQOo1XQmg_12_0"/>
      <w:bookmarkStart w:id="1479" w:name="Tc_CW-T_ELgBkSOf_1DREh8qA_11_1"/>
      <w:bookmarkStart w:id="1480" w:name="Tc_S4n0cTiyWE-P9QPXKGHLQA_11_0"/>
      <w:bookmarkStart w:id="1481" w:name="Tc_Rvxau9DsZ0WQy_IUke84bA_10_0"/>
      <w:bookmarkStart w:id="1482" w:name="Tc_kdMDjS1Uo0yiH3eqYrH5qA_9_0"/>
      <w:bookmarkStart w:id="1483" w:name="Tc_Bx4Q5j5gz02Ub1u_7X-9ZA_8_0"/>
      <w:bookmarkStart w:id="1484" w:name="Tc_Xst9R4iQlkuaSP2C05qf5A_7_0"/>
      <w:bookmarkStart w:id="1485" w:name="Tc_-NYJ47wupkmGbEoEQQgZRg_6_0"/>
      <w:bookmarkStart w:id="1486" w:name="Tc_1V4bxb8w7kiiuBHPo-8bBA_5_0"/>
      <w:bookmarkStart w:id="1487" w:name="Tc_4PoKDbthFUmG9906QgWeIw_4_0"/>
      <w:bookmarkStart w:id="1488" w:name="Tc_b8XkVOPKhk-dqVNKDqtk-g_3_1"/>
      <w:bookmarkStart w:id="1489" w:name="Tc_Zpx00mtvok6kXfrpCIuKBA_3_0"/>
      <w:bookmarkStart w:id="1490" w:name="Tc_KrM6Kl60OEuSDmZQAOH1Xw_2_1"/>
      <w:bookmarkStart w:id="1491" w:name="Tc_rA-vSRFrkkafAiDj7FV3Qw_1_1"/>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r>
        <w:rPr>
          <w:rFonts w:ascii="Times New Roman;Times;serif" w:hAnsi="Times New Roman;Times;serif"/>
          <w:b/>
          <w:sz w:val="20"/>
        </w:rPr>
        <w:t xml:space="preserve">Fair Value of Assets Acquired and Liabilities Assumed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purchase price was allocated to the net assets acquired based on the Company’s determination of their estimated fair values using available information as of the Acquisition Date. The excess of purchase consideration over the net assets acquired is recorded as goodwill, which primarily reflects the existence of intangible assets not recognized under U.S. GAAP such as the value of expected future synergies, the value of the assembled workforce and other market factors. </w:t>
      </w:r>
    </w:p>
    <w:p>
      <w:pPr>
        <w:pStyle w:val="TextBody"/>
        <w:bidi w:val="0"/>
        <w:spacing w:before="0" w:after="0"/>
        <w:ind w:left="0" w:right="0" w:firstLine="360"/>
        <w:jc w:val="both"/>
        <w:rPr/>
      </w:pPr>
      <w:r>
        <w:rPr/>
        <w:t>​</w:t>
      </w:r>
    </w:p>
    <w:tbl>
      <w:tblPr>
        <w:tblW w:w="6856" w:type="dxa"/>
        <w:jc w:val="left"/>
        <w:tblInd w:w="0" w:type="dxa"/>
        <w:tblLayout w:type="fixed"/>
        <w:tblCellMar>
          <w:top w:w="0" w:type="dxa"/>
          <w:left w:w="0" w:type="dxa"/>
          <w:bottom w:w="0" w:type="dxa"/>
          <w:right w:w="0" w:type="dxa"/>
        </w:tblCellMar>
      </w:tblPr>
      <w:tblGrid>
        <w:gridCol w:w="5641"/>
        <w:gridCol w:w="270"/>
        <w:gridCol w:w="945"/>
      </w:tblGrid>
      <w:tr>
        <w:trPr/>
        <w:tc>
          <w:tcPr>
            <w:tcW w:w="5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3582035" cy="175260"/>
                      <wp:effectExtent l="0" t="0" r="0" b="0"/>
                      <wp:wrapNone/>
                      <wp:docPr id="119" name="Frame119"/>
                      <a:graphic xmlns:a="http://schemas.openxmlformats.org/drawingml/2006/main">
                        <a:graphicData uri="http://schemas.microsoft.com/office/word/2010/wordprocessingShape">
                          <wps:wsp>
                            <wps:cNvSpPr txBox="1"/>
                            <wps:spPr>
                              <a:xfrm>
                                <a:off x="0" y="0"/>
                                <a:ext cx="3582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71450" cy="175260"/>
                      <wp:effectExtent l="0" t="0" r="0" b="0"/>
                      <wp:wrapNone/>
                      <wp:docPr id="120" name="Frame120"/>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00075" cy="175260"/>
                      <wp:effectExtent l="0" t="0" r="0" b="0"/>
                      <wp:wrapNone/>
                      <wp:docPr id="121" name="Frame121"/>
                      <a:graphic xmlns:a="http://schemas.openxmlformats.org/drawingml/2006/main">
                        <a:graphicData uri="http://schemas.microsoft.com/office/word/2010/wordprocessingShape">
                          <wps:wsp>
                            <wps:cNvSpPr txBox="1"/>
                            <wps:spPr>
                              <a:xfrm>
                                <a:off x="0" y="0"/>
                                <a:ext cx="600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641" w:type="dxa"/>
            <w:tcBorders/>
            <w:vAlign w:val="center"/>
          </w:tcPr>
          <w:p>
            <w:pPr>
              <w:pStyle w:val="TableContents"/>
              <w:bidi w:val="0"/>
              <w:spacing w:before="0" w:after="0"/>
              <w:ind w:left="0" w:right="0" w:hanging="0"/>
              <w:jc w:val="center"/>
              <w:rPr/>
            </w:pPr>
            <w:r>
              <w:rPr/>
              <w:t>​</w:t>
            </w:r>
          </w:p>
        </w:tc>
        <w:tc>
          <w:tcPr>
            <w:tcW w:w="12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2, 2026</w:t>
            </w:r>
          </w:p>
        </w:tc>
      </w:tr>
      <w:tr>
        <w:trPr/>
        <w:tc>
          <w:tcPr>
            <w:tcW w:w="5641" w:type="dxa"/>
            <w:tcBorders/>
            <w:vAlign w:val="center"/>
          </w:tcPr>
          <w:p>
            <w:pPr>
              <w:pStyle w:val="TableContents"/>
              <w:bidi w:val="0"/>
              <w:spacing w:before="0" w:after="0"/>
              <w:ind w:left="0" w:right="0" w:hanging="0"/>
              <w:jc w:val="left"/>
              <w:rPr/>
            </w:pPr>
            <w:r>
              <w:rPr/>
              <w:t>​</w:t>
            </w:r>
          </w:p>
        </w:tc>
        <w:tc>
          <w:tcPr>
            <w:tcW w:w="121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564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Cash</w:t>
            </w:r>
          </w:p>
        </w:tc>
        <w:tc>
          <w:tcPr>
            <w:tcW w:w="2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56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Accounts receivable</w:t>
            </w:r>
          </w:p>
        </w:tc>
        <w:tc>
          <w:tcPr>
            <w:tcW w:w="270" w:type="dxa"/>
            <w:tcBorders/>
            <w:vAlign w:val="center"/>
          </w:tcPr>
          <w:p>
            <w:pPr>
              <w:pStyle w:val="TableContents"/>
              <w:bidi w:val="0"/>
              <w:spacing w:before="0" w:after="0"/>
              <w:ind w:left="0" w:right="0" w:hanging="0"/>
              <w:jc w:val="left"/>
              <w:rPr/>
            </w:pPr>
            <w:r>
              <w:rPr/>
              <w:t>​</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685</w:t>
            </w:r>
          </w:p>
        </w:tc>
      </w:tr>
      <w:tr>
        <w:trPr/>
        <w:tc>
          <w:tcPr>
            <w:tcW w:w="564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Prepaid expenses and other current assets</w:t>
            </w:r>
          </w:p>
        </w:tc>
        <w:tc>
          <w:tcPr>
            <w:tcW w:w="270" w:type="dxa"/>
            <w:tcBorders/>
            <w:shd w:fill="CCEEFF" w:val="clear"/>
            <w:vAlign w:val="center"/>
          </w:tcPr>
          <w:p>
            <w:pPr>
              <w:pStyle w:val="TableContents"/>
              <w:bidi w:val="0"/>
              <w:spacing w:before="0" w:after="0"/>
              <w:ind w:left="0" w:right="0" w:hanging="0"/>
              <w:jc w:val="left"/>
              <w:rPr/>
            </w:pPr>
            <w:r>
              <w:rPr/>
              <w:t>​</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5641" w:type="dxa"/>
            <w:tcBorders/>
            <w:vAlign w:val="center"/>
          </w:tcPr>
          <w:p>
            <w:pPr>
              <w:pStyle w:val="TableContents"/>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 xml:space="preserve">Property and equipment </w:t>
            </w:r>
            <w:r>
              <w:rPr>
                <w:rFonts w:ascii="Times New Roman;Times;serif" w:hAnsi="Times New Roman;Times;serif"/>
                <w:sz w:val="15"/>
              </w:rPr>
              <w:t>(1)</w:t>
            </w:r>
          </w:p>
        </w:tc>
        <w:tc>
          <w:tcPr>
            <w:tcW w:w="270" w:type="dxa"/>
            <w:tcBorders/>
            <w:vAlign w:val="center"/>
          </w:tcPr>
          <w:p>
            <w:pPr>
              <w:pStyle w:val="TableContents"/>
              <w:bidi w:val="0"/>
              <w:spacing w:before="0" w:after="0"/>
              <w:ind w:left="0" w:right="0" w:hanging="0"/>
              <w:jc w:val="left"/>
              <w:rPr/>
            </w:pPr>
            <w:r>
              <w:rPr/>
              <w:t>​</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7,932</w:t>
            </w:r>
          </w:p>
        </w:tc>
      </w:tr>
      <w:tr>
        <w:trPr/>
        <w:tc>
          <w:tcPr>
            <w:tcW w:w="5641" w:type="dxa"/>
            <w:tcBorders/>
            <w:shd w:fill="CCEEFF" w:val="clear"/>
            <w:vAlign w:val="center"/>
          </w:tcPr>
          <w:p>
            <w:pPr>
              <w:pStyle w:val="TableContents"/>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 xml:space="preserve">Goodwill </w:t>
            </w:r>
            <w:r>
              <w:rPr>
                <w:rFonts w:ascii="Times New Roman;Times;serif" w:hAnsi="Times New Roman;Times;serif"/>
                <w:sz w:val="15"/>
              </w:rPr>
              <w:t>(2)</w:t>
            </w:r>
          </w:p>
        </w:tc>
        <w:tc>
          <w:tcPr>
            <w:tcW w:w="270" w:type="dxa"/>
            <w:tcBorders/>
            <w:shd w:fill="CCEEFF" w:val="clear"/>
            <w:vAlign w:val="center"/>
          </w:tcPr>
          <w:p>
            <w:pPr>
              <w:pStyle w:val="TableContents"/>
              <w:bidi w:val="0"/>
              <w:spacing w:before="0" w:after="0"/>
              <w:ind w:left="0" w:right="0" w:hanging="0"/>
              <w:jc w:val="left"/>
              <w:rPr/>
            </w:pPr>
            <w:r>
              <w:rPr/>
              <w:t>​</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15,014</w:t>
            </w:r>
          </w:p>
        </w:tc>
      </w:tr>
      <w:tr>
        <w:trPr/>
        <w:tc>
          <w:tcPr>
            <w:tcW w:w="56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Accounts payable</w:t>
            </w:r>
          </w:p>
        </w:tc>
        <w:tc>
          <w:tcPr>
            <w:tcW w:w="270" w:type="dxa"/>
            <w:tcBorders/>
            <w:vAlign w:val="center"/>
          </w:tcPr>
          <w:p>
            <w:pPr>
              <w:pStyle w:val="TableContents"/>
              <w:bidi w:val="0"/>
              <w:spacing w:before="0" w:after="0"/>
              <w:ind w:left="0" w:right="0" w:hanging="0"/>
              <w:jc w:val="left"/>
              <w:rPr/>
            </w:pPr>
            <w:r>
              <w:rPr/>
              <w:t>​</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564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Other current liabilities</w:t>
            </w:r>
          </w:p>
        </w:tc>
        <w:tc>
          <w:tcPr>
            <w:tcW w:w="270" w:type="dxa"/>
            <w:tcBorders/>
            <w:shd w:fill="CCEEFF" w:val="clear"/>
            <w:vAlign w:val="center"/>
          </w:tcPr>
          <w:p>
            <w:pPr>
              <w:pStyle w:val="TableContents"/>
              <w:bidi w:val="0"/>
              <w:spacing w:before="0" w:after="0"/>
              <w:ind w:left="0" w:right="0" w:hanging="0"/>
              <w:jc w:val="left"/>
              <w:rPr/>
            </w:pPr>
            <w:r>
              <w:rPr/>
              <w:t>​</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56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Deferred income tax</w:t>
            </w:r>
          </w:p>
        </w:tc>
        <w:tc>
          <w:tcPr>
            <w:tcW w:w="27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(1,487)</w:t>
            </w:r>
          </w:p>
        </w:tc>
      </w:tr>
      <w:tr>
        <w:trPr/>
        <w:tc>
          <w:tcPr>
            <w:tcW w:w="5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2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22,110</w:t>
            </w:r>
          </w:p>
        </w:tc>
      </w:tr>
      <w:tr>
        <w:trPr/>
        <w:tc>
          <w:tcPr>
            <w:tcW w:w="5641"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4"/>
              </w:rPr>
              <w:t>(1)</w:t>
            </w:r>
            <w:r>
              <w:rPr>
                <w:rFonts w:ascii="Times New Roman;Times;serif" w:hAnsi="Times New Roman;Times;serif"/>
                <w:sz w:val="18"/>
              </w:rPr>
              <w:t xml:space="preserve"> Includes $7,848 of acquired developed technology.</w:t>
            </w:r>
          </w:p>
        </w:tc>
        <w:tc>
          <w:tcPr>
            <w:tcW w:w="270" w:type="dxa"/>
            <w:tcBorders/>
            <w:vAlign w:val="center"/>
          </w:tcPr>
          <w:p>
            <w:pPr>
              <w:pStyle w:val="TableContents"/>
              <w:bidi w:val="0"/>
              <w:spacing w:before="0" w:after="0"/>
              <w:ind w:left="0" w:right="0" w:hanging="0"/>
              <w:jc w:val="left"/>
              <w:rPr/>
            </w:pPr>
            <w:r>
              <w:rPr/>
              <w:t>​</w:t>
            </w:r>
          </w:p>
        </w:tc>
        <w:tc>
          <w:tcPr>
            <w:tcW w:w="945" w:type="dxa"/>
            <w:tcBorders/>
            <w:vAlign w:val="center"/>
          </w:tcPr>
          <w:p>
            <w:pPr>
              <w:pStyle w:val="TableContents"/>
              <w:bidi w:val="0"/>
              <w:spacing w:before="0" w:after="0"/>
              <w:ind w:left="0" w:right="0" w:hanging="0"/>
              <w:jc w:val="left"/>
              <w:rPr/>
            </w:pPr>
            <w:r>
              <w:rPr/>
              <w:t>​</w:t>
            </w:r>
          </w:p>
        </w:tc>
      </w:tr>
      <w:tr>
        <w:trPr/>
        <w:tc>
          <w:tcPr>
            <w:tcW w:w="5641"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4"/>
              </w:rPr>
              <w:t>(2)</w:t>
            </w:r>
            <w:r>
              <w:rPr>
                <w:rFonts w:ascii="Times New Roman;Times;serif" w:hAnsi="Times New Roman;Times;serif"/>
                <w:sz w:val="18"/>
              </w:rPr>
              <w:t xml:space="preserve"> Goodwill associated with the acquisition is not deductible for tax purposes.</w:t>
            </w:r>
          </w:p>
        </w:tc>
        <w:tc>
          <w:tcPr>
            <w:tcW w:w="270" w:type="dxa"/>
            <w:tcBorders/>
            <w:vAlign w:val="center"/>
          </w:tcPr>
          <w:p>
            <w:pPr>
              <w:pStyle w:val="TableContents"/>
              <w:bidi w:val="0"/>
              <w:spacing w:before="0" w:after="0"/>
              <w:ind w:left="0" w:right="0" w:hanging="0"/>
              <w:jc w:val="left"/>
              <w:rPr/>
            </w:pPr>
            <w:r>
              <w:rPr/>
              <w:t>​</w:t>
            </w:r>
          </w:p>
        </w:tc>
        <w:tc>
          <w:tcPr>
            <w:tcW w:w="945"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fair value, valuation methodology, estimated useful life, and significant assumptions of the identifiable intangible asset acquired in the Acquisition are summarized in the table below:</w:t>
      </w:r>
    </w:p>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1882"/>
        <w:gridCol w:w="109"/>
        <w:gridCol w:w="1972"/>
        <w:gridCol w:w="109"/>
        <w:gridCol w:w="211"/>
        <w:gridCol w:w="781"/>
        <w:gridCol w:w="109"/>
        <w:gridCol w:w="3499"/>
        <w:gridCol w:w="109"/>
        <w:gridCol w:w="1424"/>
      </w:tblGrid>
      <w:tr>
        <w:trPr/>
        <w:tc>
          <w:tcPr>
            <w:tcW w:w="18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195070" cy="175260"/>
                      <wp:effectExtent l="0" t="0" r="0" b="0"/>
                      <wp:wrapNone/>
                      <wp:docPr id="122" name="Frame122"/>
                      <a:graphic xmlns:a="http://schemas.openxmlformats.org/drawingml/2006/main">
                        <a:graphicData uri="http://schemas.microsoft.com/office/word/2010/wordprocessingShape">
                          <wps:wsp>
                            <wps:cNvSpPr txBox="1"/>
                            <wps:spPr>
                              <a:xfrm>
                                <a:off x="0" y="0"/>
                                <a:ext cx="1195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9215" cy="175260"/>
                      <wp:effectExtent l="0" t="0" r="0" b="0"/>
                      <wp:wrapNone/>
                      <wp:docPr id="123" name="Frame1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252220" cy="175260"/>
                      <wp:effectExtent l="0" t="0" r="0" b="0"/>
                      <wp:wrapNone/>
                      <wp:docPr id="124" name="Frame124"/>
                      <a:graphic xmlns:a="http://schemas.openxmlformats.org/drawingml/2006/main">
                        <a:graphicData uri="http://schemas.microsoft.com/office/word/2010/wordprocessingShape">
                          <wps:wsp>
                            <wps:cNvSpPr txBox="1"/>
                            <wps:spPr>
                              <a:xfrm>
                                <a:off x="0" y="0"/>
                                <a:ext cx="1252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9215" cy="175260"/>
                      <wp:effectExtent l="0" t="0" r="0" b="0"/>
                      <wp:wrapNone/>
                      <wp:docPr id="125" name="Frame1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33985" cy="175260"/>
                      <wp:effectExtent l="0" t="0" r="0" b="0"/>
                      <wp:wrapNone/>
                      <wp:docPr id="126" name="Frame1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495935" cy="175260"/>
                      <wp:effectExtent l="0" t="0" r="0" b="0"/>
                      <wp:wrapNone/>
                      <wp:docPr id="127" name="Frame12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9215" cy="175260"/>
                      <wp:effectExtent l="0" t="0" r="0" b="0"/>
                      <wp:wrapNone/>
                      <wp:docPr id="128" name="Frame1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221865" cy="175260"/>
                      <wp:effectExtent l="0" t="0" r="0" b="0"/>
                      <wp:wrapNone/>
                      <wp:docPr id="129" name="Frame129"/>
                      <a:graphic xmlns:a="http://schemas.openxmlformats.org/drawingml/2006/main">
                        <a:graphicData uri="http://schemas.microsoft.com/office/word/2010/wordprocessingShape">
                          <wps:wsp>
                            <wps:cNvSpPr txBox="1"/>
                            <wps:spPr>
                              <a:xfrm>
                                <a:off x="0" y="0"/>
                                <a:ext cx="2221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9215" cy="175260"/>
                      <wp:effectExtent l="0" t="0" r="0" b="0"/>
                      <wp:wrapNone/>
                      <wp:docPr id="130" name="Frame1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904240" cy="175260"/>
                      <wp:effectExtent l="0" t="0" r="0" b="0"/>
                      <wp:wrapNone/>
                      <wp:docPr id="131" name="Frame131"/>
                      <a:graphic xmlns:a="http://schemas.openxmlformats.org/drawingml/2006/main">
                        <a:graphicData uri="http://schemas.microsoft.com/office/word/2010/wordprocessingShape">
                          <wps:wsp>
                            <wps:cNvSpPr txBox="1"/>
                            <wps:spPr>
                              <a:xfrm>
                                <a:off x="0" y="0"/>
                                <a:ext cx="904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8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7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13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2, 2026</w:t>
            </w:r>
          </w:p>
        </w:tc>
      </w:tr>
      <w:tr>
        <w:trPr/>
        <w:tc>
          <w:tcPr>
            <w:tcW w:w="188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Brinta Identifiable Intangibles</w:t>
            </w:r>
          </w:p>
        </w:tc>
        <w:tc>
          <w:tcPr>
            <w:tcW w:w="109" w:type="dxa"/>
            <w:tcBorders/>
            <w:vAlign w:val="center"/>
          </w:tcPr>
          <w:p>
            <w:pPr>
              <w:pStyle w:val="TableContents"/>
              <w:bidi w:val="0"/>
              <w:spacing w:before="0" w:after="0"/>
              <w:ind w:left="0" w:right="0" w:hanging="0"/>
              <w:jc w:val="left"/>
              <w:rPr/>
            </w:pPr>
            <w:r>
              <w:rPr/>
              <w:t>​</w:t>
            </w:r>
          </w:p>
        </w:tc>
        <w:tc>
          <w:tcPr>
            <w:tcW w:w="197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Sheet Location</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109" w:type="dxa"/>
            <w:tcBorders/>
            <w:vAlign w:val="center"/>
          </w:tcPr>
          <w:p>
            <w:pPr>
              <w:pStyle w:val="TableContents"/>
              <w:bidi w:val="0"/>
              <w:spacing w:before="0" w:after="0"/>
              <w:ind w:left="0" w:right="0" w:hanging="0"/>
              <w:jc w:val="left"/>
              <w:rPr/>
            </w:pPr>
            <w:r>
              <w:rPr/>
              <w:t>​</w:t>
            </w:r>
          </w:p>
        </w:tc>
        <w:tc>
          <w:tcPr>
            <w:tcW w:w="349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Valuation Methodology</w:t>
            </w:r>
          </w:p>
        </w:tc>
        <w:tc>
          <w:tcPr>
            <w:tcW w:w="109" w:type="dxa"/>
            <w:tcBorders/>
            <w:vAlign w:val="center"/>
          </w:tcPr>
          <w:p>
            <w:pPr>
              <w:pStyle w:val="TableContents"/>
              <w:bidi w:val="0"/>
              <w:spacing w:before="0" w:after="0"/>
              <w:ind w:left="0" w:right="0" w:hanging="0"/>
              <w:jc w:val="left"/>
              <w:rPr/>
            </w:pPr>
            <w:r>
              <w:rPr/>
              <w:t>​</w:t>
            </w:r>
          </w:p>
        </w:tc>
        <w:tc>
          <w:tcPr>
            <w:tcW w:w="142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 Useful Life</w:t>
            </w:r>
          </w:p>
        </w:tc>
      </w:tr>
      <w:tr>
        <w:trPr/>
        <w:tc>
          <w:tcPr>
            <w:tcW w:w="18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Developed technology</w:t>
            </w:r>
          </w:p>
        </w:tc>
        <w:tc>
          <w:tcPr>
            <w:tcW w:w="109" w:type="dxa"/>
            <w:tcBorders/>
            <w:shd w:fill="CCEEFF" w:val="clear"/>
            <w:vAlign w:val="center"/>
          </w:tcPr>
          <w:p>
            <w:pPr>
              <w:pStyle w:val="TableContents"/>
              <w:bidi w:val="0"/>
              <w:spacing w:before="0" w:after="0"/>
              <w:ind w:left="0" w:right="0" w:hanging="0"/>
              <w:jc w:val="left"/>
              <w:rPr/>
            </w:pPr>
            <w:r>
              <w:rPr/>
              <w:t>​</w:t>
            </w:r>
          </w:p>
        </w:tc>
        <w:tc>
          <w:tcPr>
            <w:tcW w:w="19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Property and equipment, net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7,848</w:t>
            </w:r>
          </w:p>
        </w:tc>
        <w:tc>
          <w:tcPr>
            <w:tcW w:w="109" w:type="dxa"/>
            <w:tcBorders/>
            <w:shd w:fill="CCEEFF" w:val="clear"/>
            <w:vAlign w:val="center"/>
          </w:tcPr>
          <w:p>
            <w:pPr>
              <w:pStyle w:val="TableContents"/>
              <w:bidi w:val="0"/>
              <w:spacing w:before="0" w:after="0"/>
              <w:ind w:left="0" w:right="0" w:hanging="0"/>
              <w:jc w:val="left"/>
              <w:rPr/>
            </w:pPr>
            <w:r>
              <w:rPr/>
              <w:t>​</w:t>
            </w:r>
          </w:p>
        </w:tc>
        <w:tc>
          <w:tcPr>
            <w:tcW w:w="3499"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Multi-period excess earnings method - income approach</w:t>
            </w:r>
          </w:p>
        </w:tc>
        <w:tc>
          <w:tcPr>
            <w:tcW w:w="109" w:type="dxa"/>
            <w:tcBorders/>
            <w:shd w:fill="CCEEFF" w:val="clear"/>
            <w:vAlign w:val="center"/>
          </w:tcPr>
          <w:p>
            <w:pPr>
              <w:pStyle w:val="TableContents"/>
              <w:bidi w:val="0"/>
              <w:spacing w:before="0" w:after="0"/>
              <w:ind w:left="0" w:right="0" w:hanging="0"/>
              <w:jc w:val="left"/>
              <w:rPr/>
            </w:pPr>
            <w:r>
              <w:rPr/>
              <w:t>​</w:t>
            </w:r>
          </w:p>
        </w:tc>
        <w:tc>
          <w:tcPr>
            <w:tcW w:w="1424"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 years</w:t>
            </w:r>
          </w:p>
        </w:tc>
      </w:tr>
    </w:tbl>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Any subsequent adjustments to the preliminary values not associated with determination of their fair values on the Acquisition Date will be recorded in the consolidated statements of comprehensive income (loss) in the period in which the adjustment is identified.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Total transaction costs associated with the Acquisition were $58 and $748 for the three and six months ended June 30, 2026, respectively, and are recorded in other operating expense (income), net in the condensed consolidated statements of comprehensive income (loss).</w:t>
      </w:r>
    </w:p>
    <w:p>
      <w:pPr>
        <w:pStyle w:val="TextBody"/>
        <w:bidi w:val="0"/>
        <w:spacing w:before="0" w:after="0"/>
        <w:ind w:left="0" w:right="0" w:hanging="0"/>
        <w:jc w:val="both"/>
        <w:rPr/>
      </w:pPr>
      <w:r>
        <w:rPr/>
        <w:t>​</w:t>
      </w:r>
    </w:p>
    <w:p>
      <w:pPr>
        <w:pStyle w:val="TextBody"/>
        <w:bidi w:val="0"/>
        <w:spacing w:before="0" w:after="0"/>
        <w:ind w:left="0" w:right="0" w:firstLine="36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766" w:type="dxa"/>
        <w:jc w:val="left"/>
        <w:tblInd w:w="0" w:type="dxa"/>
        <w:tblLayout w:type="fixed"/>
        <w:tblCellMar>
          <w:top w:w="0" w:type="dxa"/>
          <w:left w:w="0" w:type="dxa"/>
          <w:bottom w:w="0" w:type="dxa"/>
          <w:right w:w="0" w:type="dxa"/>
        </w:tblCellMar>
      </w:tblPr>
      <w:tblGrid>
        <w:gridCol w:w="6766"/>
      </w:tblGrid>
      <w:tr>
        <w:trPr/>
        <w:tc>
          <w:tcPr>
            <w:tcW w:w="6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bookmarkStart w:id="1492" w:name="Tc_RdlHS8inWU-bPd-5zQuVtg_13_9"/>
      <w:bookmarkStart w:id="1493" w:name="Tc_HMUOO99gKUe0YdyZpRbHyw_13_6"/>
      <w:bookmarkStart w:id="1494" w:name="Tc_uDth4u4_UkKtePxHArx2yQ_13_0"/>
      <w:bookmarkStart w:id="1495" w:name="Tc_0LfeY_DClUy6bQqb8YQ7XQ_12_9"/>
      <w:bookmarkStart w:id="1496" w:name="Tc_tKjjrI5x402BZrqWidpNAA_12_6"/>
      <w:bookmarkStart w:id="1497" w:name="Tc_Cm9odxENoEi3kSdspBqSCQ_12_0"/>
      <w:bookmarkStart w:id="1498" w:name="Tc_X863wnx_9U2J0FSIuarrPg_11_9"/>
      <w:bookmarkStart w:id="1499" w:name="Tc_bU0Ek8RbfkuAAf0MuIxlIw_11_6"/>
      <w:bookmarkStart w:id="1500" w:name="Tc_5pheqvFXR0CZBlbEJ1EQwg_11_0"/>
      <w:bookmarkStart w:id="1501" w:name="Tc_v9TS7kOFREqQnVEC1YN-AQ_10_12"/>
      <w:bookmarkStart w:id="1502" w:name="Tc_j31ZMUfScUGLZ47CEungxw_10_11"/>
      <w:bookmarkStart w:id="1503" w:name="Tc_zTT-DZKB-0OdGVB1FMb-ug_10_9"/>
      <w:bookmarkStart w:id="1504" w:name="Tc_PThpKFaDT0uV_f-cauBgvw_10_8"/>
      <w:bookmarkStart w:id="1505" w:name="Tc_QolBzOJ030S_rqePCiPWxw_10_5"/>
      <w:bookmarkStart w:id="1506" w:name="Tc_HUknpxvTrUCrEgG2h-yR4w_10_2"/>
      <w:bookmarkStart w:id="1507" w:name="Tc_0E18-tuzOEu49z6XJsejCw_10_0"/>
      <w:bookmarkStart w:id="1508" w:name="Tc_3j0SR6FCRkOr6j7mZxoP0A_9_11"/>
      <w:bookmarkStart w:id="1509" w:name="Tc_-25iVjtI_ESu6u4QV9dOCA_9_8"/>
      <w:bookmarkStart w:id="1510" w:name="Tc_xxopGOntvEW35FTyZDNorw_9_5"/>
      <w:bookmarkStart w:id="1511" w:name="Tc_LT7ZdMz1tEevzr6y8Y-y3Q_9_2"/>
      <w:bookmarkStart w:id="1512" w:name="Tc_T80ctSHuEkW68oTAJodwkg_9_0"/>
      <w:bookmarkStart w:id="1513" w:name="Tc_5P6doruVjUOGGMtRuqxB7g_8_2"/>
      <w:bookmarkStart w:id="1514" w:name="Tc_c-y_VWQpwUGGGho2ee_jhg_6_9"/>
      <w:bookmarkStart w:id="1515" w:name="Tc_Rr7Fm5oEbkqdyFrG4NqmpQ_6_6"/>
      <w:bookmarkStart w:id="1516" w:name="Tc_iV3cl8G8S06WUtx7_19NsA_6_0"/>
      <w:bookmarkStart w:id="1517" w:name="Tc_AY1g6BKuukS0bqaY24ii3A_5_9"/>
      <w:bookmarkStart w:id="1518" w:name="Tc_bZBN0zWp20iWcWfGKbn8pg_5_6"/>
      <w:bookmarkStart w:id="1519" w:name="Tc_-ofVxcyCY063FwjGDwj9cg_5_0"/>
      <w:bookmarkStart w:id="1520" w:name="Tc_LOjVMJlMXk-eu23EU7hJ_g_4_9"/>
      <w:bookmarkStart w:id="1521" w:name="Tc_qv8xpXE_4kikUfc-usmGzg_4_6"/>
      <w:bookmarkStart w:id="1522" w:name="Tc_naVWP1YD-E6gNJZPfuKQIQ_4_0"/>
      <w:bookmarkStart w:id="1523" w:name="Tc_9jZe__Q8KEi079I8P1LdiQ_3_12"/>
      <w:bookmarkStart w:id="1524" w:name="Tc_gUaSBUqjN0Woedajt_op5A_3_11"/>
      <w:bookmarkStart w:id="1525" w:name="Tc_vvFqXMXNw0eaBjZLGpwuWg_3_9"/>
      <w:bookmarkStart w:id="1526" w:name="Tc_Et300RSe1UOt7GtiIwIj-w_3_8"/>
      <w:bookmarkStart w:id="1527" w:name="Tc_LPvihKXrcUCbORo_Fc51fw_3_5"/>
      <w:bookmarkStart w:id="1528" w:name="Tc_5tODA1pxY0WoIVlbxGQdAA_3_2"/>
      <w:bookmarkStart w:id="1529" w:name="Tc_H7egSnfj4ECoOPBd6UiMlg_3_0"/>
      <w:bookmarkStart w:id="1530" w:name="Tc_nEHHY3J48EuX-G1WsKjeYA_2_11"/>
      <w:bookmarkStart w:id="1531" w:name="Tc_9A0hWqvr9k2XMs75HtGCWw_2_8"/>
      <w:bookmarkStart w:id="1532" w:name="Tc_n0j7f_txyEOBcS9tnPSpGQ_2_5"/>
      <w:bookmarkStart w:id="1533" w:name="Tc_PXQJZQFVe0eOnFpxopHy-Q_2_2"/>
      <w:bookmarkStart w:id="1534" w:name="Tc_8ZymJw12j0KU-YWyK4uvfw_2_0"/>
      <w:bookmarkStart w:id="1535" w:name="Tc_qgPd4iC4okab1BExvvFCDw_1_2"/>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r>
        <w:rPr>
          <w:rFonts w:ascii="Times New Roman;Times;serif" w:hAnsi="Times New Roman;Times;serif"/>
          <w:b/>
          <w:sz w:val="20"/>
        </w:rPr>
        <w:t xml:space="preserve">4.      FINANCIAL INSTRUMENTS AND FAIR VALUE MEASUREMENTS </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 xml:space="preserve">Assets and Liabilities Measured at Fair Value on a Recurring Basis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summarizes the Company’s fair value for its financial assets and liabilities measured at fair value on a recurring basis: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810"/>
        <w:gridCol w:w="109"/>
        <w:gridCol w:w="211"/>
        <w:gridCol w:w="781"/>
        <w:gridCol w:w="346"/>
        <w:gridCol w:w="550"/>
        <w:gridCol w:w="2038"/>
        <w:gridCol w:w="346"/>
        <w:gridCol w:w="695"/>
        <w:gridCol w:w="1144"/>
        <w:gridCol w:w="346"/>
        <w:gridCol w:w="382"/>
        <w:gridCol w:w="1447"/>
      </w:tblGrid>
      <w:tr>
        <w:trPr/>
        <w:tc>
          <w:tcPr>
            <w:tcW w:w="18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149350" cy="175260"/>
                      <wp:effectExtent l="0" t="0" r="0" b="0"/>
                      <wp:wrapNone/>
                      <wp:docPr id="132" name="Frame132"/>
                      <a:graphic xmlns:a="http://schemas.openxmlformats.org/drawingml/2006/main">
                        <a:graphicData uri="http://schemas.microsoft.com/office/word/2010/wordprocessingShape">
                          <wps:wsp>
                            <wps:cNvSpPr txBox="1"/>
                            <wps:spPr>
                              <a:xfrm>
                                <a:off x="0" y="0"/>
                                <a:ext cx="11493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9215" cy="175260"/>
                      <wp:effectExtent l="0" t="0" r="0" b="0"/>
                      <wp:wrapNone/>
                      <wp:docPr id="133" name="Frame1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33985" cy="175260"/>
                      <wp:effectExtent l="0" t="0" r="0" b="0"/>
                      <wp:wrapNone/>
                      <wp:docPr id="134" name="Frame1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495935" cy="175260"/>
                      <wp:effectExtent l="0" t="0" r="0" b="0"/>
                      <wp:wrapNone/>
                      <wp:docPr id="135" name="Frame13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19710" cy="175260"/>
                      <wp:effectExtent l="0" t="0" r="0" b="0"/>
                      <wp:wrapNone/>
                      <wp:docPr id="136" name="Frame1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349250" cy="175260"/>
                      <wp:effectExtent l="0" t="0" r="0" b="0"/>
                      <wp:wrapNone/>
                      <wp:docPr id="137" name="Frame137"/>
                      <a:graphic xmlns:a="http://schemas.openxmlformats.org/drawingml/2006/main">
                        <a:graphicData uri="http://schemas.microsoft.com/office/word/2010/wordprocessingShape">
                          <wps:wsp>
                            <wps:cNvSpPr txBox="1"/>
                            <wps:spPr>
                              <a:xfrm>
                                <a:off x="0" y="0"/>
                                <a:ext cx="349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294130" cy="175260"/>
                      <wp:effectExtent l="0" t="0" r="0" b="0"/>
                      <wp:wrapNone/>
                      <wp:docPr id="138" name="Frame138"/>
                      <a:graphic xmlns:a="http://schemas.openxmlformats.org/drawingml/2006/main">
                        <a:graphicData uri="http://schemas.microsoft.com/office/word/2010/wordprocessingShape">
                          <wps:wsp>
                            <wps:cNvSpPr txBox="1"/>
                            <wps:spPr>
                              <a:xfrm>
                                <a:off x="0" y="0"/>
                                <a:ext cx="12941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19710" cy="175260"/>
                      <wp:effectExtent l="0" t="0" r="0" b="0"/>
                      <wp:wrapNone/>
                      <wp:docPr id="139" name="Frame1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441325" cy="175260"/>
                      <wp:effectExtent l="0" t="0" r="0" b="0"/>
                      <wp:wrapNone/>
                      <wp:docPr id="140" name="Frame140"/>
                      <a:graphic xmlns:a="http://schemas.openxmlformats.org/drawingml/2006/main">
                        <a:graphicData uri="http://schemas.microsoft.com/office/word/2010/wordprocessingShape">
                          <wps:wsp>
                            <wps:cNvSpPr txBox="1"/>
                            <wps:spPr>
                              <a:xfrm>
                                <a:off x="0" y="0"/>
                                <a:ext cx="4413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726440" cy="175260"/>
                      <wp:effectExtent l="0" t="0" r="0" b="0"/>
                      <wp:wrapNone/>
                      <wp:docPr id="141" name="Frame141"/>
                      <a:graphic xmlns:a="http://schemas.openxmlformats.org/drawingml/2006/main">
                        <a:graphicData uri="http://schemas.microsoft.com/office/word/2010/wordprocessingShape">
                          <wps:wsp>
                            <wps:cNvSpPr txBox="1"/>
                            <wps:spPr>
                              <a:xfrm>
                                <a:off x="0" y="0"/>
                                <a:ext cx="7264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19710" cy="175260"/>
                      <wp:effectExtent l="0" t="0" r="0" b="0"/>
                      <wp:wrapNone/>
                      <wp:docPr id="142" name="Frame1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42570" cy="175260"/>
                      <wp:effectExtent l="0" t="0" r="0" b="0"/>
                      <wp:wrapNone/>
                      <wp:docPr id="143" name="Frame143"/>
                      <a:graphic xmlns:a="http://schemas.openxmlformats.org/drawingml/2006/main">
                        <a:graphicData uri="http://schemas.microsoft.com/office/word/2010/wordprocessingShape">
                          <wps:wsp>
                            <wps:cNvSpPr txBox="1"/>
                            <wps:spPr>
                              <a:xfrm>
                                <a:off x="0" y="0"/>
                                <a:ext cx="2425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918845" cy="175260"/>
                      <wp:effectExtent l="0" t="0" r="0" b="0"/>
                      <wp:wrapNone/>
                      <wp:docPr id="144" name="Frame144"/>
                      <a:graphic xmlns:a="http://schemas.openxmlformats.org/drawingml/2006/main">
                        <a:graphicData uri="http://schemas.microsoft.com/office/word/2010/wordprocessingShape">
                          <wps:wsp>
                            <wps:cNvSpPr txBox="1"/>
                            <wps:spPr>
                              <a:xfrm>
                                <a:off x="0" y="0"/>
                                <a:ext cx="9188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1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286"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Measurements Using</w:t>
            </w:r>
          </w:p>
        </w:tc>
      </w:tr>
      <w:tr>
        <w:trPr/>
        <w:tc>
          <w:tcPr>
            <w:tcW w:w="1810"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As of June 30, 2026 (unaudited)</w:t>
            </w:r>
          </w:p>
        </w:tc>
        <w:tc>
          <w:tcPr>
            <w:tcW w:w="109"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46" w:type="dxa"/>
            <w:tcBorders/>
            <w:vAlign w:val="center"/>
          </w:tcPr>
          <w:p>
            <w:pPr>
              <w:pStyle w:val="TableContents"/>
              <w:bidi w:val="0"/>
              <w:spacing w:before="0" w:after="1"/>
              <w:ind w:left="0" w:right="0" w:hanging="0"/>
              <w:jc w:val="left"/>
              <w:rPr/>
            </w:pPr>
            <w:r>
              <w:rPr/>
              <w:t>  ​ ​ ​</w:t>
            </w:r>
          </w:p>
        </w:tc>
        <w:tc>
          <w:tcPr>
            <w:tcW w:w="258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Prices in active markets for identical assets (Level 1)</w:t>
            </w:r>
          </w:p>
        </w:tc>
        <w:tc>
          <w:tcPr>
            <w:tcW w:w="346" w:type="dxa"/>
            <w:tcBorders/>
            <w:vAlign w:val="center"/>
          </w:tcPr>
          <w:p>
            <w:pPr>
              <w:pStyle w:val="TableContents"/>
              <w:bidi w:val="0"/>
              <w:spacing w:before="0" w:after="1"/>
              <w:ind w:left="0" w:right="0" w:hanging="0"/>
              <w:jc w:val="left"/>
              <w:rPr/>
            </w:pPr>
            <w:r>
              <w:rPr/>
              <w:t>  ​ ​ ​</w:t>
            </w:r>
          </w:p>
        </w:tc>
        <w:tc>
          <w:tcPr>
            <w:tcW w:w="183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 other observable inputs</w:t>
              <w:br/>
              <w:t>(Level 2)</w:t>
            </w:r>
          </w:p>
        </w:tc>
        <w:tc>
          <w:tcPr>
            <w:tcW w:w="346" w:type="dxa"/>
            <w:tcBorders/>
            <w:vAlign w:val="center"/>
          </w:tcPr>
          <w:p>
            <w:pPr>
              <w:pStyle w:val="TableContents"/>
              <w:bidi w:val="0"/>
              <w:spacing w:before="0" w:after="1"/>
              <w:ind w:left="0" w:right="0" w:hanging="0"/>
              <w:jc w:val="left"/>
              <w:rPr/>
            </w:pPr>
            <w:r>
              <w:rPr/>
              <w:t>  ​ ​ ​</w:t>
            </w:r>
          </w:p>
        </w:tc>
        <w:tc>
          <w:tcPr>
            <w:tcW w:w="182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 unobservable inputs</w:t>
              <w:br/>
              <w:t xml:space="preserve">(Level 3) </w:t>
            </w:r>
          </w:p>
        </w:tc>
      </w:tr>
      <w:tr>
        <w:trPr/>
        <w:tc>
          <w:tcPr>
            <w:tcW w:w="181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109" w:type="dxa"/>
            <w:tcBorders/>
            <w:shd w:fill="CCEEFF" w:val="clear"/>
            <w:vAlign w:val="center"/>
          </w:tcPr>
          <w:p>
            <w:pPr>
              <w:pStyle w:val="TableContents"/>
              <w:bidi w:val="0"/>
              <w:spacing w:before="0" w:after="1"/>
              <w:ind w:left="0" w:right="0" w:hanging="0"/>
              <w:jc w:val="left"/>
              <w:rPr>
                <w:color w:val="FF0000"/>
              </w:rPr>
            </w:pPr>
            <w:r>
              <w:rPr>
                <w:color w:val="FF0000"/>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185,896</w:t>
            </w:r>
          </w:p>
        </w:tc>
        <w:tc>
          <w:tcPr>
            <w:tcW w:w="346" w:type="dxa"/>
            <w:tcBorders/>
            <w:shd w:fill="CCEEFF" w:val="clear"/>
            <w:vAlign w:val="center"/>
          </w:tcPr>
          <w:p>
            <w:pPr>
              <w:pStyle w:val="TableContents"/>
              <w:bidi w:val="0"/>
              <w:spacing w:before="0" w:after="1"/>
              <w:ind w:left="0" w:right="0" w:hanging="0"/>
              <w:jc w:val="left"/>
              <w:rPr/>
            </w:pPr>
            <w:r>
              <w:rPr/>
              <w:t>​</w:t>
            </w:r>
          </w:p>
        </w:tc>
        <w:tc>
          <w:tcPr>
            <w:tcW w:w="5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03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185,896</w:t>
            </w:r>
          </w:p>
        </w:tc>
        <w:tc>
          <w:tcPr>
            <w:tcW w:w="346" w:type="dxa"/>
            <w:tcBorders/>
            <w:shd w:fill="CCEEFF" w:val="clear"/>
            <w:vAlign w:val="center"/>
          </w:tcPr>
          <w:p>
            <w:pPr>
              <w:pStyle w:val="TableContents"/>
              <w:bidi w:val="0"/>
              <w:spacing w:before="0" w:after="1"/>
              <w:ind w:left="0" w:right="0" w:hanging="0"/>
              <w:jc w:val="left"/>
              <w:rPr/>
            </w:pPr>
            <w:r>
              <w:rPr/>
              <w:t>​</w:t>
            </w:r>
          </w:p>
        </w:tc>
        <w:tc>
          <w:tcPr>
            <w:tcW w:w="6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8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47" w:type="dxa"/>
            <w:tcBorders/>
            <w:shd w:fill="CCEEFF" w:val="clear"/>
            <w:vAlign w:val="center"/>
          </w:tcPr>
          <w:p>
            <w:pPr>
              <w:pStyle w:val="TableContents"/>
              <w:bidi w:val="0"/>
              <w:spacing w:before="0" w:after="1"/>
              <w:ind w:left="0" w:right="0" w:hanging="0"/>
              <w:jc w:val="right"/>
              <w:rPr/>
            </w:pPr>
            <w:r>
              <w:rPr/>
              <w:t>—</w:t>
            </w:r>
          </w:p>
        </w:tc>
      </w:tr>
      <w:tr>
        <w:trPr/>
        <w:tc>
          <w:tcPr>
            <w:tcW w:w="181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ecosio Cash Earn-outs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67,000</w:t>
            </w:r>
          </w:p>
        </w:tc>
        <w:tc>
          <w:tcPr>
            <w:tcW w:w="346" w:type="dxa"/>
            <w:tcBorders/>
            <w:vAlign w:val="center"/>
          </w:tcPr>
          <w:p>
            <w:pPr>
              <w:pStyle w:val="TableContents"/>
              <w:bidi w:val="0"/>
              <w:spacing w:before="0" w:after="1"/>
              <w:ind w:left="0" w:right="0" w:hanging="0"/>
              <w:jc w:val="left"/>
              <w:rPr/>
            </w:pPr>
            <w:r>
              <w:rPr/>
              <w:t>​</w:t>
            </w:r>
          </w:p>
        </w:tc>
        <w:tc>
          <w:tcPr>
            <w:tcW w:w="550" w:type="dxa"/>
            <w:tcBorders/>
            <w:vAlign w:val="center"/>
          </w:tcPr>
          <w:p>
            <w:pPr>
              <w:pStyle w:val="TableContents"/>
              <w:bidi w:val="0"/>
              <w:spacing w:before="0" w:after="1"/>
              <w:ind w:left="0" w:right="0" w:hanging="0"/>
              <w:jc w:val="left"/>
              <w:rPr/>
            </w:pPr>
            <w:r>
              <w:rPr/>
              <w:t>​</w:t>
            </w:r>
          </w:p>
        </w:tc>
        <w:tc>
          <w:tcPr>
            <w:tcW w:w="203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95" w:type="dxa"/>
            <w:tcBorders/>
            <w:vAlign w:val="center"/>
          </w:tcPr>
          <w:p>
            <w:pPr>
              <w:pStyle w:val="TableContents"/>
              <w:bidi w:val="0"/>
              <w:spacing w:before="0" w:after="1"/>
              <w:ind w:left="0" w:right="0" w:hanging="0"/>
              <w:jc w:val="left"/>
              <w:rPr/>
            </w:pPr>
            <w:r>
              <w:rPr/>
              <w:t>​</w:t>
            </w:r>
          </w:p>
        </w:tc>
        <w:tc>
          <w:tcPr>
            <w:tcW w:w="114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82" w:type="dxa"/>
            <w:tcBorders/>
            <w:vAlign w:val="center"/>
          </w:tcPr>
          <w:p>
            <w:pPr>
              <w:pStyle w:val="TableContents"/>
              <w:bidi w:val="0"/>
              <w:spacing w:before="0" w:after="1"/>
              <w:ind w:left="0" w:right="0" w:hanging="0"/>
              <w:jc w:val="left"/>
              <w:rPr/>
            </w:pPr>
            <w:r>
              <w:rPr/>
              <w:t>​</w:t>
            </w:r>
          </w:p>
        </w:tc>
        <w:tc>
          <w:tcPr>
            <w:tcW w:w="144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67,000</w:t>
            </w:r>
          </w:p>
        </w:tc>
      </w:tr>
      <w:tr>
        <w:trPr/>
        <w:tc>
          <w:tcPr>
            <w:tcW w:w="181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ecosio Stock Earn-outs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7,000</w:t>
            </w:r>
          </w:p>
        </w:tc>
        <w:tc>
          <w:tcPr>
            <w:tcW w:w="346" w:type="dxa"/>
            <w:tcBorders/>
            <w:shd w:fill="CCEEFF" w:val="clear"/>
            <w:vAlign w:val="center"/>
          </w:tcPr>
          <w:p>
            <w:pPr>
              <w:pStyle w:val="TableContents"/>
              <w:bidi w:val="0"/>
              <w:spacing w:before="0" w:after="1"/>
              <w:ind w:left="0" w:right="0" w:hanging="0"/>
              <w:jc w:val="left"/>
              <w:rPr/>
            </w:pPr>
            <w:r>
              <w:rPr/>
              <w:t>​</w:t>
            </w:r>
          </w:p>
        </w:tc>
        <w:tc>
          <w:tcPr>
            <w:tcW w:w="550" w:type="dxa"/>
            <w:tcBorders/>
            <w:shd w:fill="CCEEFF" w:val="clear"/>
            <w:vAlign w:val="center"/>
          </w:tcPr>
          <w:p>
            <w:pPr>
              <w:pStyle w:val="TableContents"/>
              <w:bidi w:val="0"/>
              <w:spacing w:before="0" w:after="1"/>
              <w:ind w:left="0" w:right="0" w:hanging="0"/>
              <w:jc w:val="left"/>
              <w:rPr/>
            </w:pPr>
            <w:r>
              <w:rPr/>
              <w:t>​</w:t>
            </w:r>
          </w:p>
        </w:tc>
        <w:tc>
          <w:tcPr>
            <w:tcW w:w="203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5" w:type="dxa"/>
            <w:tcBorders/>
            <w:shd w:fill="CCEEFF" w:val="clear"/>
            <w:vAlign w:val="center"/>
          </w:tcPr>
          <w:p>
            <w:pPr>
              <w:pStyle w:val="TableContents"/>
              <w:bidi w:val="0"/>
              <w:spacing w:before="0" w:after="1"/>
              <w:ind w:left="0" w:right="0" w:hanging="0"/>
              <w:jc w:val="left"/>
              <w:rPr/>
            </w:pPr>
            <w:r>
              <w:rPr/>
              <w:t>​</w:t>
            </w:r>
          </w:p>
        </w:tc>
        <w:tc>
          <w:tcPr>
            <w:tcW w:w="114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82" w:type="dxa"/>
            <w:tcBorders/>
            <w:shd w:fill="CCEEFF" w:val="clear"/>
            <w:vAlign w:val="center"/>
          </w:tcPr>
          <w:p>
            <w:pPr>
              <w:pStyle w:val="TableContents"/>
              <w:bidi w:val="0"/>
              <w:spacing w:before="0" w:after="1"/>
              <w:ind w:left="0" w:right="0" w:hanging="0"/>
              <w:jc w:val="left"/>
              <w:rPr/>
            </w:pPr>
            <w:r>
              <w:rPr/>
              <w:t>​</w:t>
            </w:r>
          </w:p>
        </w:tc>
        <w:tc>
          <w:tcPr>
            <w:tcW w:w="14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7,000</w:t>
            </w:r>
          </w:p>
        </w:tc>
      </w:tr>
      <w:tr>
        <w:trPr/>
        <w:tc>
          <w:tcPr>
            <w:tcW w:w="181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Long-Term Investment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15,000</w:t>
            </w:r>
          </w:p>
        </w:tc>
        <w:tc>
          <w:tcPr>
            <w:tcW w:w="346" w:type="dxa"/>
            <w:tcBorders/>
            <w:vAlign w:val="center"/>
          </w:tcPr>
          <w:p>
            <w:pPr>
              <w:pStyle w:val="TableContents"/>
              <w:bidi w:val="0"/>
              <w:spacing w:before="0" w:after="1"/>
              <w:ind w:left="0" w:right="0" w:hanging="0"/>
              <w:jc w:val="left"/>
              <w:rPr/>
            </w:pPr>
            <w:r>
              <w:rPr/>
              <w:t>​</w:t>
            </w:r>
          </w:p>
        </w:tc>
        <w:tc>
          <w:tcPr>
            <w:tcW w:w="550" w:type="dxa"/>
            <w:tcBorders/>
            <w:vAlign w:val="center"/>
          </w:tcPr>
          <w:p>
            <w:pPr>
              <w:pStyle w:val="TableContents"/>
              <w:bidi w:val="0"/>
              <w:spacing w:before="0" w:after="1"/>
              <w:ind w:left="0" w:right="0" w:hanging="0"/>
              <w:jc w:val="left"/>
              <w:rPr/>
            </w:pPr>
            <w:r>
              <w:rPr/>
              <w:t>​</w:t>
            </w:r>
          </w:p>
        </w:tc>
        <w:tc>
          <w:tcPr>
            <w:tcW w:w="203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95" w:type="dxa"/>
            <w:tcBorders/>
            <w:vAlign w:val="center"/>
          </w:tcPr>
          <w:p>
            <w:pPr>
              <w:pStyle w:val="TableContents"/>
              <w:bidi w:val="0"/>
              <w:spacing w:before="0" w:after="1"/>
              <w:ind w:left="0" w:right="0" w:hanging="0"/>
              <w:jc w:val="left"/>
              <w:rPr/>
            </w:pPr>
            <w:r>
              <w:rPr/>
              <w:t>​</w:t>
            </w:r>
          </w:p>
        </w:tc>
        <w:tc>
          <w:tcPr>
            <w:tcW w:w="114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82" w:type="dxa"/>
            <w:tcBorders/>
            <w:vAlign w:val="center"/>
          </w:tcPr>
          <w:p>
            <w:pPr>
              <w:pStyle w:val="TableContents"/>
              <w:bidi w:val="0"/>
              <w:spacing w:before="0" w:after="1"/>
              <w:ind w:left="0" w:right="0" w:hanging="0"/>
              <w:jc w:val="left"/>
              <w:rPr/>
            </w:pPr>
            <w:r>
              <w:rPr/>
              <w:t>​</w:t>
            </w:r>
          </w:p>
        </w:tc>
        <w:tc>
          <w:tcPr>
            <w:tcW w:w="144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15,000</w:t>
            </w:r>
          </w:p>
        </w:tc>
      </w:tr>
      <w:tr>
        <w:trPr/>
        <w:tc>
          <w:tcPr>
            <w:tcW w:w="1810" w:type="dxa"/>
            <w:tcBorders/>
            <w:vAlign w:val="center"/>
          </w:tcPr>
          <w:p>
            <w:pPr>
              <w:pStyle w:val="TableContents"/>
              <w:bidi w:val="0"/>
              <w:spacing w:before="0" w:after="1"/>
              <w:ind w:left="0" w:right="0" w:hanging="0"/>
              <w:jc w:val="both"/>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50" w:type="dxa"/>
            <w:tcBorders/>
            <w:vAlign w:val="center"/>
          </w:tcPr>
          <w:p>
            <w:pPr>
              <w:pStyle w:val="TableContents"/>
              <w:bidi w:val="0"/>
              <w:spacing w:before="0" w:after="1"/>
              <w:ind w:left="0" w:right="0" w:hanging="0"/>
              <w:jc w:val="left"/>
              <w:rPr/>
            </w:pPr>
            <w:r>
              <w:rPr/>
              <w:t>​</w:t>
            </w:r>
          </w:p>
        </w:tc>
        <w:tc>
          <w:tcPr>
            <w:tcW w:w="203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95" w:type="dxa"/>
            <w:tcBorders/>
            <w:vAlign w:val="center"/>
          </w:tcPr>
          <w:p>
            <w:pPr>
              <w:pStyle w:val="TableContents"/>
              <w:bidi w:val="0"/>
              <w:spacing w:before="0" w:after="1"/>
              <w:ind w:left="0" w:right="0" w:hanging="0"/>
              <w:jc w:val="left"/>
              <w:rPr/>
            </w:pPr>
            <w:r>
              <w:rPr/>
              <w:t>​</w:t>
            </w:r>
          </w:p>
        </w:tc>
        <w:tc>
          <w:tcPr>
            <w:tcW w:w="114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82" w:type="dxa"/>
            <w:tcBorders/>
            <w:vAlign w:val="center"/>
          </w:tcPr>
          <w:p>
            <w:pPr>
              <w:pStyle w:val="TableContents"/>
              <w:bidi w:val="0"/>
              <w:spacing w:before="0" w:after="1"/>
              <w:ind w:left="0" w:right="0" w:hanging="0"/>
              <w:jc w:val="left"/>
              <w:rPr/>
            </w:pPr>
            <w:r>
              <w:rPr/>
              <w:t>​</w:t>
            </w:r>
          </w:p>
        </w:tc>
        <w:tc>
          <w:tcPr>
            <w:tcW w:w="1447" w:type="dxa"/>
            <w:tcBorders/>
            <w:vAlign w:val="center"/>
          </w:tcPr>
          <w:p>
            <w:pPr>
              <w:pStyle w:val="TableContents"/>
              <w:bidi w:val="0"/>
              <w:spacing w:before="0" w:after="1"/>
              <w:ind w:left="0" w:right="0" w:hanging="0"/>
              <w:jc w:val="left"/>
              <w:rPr/>
            </w:pPr>
            <w:r>
              <w:rPr/>
              <w:t>​</w:t>
            </w:r>
          </w:p>
        </w:tc>
      </w:tr>
      <w:tr>
        <w:trPr/>
        <w:tc>
          <w:tcPr>
            <w:tcW w:w="181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286"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Measurements Using</w:t>
            </w:r>
          </w:p>
        </w:tc>
      </w:tr>
      <w:tr>
        <w:trPr/>
        <w:tc>
          <w:tcPr>
            <w:tcW w:w="1810"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As of December 31, 2025</w:t>
            </w:r>
          </w:p>
        </w:tc>
        <w:tc>
          <w:tcPr>
            <w:tcW w:w="109"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46" w:type="dxa"/>
            <w:tcBorders/>
            <w:vAlign w:val="center"/>
          </w:tcPr>
          <w:p>
            <w:pPr>
              <w:pStyle w:val="TableContents"/>
              <w:bidi w:val="0"/>
              <w:spacing w:before="0" w:after="1"/>
              <w:ind w:left="0" w:right="0" w:hanging="0"/>
              <w:jc w:val="left"/>
              <w:rPr/>
            </w:pPr>
            <w:r>
              <w:rPr/>
              <w:t>  ​ ​ ​</w:t>
            </w:r>
          </w:p>
        </w:tc>
        <w:tc>
          <w:tcPr>
            <w:tcW w:w="258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Prices in active markets for identical assets (Level 1)</w:t>
            </w:r>
          </w:p>
        </w:tc>
        <w:tc>
          <w:tcPr>
            <w:tcW w:w="346" w:type="dxa"/>
            <w:tcBorders/>
            <w:vAlign w:val="center"/>
          </w:tcPr>
          <w:p>
            <w:pPr>
              <w:pStyle w:val="TableContents"/>
              <w:bidi w:val="0"/>
              <w:spacing w:before="0" w:after="1"/>
              <w:ind w:left="0" w:right="0" w:hanging="0"/>
              <w:jc w:val="left"/>
              <w:rPr/>
            </w:pPr>
            <w:r>
              <w:rPr/>
              <w:t>  ​ ​ ​</w:t>
            </w:r>
          </w:p>
        </w:tc>
        <w:tc>
          <w:tcPr>
            <w:tcW w:w="183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 other observable inputs</w:t>
              <w:br/>
              <w:t>(Level 2)</w:t>
            </w:r>
          </w:p>
        </w:tc>
        <w:tc>
          <w:tcPr>
            <w:tcW w:w="346" w:type="dxa"/>
            <w:tcBorders/>
            <w:vAlign w:val="center"/>
          </w:tcPr>
          <w:p>
            <w:pPr>
              <w:pStyle w:val="TableContents"/>
              <w:bidi w:val="0"/>
              <w:spacing w:before="0" w:after="1"/>
              <w:ind w:left="0" w:right="0" w:hanging="0"/>
              <w:jc w:val="left"/>
              <w:rPr/>
            </w:pPr>
            <w:r>
              <w:rPr/>
              <w:t>  ​ ​ ​</w:t>
            </w:r>
          </w:p>
        </w:tc>
        <w:tc>
          <w:tcPr>
            <w:tcW w:w="182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 unobservable inputs</w:t>
              <w:br/>
              <w:t xml:space="preserve">(Level 3) </w:t>
            </w:r>
          </w:p>
        </w:tc>
      </w:tr>
      <w:tr>
        <w:trPr/>
        <w:tc>
          <w:tcPr>
            <w:tcW w:w="181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266,892</w:t>
            </w:r>
          </w:p>
        </w:tc>
        <w:tc>
          <w:tcPr>
            <w:tcW w:w="346" w:type="dxa"/>
            <w:tcBorders/>
            <w:shd w:fill="CCEEFF" w:val="clear"/>
            <w:vAlign w:val="center"/>
          </w:tcPr>
          <w:p>
            <w:pPr>
              <w:pStyle w:val="TableContents"/>
              <w:bidi w:val="0"/>
              <w:spacing w:before="0" w:after="1"/>
              <w:ind w:left="0" w:right="0" w:hanging="0"/>
              <w:jc w:val="left"/>
              <w:rPr/>
            </w:pPr>
            <w:r>
              <w:rPr/>
              <w:t>​</w:t>
            </w:r>
          </w:p>
        </w:tc>
        <w:tc>
          <w:tcPr>
            <w:tcW w:w="5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03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266,892</w:t>
            </w:r>
          </w:p>
        </w:tc>
        <w:tc>
          <w:tcPr>
            <w:tcW w:w="346" w:type="dxa"/>
            <w:tcBorders/>
            <w:shd w:fill="CCEEFF" w:val="clear"/>
            <w:vAlign w:val="center"/>
          </w:tcPr>
          <w:p>
            <w:pPr>
              <w:pStyle w:val="TableContents"/>
              <w:bidi w:val="0"/>
              <w:spacing w:before="0" w:after="1"/>
              <w:ind w:left="0" w:right="0" w:hanging="0"/>
              <w:jc w:val="left"/>
              <w:rPr/>
            </w:pPr>
            <w:r>
              <w:rPr/>
              <w:t>​</w:t>
            </w:r>
          </w:p>
        </w:tc>
        <w:tc>
          <w:tcPr>
            <w:tcW w:w="6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8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47" w:type="dxa"/>
            <w:tcBorders/>
            <w:shd w:fill="CCEEFF" w:val="clear"/>
            <w:vAlign w:val="center"/>
          </w:tcPr>
          <w:p>
            <w:pPr>
              <w:pStyle w:val="TableContents"/>
              <w:bidi w:val="0"/>
              <w:spacing w:before="0" w:after="1"/>
              <w:ind w:left="0" w:right="0" w:hanging="0"/>
              <w:jc w:val="right"/>
              <w:rPr/>
            </w:pPr>
            <w:r>
              <w:rPr/>
              <w:t>—</w:t>
            </w:r>
          </w:p>
        </w:tc>
      </w:tr>
      <w:tr>
        <w:trPr/>
        <w:tc>
          <w:tcPr>
            <w:tcW w:w="181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ecosio Cash Earn-outs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86,600</w:t>
            </w:r>
          </w:p>
        </w:tc>
        <w:tc>
          <w:tcPr>
            <w:tcW w:w="346" w:type="dxa"/>
            <w:tcBorders/>
            <w:vAlign w:val="center"/>
          </w:tcPr>
          <w:p>
            <w:pPr>
              <w:pStyle w:val="TableContents"/>
              <w:bidi w:val="0"/>
              <w:spacing w:before="0" w:after="1"/>
              <w:ind w:left="0" w:right="0" w:hanging="0"/>
              <w:jc w:val="left"/>
              <w:rPr/>
            </w:pPr>
            <w:r>
              <w:rPr/>
              <w:t>​</w:t>
            </w:r>
          </w:p>
        </w:tc>
        <w:tc>
          <w:tcPr>
            <w:tcW w:w="550" w:type="dxa"/>
            <w:tcBorders/>
            <w:vAlign w:val="center"/>
          </w:tcPr>
          <w:p>
            <w:pPr>
              <w:pStyle w:val="TableContents"/>
              <w:bidi w:val="0"/>
              <w:spacing w:before="0" w:after="1"/>
              <w:ind w:left="0" w:right="0" w:hanging="0"/>
              <w:jc w:val="left"/>
              <w:rPr/>
            </w:pPr>
            <w:r>
              <w:rPr/>
              <w:t>​</w:t>
            </w:r>
          </w:p>
        </w:tc>
        <w:tc>
          <w:tcPr>
            <w:tcW w:w="203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95" w:type="dxa"/>
            <w:tcBorders/>
            <w:vAlign w:val="center"/>
          </w:tcPr>
          <w:p>
            <w:pPr>
              <w:pStyle w:val="TableContents"/>
              <w:bidi w:val="0"/>
              <w:spacing w:before="0" w:after="1"/>
              <w:ind w:left="0" w:right="0" w:hanging="0"/>
              <w:jc w:val="left"/>
              <w:rPr/>
            </w:pPr>
            <w:r>
              <w:rPr/>
              <w:t>​</w:t>
            </w:r>
          </w:p>
        </w:tc>
        <w:tc>
          <w:tcPr>
            <w:tcW w:w="114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82" w:type="dxa"/>
            <w:tcBorders/>
            <w:vAlign w:val="center"/>
          </w:tcPr>
          <w:p>
            <w:pPr>
              <w:pStyle w:val="TableContents"/>
              <w:bidi w:val="0"/>
              <w:spacing w:before="0" w:after="1"/>
              <w:ind w:left="0" w:right="0" w:hanging="0"/>
              <w:jc w:val="left"/>
              <w:rPr/>
            </w:pPr>
            <w:r>
              <w:rPr/>
              <w:t>​</w:t>
            </w:r>
          </w:p>
        </w:tc>
        <w:tc>
          <w:tcPr>
            <w:tcW w:w="144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86,600</w:t>
            </w:r>
          </w:p>
        </w:tc>
      </w:tr>
      <w:tr>
        <w:trPr/>
        <w:tc>
          <w:tcPr>
            <w:tcW w:w="181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ecosio Stock Earn-outs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18,900</w:t>
            </w:r>
          </w:p>
        </w:tc>
        <w:tc>
          <w:tcPr>
            <w:tcW w:w="346" w:type="dxa"/>
            <w:tcBorders/>
            <w:shd w:fill="CCEEFF" w:val="clear"/>
            <w:vAlign w:val="center"/>
          </w:tcPr>
          <w:p>
            <w:pPr>
              <w:pStyle w:val="TableContents"/>
              <w:bidi w:val="0"/>
              <w:spacing w:before="0" w:after="1"/>
              <w:ind w:left="0" w:right="0" w:hanging="0"/>
              <w:jc w:val="left"/>
              <w:rPr/>
            </w:pPr>
            <w:r>
              <w:rPr/>
              <w:t>​</w:t>
            </w:r>
          </w:p>
        </w:tc>
        <w:tc>
          <w:tcPr>
            <w:tcW w:w="550" w:type="dxa"/>
            <w:tcBorders/>
            <w:shd w:fill="CCEEFF" w:val="clear"/>
            <w:vAlign w:val="center"/>
          </w:tcPr>
          <w:p>
            <w:pPr>
              <w:pStyle w:val="TableContents"/>
              <w:bidi w:val="0"/>
              <w:spacing w:before="0" w:after="1"/>
              <w:ind w:left="0" w:right="0" w:hanging="0"/>
              <w:jc w:val="left"/>
              <w:rPr/>
            </w:pPr>
            <w:r>
              <w:rPr/>
              <w:t>​</w:t>
            </w:r>
          </w:p>
        </w:tc>
        <w:tc>
          <w:tcPr>
            <w:tcW w:w="203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5" w:type="dxa"/>
            <w:tcBorders/>
            <w:shd w:fill="CCEEFF" w:val="clear"/>
            <w:vAlign w:val="center"/>
          </w:tcPr>
          <w:p>
            <w:pPr>
              <w:pStyle w:val="TableContents"/>
              <w:bidi w:val="0"/>
              <w:spacing w:before="0" w:after="1"/>
              <w:ind w:left="0" w:right="0" w:hanging="0"/>
              <w:jc w:val="left"/>
              <w:rPr/>
            </w:pPr>
            <w:r>
              <w:rPr/>
              <w:t>​</w:t>
            </w:r>
          </w:p>
        </w:tc>
        <w:tc>
          <w:tcPr>
            <w:tcW w:w="114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82" w:type="dxa"/>
            <w:tcBorders/>
            <w:shd w:fill="CCEEFF" w:val="clear"/>
            <w:vAlign w:val="center"/>
          </w:tcPr>
          <w:p>
            <w:pPr>
              <w:pStyle w:val="TableContents"/>
              <w:bidi w:val="0"/>
              <w:spacing w:before="0" w:after="1"/>
              <w:ind w:left="0" w:right="0" w:hanging="0"/>
              <w:jc w:val="left"/>
              <w:rPr/>
            </w:pPr>
            <w:r>
              <w:rPr/>
              <w:t>​</w:t>
            </w:r>
          </w:p>
        </w:tc>
        <w:tc>
          <w:tcPr>
            <w:tcW w:w="14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18,900</w:t>
            </w:r>
          </w:p>
        </w:tc>
      </w:tr>
      <w:tr>
        <w:trPr/>
        <w:tc>
          <w:tcPr>
            <w:tcW w:w="181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Long-Term Investment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15,000</w:t>
            </w:r>
          </w:p>
        </w:tc>
        <w:tc>
          <w:tcPr>
            <w:tcW w:w="346" w:type="dxa"/>
            <w:tcBorders/>
            <w:vAlign w:val="center"/>
          </w:tcPr>
          <w:p>
            <w:pPr>
              <w:pStyle w:val="TableContents"/>
              <w:bidi w:val="0"/>
              <w:spacing w:before="0" w:after="1"/>
              <w:ind w:left="0" w:right="0" w:hanging="0"/>
              <w:jc w:val="left"/>
              <w:rPr/>
            </w:pPr>
            <w:r>
              <w:rPr/>
              <w:t>​</w:t>
            </w:r>
          </w:p>
        </w:tc>
        <w:tc>
          <w:tcPr>
            <w:tcW w:w="550" w:type="dxa"/>
            <w:tcBorders/>
            <w:vAlign w:val="center"/>
          </w:tcPr>
          <w:p>
            <w:pPr>
              <w:pStyle w:val="TableContents"/>
              <w:bidi w:val="0"/>
              <w:spacing w:before="0" w:after="1"/>
              <w:ind w:left="0" w:right="0" w:hanging="0"/>
              <w:jc w:val="left"/>
              <w:rPr/>
            </w:pPr>
            <w:r>
              <w:rPr/>
              <w:t>​</w:t>
            </w:r>
          </w:p>
        </w:tc>
        <w:tc>
          <w:tcPr>
            <w:tcW w:w="203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95" w:type="dxa"/>
            <w:tcBorders/>
            <w:vAlign w:val="center"/>
          </w:tcPr>
          <w:p>
            <w:pPr>
              <w:pStyle w:val="TableContents"/>
              <w:bidi w:val="0"/>
              <w:spacing w:before="0" w:after="1"/>
              <w:ind w:left="0" w:right="0" w:hanging="0"/>
              <w:jc w:val="left"/>
              <w:rPr/>
            </w:pPr>
            <w:r>
              <w:rPr/>
              <w:t>​</w:t>
            </w:r>
          </w:p>
        </w:tc>
        <w:tc>
          <w:tcPr>
            <w:tcW w:w="114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82" w:type="dxa"/>
            <w:tcBorders/>
            <w:vAlign w:val="center"/>
          </w:tcPr>
          <w:p>
            <w:pPr>
              <w:pStyle w:val="TableContents"/>
              <w:bidi w:val="0"/>
              <w:spacing w:before="0" w:after="1"/>
              <w:ind w:left="0" w:right="0" w:hanging="0"/>
              <w:jc w:val="left"/>
              <w:rPr/>
            </w:pPr>
            <w:r>
              <w:rPr/>
              <w:t>​</w:t>
            </w:r>
          </w:p>
        </w:tc>
        <w:tc>
          <w:tcPr>
            <w:tcW w:w="1447" w:type="dxa"/>
            <w:tcBorders/>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15,000</w:t>
            </w:r>
          </w:p>
        </w:tc>
      </w:tr>
    </w:tbl>
    <w:p>
      <w:pPr>
        <w:pStyle w:val="TextBody"/>
        <w:bidi w:val="0"/>
        <w:spacing w:before="0" w:after="240"/>
        <w:ind w:left="0" w:right="0" w:firstLine="360"/>
        <w:jc w:val="both"/>
        <w:rPr/>
      </w:pPr>
      <w:r>
        <w:rPr/>
        <w:t>​</w:t>
      </w:r>
    </w:p>
    <w:p>
      <w:pPr>
        <w:pStyle w:val="TextBody"/>
        <w:bidi w:val="0"/>
        <w:spacing w:before="0" w:after="120"/>
        <w:ind w:left="0" w:right="0" w:firstLine="360"/>
        <w:jc w:val="both"/>
        <w:rPr>
          <w:rFonts w:ascii="Times New Roman;Times;serif" w:hAnsi="Times New Roman;Times;serif"/>
          <w:b/>
          <w:sz w:val="20"/>
        </w:rPr>
      </w:pPr>
      <w:r>
        <w:rPr>
          <w:rFonts w:ascii="Times New Roman;Times;serif" w:hAnsi="Times New Roman;Times;serif"/>
          <w:b/>
          <w:sz w:val="20"/>
        </w:rPr>
        <w:t>Money Market Funds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has investments in high quality, short-term money market instruments, which are issued and payable in U.S. dollars (“Money Market Funds”) and included in cash and cash equivalents on the condensed consolidated balance sheets. Fair value inputs for these investments are considered Level 1 measurements within the fair value hierarchy since Money Market Fund fair values are known and observable through daily published floating net asset values.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766" w:type="dxa"/>
        <w:jc w:val="left"/>
        <w:tblInd w:w="0" w:type="dxa"/>
        <w:tblLayout w:type="fixed"/>
        <w:tblCellMar>
          <w:top w:w="0" w:type="dxa"/>
          <w:left w:w="0" w:type="dxa"/>
          <w:bottom w:w="0" w:type="dxa"/>
          <w:right w:w="0" w:type="dxa"/>
        </w:tblCellMar>
      </w:tblPr>
      <w:tblGrid>
        <w:gridCol w:w="6766"/>
      </w:tblGrid>
      <w:tr>
        <w:trPr/>
        <w:tc>
          <w:tcPr>
            <w:tcW w:w="6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b/>
          <w:sz w:val="20"/>
        </w:rPr>
      </w:pPr>
      <w:bookmarkStart w:id="1536" w:name="Tc_oCyv70bUckezoVPUBrUdyQ_9_0"/>
      <w:bookmarkStart w:id="1537" w:name="Tc_shztXTE1nUm2l9iM9ywdEg_8_0"/>
      <w:bookmarkStart w:id="1538" w:name="Tc_51aI1bneaUeGBckv__oRSA_6_10"/>
      <w:bookmarkStart w:id="1539" w:name="Tc_zS-QAEGm9k-tlc1NrM_IPw_6_7"/>
      <w:bookmarkStart w:id="1540" w:name="Tc_MVrs5xYtFEK5CSWtBZF2Pw_6_4"/>
      <w:bookmarkStart w:id="1541" w:name="Tc_ItIXYZloyEmsGrcCoqZzBQ_6_1"/>
      <w:bookmarkStart w:id="1542" w:name="Tc_uZVQqKX6GkGSQQ09FsAwag_6_0"/>
      <w:bookmarkStart w:id="1543" w:name="Tc_XIuXtM8Ga0ujF1sN7wJezw_5_0"/>
      <w:bookmarkStart w:id="1544" w:name="Tc_XiFa7nNc2UObz4eKzJFfVg_4_10"/>
      <w:bookmarkStart w:id="1545" w:name="Tc_96EMwXSvTEaMcQMO0wbp2g_4_7"/>
      <w:bookmarkStart w:id="1546" w:name="Tc_DKSpgEYpw0en5JCbbBzLgQ_4_4"/>
      <w:bookmarkStart w:id="1547" w:name="Tc_LrjVyYQ8W0GSyLsb23A5kw_4_1"/>
      <w:bookmarkStart w:id="1548" w:name="Tc_r2-LKsJv_E6wvGwo2hgYCg_4_0"/>
      <w:bookmarkStart w:id="1549" w:name="Tc_OAU9T2brOkKQD180fPKncg_3_10"/>
      <w:bookmarkStart w:id="1550" w:name="Tc_z4YMSCybNk2YwAC9mudvGw_3_7"/>
      <w:bookmarkStart w:id="1551" w:name="Tc_AAT49-M5ykia81rviGixKw_3_4"/>
      <w:bookmarkStart w:id="1552" w:name="Tc_OEdG6fPkP0S3o9B6ky24dw_3_1"/>
      <w:bookmarkStart w:id="1553" w:name="Tc_egzQhjGzz0euGiNwTCFiZg_2_1"/>
      <w:bookmarkStart w:id="1554" w:name="Tc_2pVcDpZ3cUOOvoj3TQWeuw_1_7"/>
      <w:bookmarkStart w:id="1555" w:name="Tc_tj_6a525bUKhsYPTrPzc7Q_1_1"/>
      <w:bookmarkStart w:id="1556" w:name="Tc__EYns8q0Qk6UbYKO0C1tLQ_14_0"/>
      <w:bookmarkStart w:id="1557" w:name="Tc_sp8dmOFvdEyIhLQO_aCM_Q_13_0"/>
      <w:bookmarkStart w:id="1558" w:name="Tc_rQBCxXgkZUih_q7lcPt3jQ_12_9"/>
      <w:bookmarkStart w:id="1559" w:name="Tc_yTH0e60-vUSPDt6G5PMDvA_12_5"/>
      <w:bookmarkStart w:id="1560" w:name="Tc_BojxY6AndEOHervrrG-wwQ_12_2"/>
      <w:bookmarkStart w:id="1561" w:name="Tc_72Wwl1qRvUG7oYJ0EWMyAQ_12_0"/>
      <w:bookmarkStart w:id="1562" w:name="Tc_fayNw5G5WEShppuXyAAEoQ_11_0"/>
      <w:bookmarkStart w:id="1563" w:name="Tc_O8y41pWBLUe0PcSHHwu7bg_10_0"/>
      <w:bookmarkStart w:id="1564" w:name="Tc_1z1uCEEaoEC6jmT1O0gSqw_9_9"/>
      <w:bookmarkStart w:id="1565" w:name="Tc_nwfkNSZQVUilAPed_rT_fA_9_7"/>
      <w:bookmarkStart w:id="1566" w:name="Tc_n50-1D0kLUiAQ4jo2TEuMA_9_6"/>
      <w:bookmarkStart w:id="1567" w:name="Tc_81ZDaUF9gECqVbE3-Rj80w_9_2"/>
      <w:bookmarkStart w:id="1568" w:name="Tc_vV-m3beji0a7Ap1CCjlsxw_9_0"/>
      <w:bookmarkStart w:id="1569" w:name="Tc_G1pyaBlasEGpzAopnSmXdA_8_9"/>
      <w:bookmarkStart w:id="1570" w:name="Tc_4LrGRolLREaA7GsuMSmV5g_8_5"/>
      <w:bookmarkStart w:id="1571" w:name="Tc_TUywVDgZEEqC2Au7nqzRlQ_8_2"/>
      <w:bookmarkStart w:id="1572" w:name="Tc_NLA52lKZ9kmc6J-PorV2ag_8_0"/>
      <w:bookmarkStart w:id="1573" w:name="Tc_rl2Atvsel0OwwAVbDAXXag_7_9"/>
      <w:bookmarkStart w:id="1574" w:name="Tc_c4klDrmeTUm-XyJSCpwZ4A_7_5"/>
      <w:bookmarkStart w:id="1575" w:name="Tc_PM5a8lKwekKei8bI65MCtw_7_2"/>
      <w:bookmarkStart w:id="1576" w:name="Tc_jEoWwaqUWE6D8tD1_txoAg_6_9"/>
      <w:bookmarkStart w:id="1577" w:name="Tc_76dAiSoO0kSl6y8ngJXFOA_6_5"/>
      <w:bookmarkStart w:id="1578" w:name="Tc_M5Dn23L0SUmD3RDbp3pIhg_6_2"/>
      <w:bookmarkStart w:id="1579" w:name="Tc_pKBAdvBOvU-hJ8eA7Xq-sw_6_0"/>
      <w:bookmarkStart w:id="1580" w:name="Tc_UqJvpv06nk-tU5hNG3ttZg_5_0"/>
      <w:bookmarkStart w:id="1581" w:name="Tc_n8zSScpddU-RTW8Uz92UpA_4_0"/>
      <w:bookmarkStart w:id="1582" w:name="Tc_GHGtCFvwzkaIfo3gcASGyw_3_9"/>
      <w:bookmarkStart w:id="1583" w:name="Tc_OdKLA-eosk-QSBiMye6r7w_3_7"/>
      <w:bookmarkStart w:id="1584" w:name="Tc_JDnF8Rs8K0iNSclW2zakQw_3_6"/>
      <w:bookmarkStart w:id="1585" w:name="Tc_RHqAjJtCnUGApY1QYKEahw_3_2"/>
      <w:bookmarkStart w:id="1586" w:name="Tc_bqL7bJXkt0-9tGiZx0Vzqw_3_0"/>
      <w:bookmarkStart w:id="1587" w:name="Tc_tGD76ZHsJ0aETeRFCY5U-g_2_9"/>
      <w:bookmarkStart w:id="1588" w:name="Tc_Sxvi0__ubEWRi3NjQn3HYg_2_5"/>
      <w:bookmarkStart w:id="1589" w:name="Tc_o82xTJ6jE0uo9MExipWIIA_2_2"/>
      <w:bookmarkStart w:id="1590" w:name="Tc_8X4696SdHkK4k_PxG2gyEA_2_0"/>
      <w:bookmarkStart w:id="1591" w:name="Tc_jON4wBjtnUeomzHa8rHjcw_1_9"/>
      <w:bookmarkStart w:id="1592" w:name="Tc_UmFjhcp9OU6Mz1VFTXY7zg_1_5"/>
      <w:bookmarkStart w:id="1593" w:name="Tc_VCcIgrQ_NU6-NeRKgrZ1bA_1_2"/>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r>
        <w:rPr>
          <w:rFonts w:ascii="Times New Roman;Times;serif" w:hAnsi="Times New Roman;Times;serif"/>
          <w:b/>
          <w:sz w:val="20"/>
        </w:rPr>
        <w:t>ecosio Earn-outs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connection with the August 2024 acquisition of ecosio GmbH (“ecosio”), the sellers are entitled to three annual earn-outs in the form of cash, with an aggregate value of up to $94,355 (the “Cash Earn-outs”), and stock, with an aggregate value of up to $35,000 (the “Stock Earn-outs,” and together with the Cash Earn-outs, the “Earn-outs”), assuming maximum payouts. The Earn-outs are based on ecosio’s achievement of certain monthly software revenue targets over a three-year period, measured over an aggregate of 12 months and paid within 90 days after the relevant measurement period. At the acquisition date, the fair value of the Cash Earn-outs and Stock Earn-outs were $71,000 and $34,000, respectively. The fair value of the Cash Earn-out and the Stock Earn-out were measured on the acquisition date using a Monte Carlo simulation in a risk-neutral framework, calibrated to management’s revenue forecasts. Additional information on the Cash Earn-outs and the Stock Earn-outs is presented in the following table:</w:t>
      </w:r>
    </w:p>
    <w:p>
      <w:pPr>
        <w:pStyle w:val="TextBody"/>
        <w:bidi w:val="0"/>
        <w:spacing w:before="0" w:after="0"/>
        <w:ind w:left="0" w:right="0" w:firstLine="360"/>
        <w:jc w:val="both"/>
        <w:rPr/>
      </w:pPr>
      <w:r>
        <w:rPr/>
        <w:t>​</w:t>
      </w:r>
    </w:p>
    <w:tbl>
      <w:tblPr>
        <w:tblW w:w="9236" w:type="dxa"/>
        <w:jc w:val="left"/>
        <w:tblInd w:w="0" w:type="dxa"/>
        <w:tblLayout w:type="fixed"/>
        <w:tblCellMar>
          <w:top w:w="0" w:type="dxa"/>
          <w:left w:w="0" w:type="dxa"/>
          <w:bottom w:w="0" w:type="dxa"/>
          <w:right w:w="0" w:type="dxa"/>
        </w:tblCellMar>
      </w:tblPr>
      <w:tblGrid>
        <w:gridCol w:w="4543"/>
        <w:gridCol w:w="123"/>
        <w:gridCol w:w="238"/>
        <w:gridCol w:w="763"/>
        <w:gridCol w:w="123"/>
        <w:gridCol w:w="301"/>
        <w:gridCol w:w="970"/>
        <w:gridCol w:w="306"/>
        <w:gridCol w:w="123"/>
        <w:gridCol w:w="395"/>
        <w:gridCol w:w="1351"/>
      </w:tblGrid>
      <w:tr>
        <w:trPr/>
        <w:tc>
          <w:tcPr>
            <w:tcW w:w="45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884805" cy="175260"/>
                      <wp:effectExtent l="0" t="0" r="0" b="0"/>
                      <wp:wrapNone/>
                      <wp:docPr id="145" name="Frame145"/>
                      <a:graphic xmlns:a="http://schemas.openxmlformats.org/drawingml/2006/main">
                        <a:graphicData uri="http://schemas.microsoft.com/office/word/2010/wordprocessingShape">
                          <wps:wsp>
                            <wps:cNvSpPr txBox="1"/>
                            <wps:spPr>
                              <a:xfrm>
                                <a:off x="0" y="0"/>
                                <a:ext cx="2884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78105" cy="175260"/>
                      <wp:effectExtent l="0" t="0" r="0" b="0"/>
                      <wp:wrapNone/>
                      <wp:docPr id="146" name="Frame146"/>
                      <a:graphic xmlns:a="http://schemas.openxmlformats.org/drawingml/2006/main">
                        <a:graphicData uri="http://schemas.microsoft.com/office/word/2010/wordprocessingShape">
                          <wps:wsp>
                            <wps:cNvSpPr txBox="1"/>
                            <wps:spPr>
                              <a:xfrm>
                                <a:off x="0" y="0"/>
                                <a:ext cx="78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51130" cy="175260"/>
                      <wp:effectExtent l="0" t="0" r="0" b="0"/>
                      <wp:wrapNone/>
                      <wp:docPr id="147" name="Frame147"/>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484505" cy="175260"/>
                      <wp:effectExtent l="0" t="0" r="0" b="0"/>
                      <wp:wrapNone/>
                      <wp:docPr id="148" name="Frame148"/>
                      <a:graphic xmlns:a="http://schemas.openxmlformats.org/drawingml/2006/main">
                        <a:graphicData uri="http://schemas.microsoft.com/office/word/2010/wordprocessingShape">
                          <wps:wsp>
                            <wps:cNvSpPr txBox="1"/>
                            <wps:spPr>
                              <a:xfrm>
                                <a:off x="0" y="0"/>
                                <a:ext cx="484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78105" cy="175260"/>
                      <wp:effectExtent l="0" t="0" r="0" b="0"/>
                      <wp:wrapNone/>
                      <wp:docPr id="149" name="Frame149"/>
                      <a:graphic xmlns:a="http://schemas.openxmlformats.org/drawingml/2006/main">
                        <a:graphicData uri="http://schemas.microsoft.com/office/word/2010/wordprocessingShape">
                          <wps:wsp>
                            <wps:cNvSpPr txBox="1"/>
                            <wps:spPr>
                              <a:xfrm>
                                <a:off x="0" y="0"/>
                                <a:ext cx="78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91135" cy="175260"/>
                      <wp:effectExtent l="0" t="0" r="0" b="0"/>
                      <wp:wrapNone/>
                      <wp:docPr id="150" name="Frame150"/>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15950" cy="175260"/>
                      <wp:effectExtent l="0" t="0" r="0" b="0"/>
                      <wp:wrapNone/>
                      <wp:docPr id="151" name="Frame151"/>
                      <a:graphic xmlns:a="http://schemas.openxmlformats.org/drawingml/2006/main">
                        <a:graphicData uri="http://schemas.microsoft.com/office/word/2010/wordprocessingShape">
                          <wps:wsp>
                            <wps:cNvSpPr txBox="1"/>
                            <wps:spPr>
                              <a:xfrm>
                                <a:off x="0" y="0"/>
                                <a:ext cx="615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94310" cy="175260"/>
                      <wp:effectExtent l="0" t="0" r="0" b="0"/>
                      <wp:wrapNone/>
                      <wp:docPr id="152" name="Frame152"/>
                      <a:graphic xmlns:a="http://schemas.openxmlformats.org/drawingml/2006/main">
                        <a:graphicData uri="http://schemas.microsoft.com/office/word/2010/wordprocessingShape">
                          <wps:wsp>
                            <wps:cNvSpPr txBox="1"/>
                            <wps:spPr>
                              <a:xfrm>
                                <a:off x="0" y="0"/>
                                <a:ext cx="194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78105" cy="175260"/>
                      <wp:effectExtent l="0" t="0" r="0" b="0"/>
                      <wp:wrapNone/>
                      <wp:docPr id="153" name="Frame153"/>
                      <a:graphic xmlns:a="http://schemas.openxmlformats.org/drawingml/2006/main">
                        <a:graphicData uri="http://schemas.microsoft.com/office/word/2010/wordprocessingShape">
                          <wps:wsp>
                            <wps:cNvSpPr txBox="1"/>
                            <wps:spPr>
                              <a:xfrm>
                                <a:off x="0" y="0"/>
                                <a:ext cx="78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50825" cy="175260"/>
                      <wp:effectExtent l="0" t="0" r="0" b="0"/>
                      <wp:wrapNone/>
                      <wp:docPr id="154" name="Frame154"/>
                      <a:graphic xmlns:a="http://schemas.openxmlformats.org/drawingml/2006/main">
                        <a:graphicData uri="http://schemas.microsoft.com/office/word/2010/wordprocessingShape">
                          <wps:wsp>
                            <wps:cNvSpPr txBox="1"/>
                            <wps:spPr>
                              <a:xfrm>
                                <a:off x="0" y="0"/>
                                <a:ext cx="250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857885" cy="175260"/>
                      <wp:effectExtent l="0" t="0" r="0" b="0"/>
                      <wp:wrapNone/>
                      <wp:docPr id="155" name="Frame155"/>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43" w:type="dxa"/>
            <w:tcBorders/>
            <w:shd w:fill="FFFFFF" w:val="clear"/>
            <w:vAlign w:val="center"/>
          </w:tcPr>
          <w:p>
            <w:pPr>
              <w:pStyle w:val="TableContents"/>
              <w:bidi w:val="0"/>
              <w:spacing w:before="0" w:after="0"/>
              <w:ind w:left="0" w:right="0" w:hanging="0"/>
              <w:jc w:val="center"/>
              <w:rPr/>
            </w:pPr>
            <w:r>
              <w:rPr/>
              <w:t>​</w:t>
            </w:r>
          </w:p>
        </w:tc>
        <w:tc>
          <w:tcPr>
            <w:tcW w:w="123" w:type="dxa"/>
            <w:tcBorders/>
            <w:shd w:fill="FFFFFF" w:val="clear"/>
            <w:vAlign w:val="center"/>
          </w:tcPr>
          <w:p>
            <w:pPr>
              <w:pStyle w:val="TableContents"/>
              <w:bidi w:val="0"/>
              <w:spacing w:before="0" w:after="0"/>
              <w:ind w:left="0" w:right="0" w:hanging="0"/>
              <w:jc w:val="left"/>
              <w:rPr/>
            </w:pPr>
            <w:r>
              <w:rPr/>
              <w:t>​</w:t>
            </w:r>
          </w:p>
        </w:tc>
        <w:tc>
          <w:tcPr>
            <w:tcW w:w="1001"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Maximum </w:t>
            </w:r>
          </w:p>
        </w:tc>
        <w:tc>
          <w:tcPr>
            <w:tcW w:w="123" w:type="dxa"/>
            <w:tcBorders/>
            <w:shd w:fill="FFFFFF" w:val="clear"/>
            <w:vAlign w:val="center"/>
          </w:tcPr>
          <w:p>
            <w:pPr>
              <w:pStyle w:val="TableContents"/>
              <w:bidi w:val="0"/>
              <w:spacing w:before="0" w:after="0"/>
              <w:ind w:left="0" w:right="0" w:hanging="0"/>
              <w:jc w:val="left"/>
              <w:rPr/>
            </w:pPr>
            <w:r>
              <w:rPr/>
              <w:t>​</w:t>
            </w:r>
          </w:p>
        </w:tc>
        <w:tc>
          <w:tcPr>
            <w:tcW w:w="1271"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06" w:type="dxa"/>
            <w:tcBorders/>
            <w:vAlign w:val="center"/>
          </w:tcPr>
          <w:p>
            <w:pPr>
              <w:pStyle w:val="TableContents"/>
              <w:bidi w:val="0"/>
              <w:spacing w:before="0" w:after="0"/>
              <w:ind w:left="0" w:right="0" w:hanging="0"/>
              <w:jc w:val="center"/>
              <w:rPr/>
            </w:pPr>
            <w:r>
              <w:rPr/>
              <w:t>​</w:t>
            </w:r>
          </w:p>
        </w:tc>
        <w:tc>
          <w:tcPr>
            <w:tcW w:w="123" w:type="dxa"/>
            <w:tcBorders/>
            <w:shd w:fill="FFFFFF" w:val="clear"/>
            <w:vAlign w:val="center"/>
          </w:tcPr>
          <w:p>
            <w:pPr>
              <w:pStyle w:val="TableContents"/>
              <w:bidi w:val="0"/>
              <w:spacing w:before="0" w:after="0"/>
              <w:ind w:left="0" w:right="0" w:hanging="0"/>
              <w:jc w:val="center"/>
              <w:rPr/>
            </w:pPr>
            <w:r>
              <w:rPr/>
              <w:t>​</w:t>
            </w:r>
          </w:p>
        </w:tc>
        <w:tc>
          <w:tcPr>
            <w:tcW w:w="1746"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Fair Value </w:t>
            </w:r>
          </w:p>
        </w:tc>
      </w:tr>
      <w:tr>
        <w:trPr/>
        <w:tc>
          <w:tcPr>
            <w:tcW w:w="4543"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Cash Earn-outs/ Period (unaudited)</w:t>
            </w:r>
          </w:p>
        </w:tc>
        <w:tc>
          <w:tcPr>
            <w:tcW w:w="123" w:type="dxa"/>
            <w:tcBorders/>
            <w:shd w:fill="FFFFFF" w:val="clear"/>
            <w:vAlign w:val="center"/>
          </w:tcPr>
          <w:p>
            <w:pPr>
              <w:pStyle w:val="TableContents"/>
              <w:bidi w:val="0"/>
              <w:spacing w:before="0" w:after="0"/>
              <w:ind w:left="0" w:right="0" w:hanging="0"/>
              <w:jc w:val="left"/>
              <w:rPr/>
            </w:pPr>
            <w:r>
              <w:rPr/>
              <w:t>​</w:t>
            </w:r>
          </w:p>
        </w:tc>
        <w:tc>
          <w:tcPr>
            <w:tcW w:w="10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Payout </w:t>
            </w:r>
          </w:p>
        </w:tc>
        <w:tc>
          <w:tcPr>
            <w:tcW w:w="123" w:type="dxa"/>
            <w:tcBorders/>
            <w:shd w:fill="FFFFFF" w:val="clear"/>
            <w:vAlign w:val="center"/>
          </w:tcPr>
          <w:p>
            <w:pPr>
              <w:pStyle w:val="TableContents"/>
              <w:bidi w:val="0"/>
              <w:spacing w:before="0" w:after="0"/>
              <w:ind w:left="0" w:right="0" w:hanging="0"/>
              <w:jc w:val="left"/>
              <w:rPr/>
            </w:pPr>
            <w:r>
              <w:rPr/>
              <w:t>​</w:t>
            </w:r>
          </w:p>
        </w:tc>
        <w:tc>
          <w:tcPr>
            <w:tcW w:w="127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06" w:type="dxa"/>
            <w:tcBorders/>
            <w:vAlign w:val="center"/>
          </w:tcPr>
          <w:p>
            <w:pPr>
              <w:pStyle w:val="TableContents"/>
              <w:bidi w:val="0"/>
              <w:spacing w:before="0" w:after="0"/>
              <w:ind w:left="0" w:right="0" w:hanging="0"/>
              <w:jc w:val="center"/>
              <w:rPr/>
            </w:pPr>
            <w:r>
              <w:rPr/>
              <w:t>​</w:t>
            </w:r>
          </w:p>
        </w:tc>
        <w:tc>
          <w:tcPr>
            <w:tcW w:w="123" w:type="dxa"/>
            <w:tcBorders/>
            <w:shd w:fill="FFFFFF" w:val="clear"/>
            <w:vAlign w:val="center"/>
          </w:tcPr>
          <w:p>
            <w:pPr>
              <w:pStyle w:val="TableContents"/>
              <w:bidi w:val="0"/>
              <w:spacing w:before="0" w:after="0"/>
              <w:ind w:left="0" w:right="0" w:hanging="0"/>
              <w:jc w:val="center"/>
              <w:rPr/>
            </w:pPr>
            <w:r>
              <w:rPr/>
              <w:t>​</w:t>
            </w:r>
          </w:p>
        </w:tc>
        <w:tc>
          <w:tcPr>
            <w:tcW w:w="174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45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 1 - December 1, 2024 - November 30, 2025</w:t>
            </w:r>
          </w:p>
        </w:tc>
        <w:tc>
          <w:tcPr>
            <w:tcW w:w="123"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19,600</w:t>
            </w:r>
          </w:p>
        </w:tc>
        <w:tc>
          <w:tcPr>
            <w:tcW w:w="123"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970" w:type="dxa"/>
            <w:tcBorders/>
            <w:shd w:fill="CCEEFF" w:val="clear"/>
            <w:vAlign w:val="center"/>
          </w:tcPr>
          <w:p>
            <w:pPr>
              <w:pStyle w:val="TableContents"/>
              <w:bidi w:val="0"/>
              <w:spacing w:before="0" w:after="0"/>
              <w:ind w:left="0" w:right="0" w:hanging="0"/>
              <w:jc w:val="right"/>
              <w:rPr/>
            </w:pPr>
            <w:r>
              <w:rPr/>
              <w:t>—</w:t>
            </w:r>
          </w:p>
        </w:tc>
        <w:tc>
          <w:tcPr>
            <w:tcW w:w="30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b/>
                <w:sz w:val="14"/>
              </w:rPr>
            </w:pPr>
            <w:r>
              <w:rPr>
                <w:rFonts w:ascii="Times New Roman;Times;serif" w:hAnsi="Times New Roman;Times;serif"/>
                <w:b/>
                <w:sz w:val="14"/>
              </w:rPr>
              <w:t>(2)</w:t>
            </w:r>
          </w:p>
        </w:tc>
        <w:tc>
          <w:tcPr>
            <w:tcW w:w="123" w:type="dxa"/>
            <w:tcBorders/>
            <w:shd w:fill="CCEEFF" w:val="clear"/>
            <w:vAlign w:val="center"/>
          </w:tcPr>
          <w:p>
            <w:pPr>
              <w:pStyle w:val="TableContents"/>
              <w:bidi w:val="0"/>
              <w:spacing w:before="0" w:after="0"/>
              <w:ind w:left="0" w:right="0" w:hanging="0"/>
              <w:jc w:val="center"/>
              <w:rPr/>
            </w:pPr>
            <w:r>
              <w:rPr/>
              <w:t>​</w:t>
            </w:r>
          </w:p>
        </w:tc>
        <w:tc>
          <w:tcPr>
            <w:tcW w:w="3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19,400</w:t>
            </w:r>
          </w:p>
        </w:tc>
      </w:tr>
      <w:tr>
        <w:trPr/>
        <w:tc>
          <w:tcPr>
            <w:tcW w:w="45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 2 - December 1, 2025 - November 30, 2026</w:t>
            </w:r>
          </w:p>
        </w:tc>
        <w:tc>
          <w:tcPr>
            <w:tcW w:w="123"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center"/>
              <w:rPr/>
            </w:pPr>
            <w:r>
              <w:rPr/>
              <w:t>​</w:t>
            </w:r>
          </w:p>
        </w:tc>
        <w:tc>
          <w:tcPr>
            <w:tcW w:w="7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30,625</w:t>
            </w:r>
          </w:p>
        </w:tc>
        <w:tc>
          <w:tcPr>
            <w:tcW w:w="123"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center"/>
              <w:rPr/>
            </w:pPr>
            <w:r>
              <w:rPr/>
              <w:t>​</w:t>
            </w:r>
          </w:p>
        </w:tc>
        <w:tc>
          <w:tcPr>
            <w:tcW w:w="9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29,400</w:t>
            </w:r>
          </w:p>
        </w:tc>
        <w:tc>
          <w:tcPr>
            <w:tcW w:w="306" w:type="dxa"/>
            <w:tcBorders/>
            <w:vAlign w:val="center"/>
          </w:tcPr>
          <w:p>
            <w:pPr>
              <w:pStyle w:val="TableContents"/>
              <w:bidi w:val="0"/>
              <w:spacing w:before="0" w:after="0"/>
              <w:ind w:left="0" w:right="0" w:hanging="0"/>
              <w:jc w:val="left"/>
              <w:rPr/>
            </w:pPr>
            <w:r>
              <w:rPr/>
              <w:t>​</w:t>
            </w:r>
          </w:p>
        </w:tc>
        <w:tc>
          <w:tcPr>
            <w:tcW w:w="123" w:type="dxa"/>
            <w:tcBorders/>
            <w:vAlign w:val="center"/>
          </w:tcPr>
          <w:p>
            <w:pPr>
              <w:pStyle w:val="TableContents"/>
              <w:bidi w:val="0"/>
              <w:spacing w:before="0" w:after="0"/>
              <w:ind w:left="0" w:right="0" w:hanging="0"/>
              <w:jc w:val="center"/>
              <w:rPr/>
            </w:pPr>
            <w:r>
              <w:rPr/>
              <w:t>​</w:t>
            </w:r>
          </w:p>
        </w:tc>
        <w:tc>
          <w:tcPr>
            <w:tcW w:w="395"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28,600</w:t>
            </w:r>
          </w:p>
        </w:tc>
      </w:tr>
      <w:tr>
        <w:trPr/>
        <w:tc>
          <w:tcPr>
            <w:tcW w:w="45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 3 - December 1, 2026 - November 30, 2027</w:t>
            </w:r>
          </w:p>
        </w:tc>
        <w:tc>
          <w:tcPr>
            <w:tcW w:w="123" w:type="dxa"/>
            <w:tcBorders/>
            <w:shd w:fill="CCEEFF" w:val="clear"/>
            <w:vAlign w:val="center"/>
          </w:tcPr>
          <w:p>
            <w:pPr>
              <w:pStyle w:val="TableContents"/>
              <w:bidi w:val="0"/>
              <w:spacing w:before="0" w:after="0"/>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7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44,130</w:t>
            </w:r>
          </w:p>
        </w:tc>
        <w:tc>
          <w:tcPr>
            <w:tcW w:w="123"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9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37,600</w:t>
            </w:r>
          </w:p>
        </w:tc>
        <w:tc>
          <w:tcPr>
            <w:tcW w:w="306" w:type="dxa"/>
            <w:tcBorders/>
            <w:shd w:fill="CCEEFF" w:val="clear"/>
            <w:vAlign w:val="center"/>
          </w:tcPr>
          <w:p>
            <w:pPr>
              <w:pStyle w:val="TableContents"/>
              <w:bidi w:val="0"/>
              <w:spacing w:before="0" w:after="0"/>
              <w:ind w:left="0" w:right="0" w:hanging="0"/>
              <w:jc w:val="left"/>
              <w:rPr/>
            </w:pPr>
            <w:r>
              <w:rPr/>
              <w:t>​</w:t>
            </w:r>
          </w:p>
        </w:tc>
        <w:tc>
          <w:tcPr>
            <w:tcW w:w="123" w:type="dxa"/>
            <w:tcBorders/>
            <w:shd w:fill="CCEEFF" w:val="clear"/>
            <w:vAlign w:val="center"/>
          </w:tcPr>
          <w:p>
            <w:pPr>
              <w:pStyle w:val="TableContents"/>
              <w:bidi w:val="0"/>
              <w:spacing w:before="0" w:after="0"/>
              <w:ind w:left="0" w:right="0" w:hanging="0"/>
              <w:jc w:val="center"/>
              <w:rPr/>
            </w:pPr>
            <w:r>
              <w:rPr/>
              <w:t>​</w:t>
            </w:r>
          </w:p>
        </w:tc>
        <w:tc>
          <w:tcPr>
            <w:tcW w:w="3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38,600</w:t>
            </w:r>
          </w:p>
        </w:tc>
      </w:tr>
      <w:tr>
        <w:trPr/>
        <w:tc>
          <w:tcPr>
            <w:tcW w:w="454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Cash Earn-outs</w:t>
            </w:r>
          </w:p>
        </w:tc>
        <w:tc>
          <w:tcPr>
            <w:tcW w:w="123" w:type="dxa"/>
            <w:tcBorders/>
            <w:vAlign w:val="center"/>
          </w:tcPr>
          <w:p>
            <w:pPr>
              <w:pStyle w:val="TableContents"/>
              <w:bidi w:val="0"/>
              <w:spacing w:before="0" w:after="0"/>
              <w:ind w:left="0" w:right="0" w:hanging="0"/>
              <w:jc w:val="left"/>
              <w:rPr/>
            </w:pPr>
            <w:r>
              <w:rPr/>
              <w:t>​</w:t>
            </w:r>
          </w:p>
        </w:tc>
        <w:tc>
          <w:tcPr>
            <w:tcW w:w="23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94,355</w:t>
            </w:r>
          </w:p>
        </w:tc>
        <w:tc>
          <w:tcPr>
            <w:tcW w:w="123" w:type="dxa"/>
            <w:tcBorders/>
            <w:vAlign w:val="center"/>
          </w:tcPr>
          <w:p>
            <w:pPr>
              <w:pStyle w:val="TableContents"/>
              <w:bidi w:val="0"/>
              <w:spacing w:before="0" w:after="0"/>
              <w:ind w:left="0" w:right="0" w:hanging="0"/>
              <w:jc w:val="left"/>
              <w:rPr/>
            </w:pPr>
            <w:r>
              <w:rPr/>
              <w:t>​</w:t>
            </w:r>
          </w:p>
        </w:tc>
        <w:tc>
          <w:tcPr>
            <w:tcW w:w="30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67,000</w:t>
            </w:r>
          </w:p>
        </w:tc>
        <w:tc>
          <w:tcPr>
            <w:tcW w:w="306" w:type="dxa"/>
            <w:tcBorders/>
            <w:vAlign w:val="center"/>
          </w:tcPr>
          <w:p>
            <w:pPr>
              <w:pStyle w:val="TableContents"/>
              <w:bidi w:val="0"/>
              <w:spacing w:before="0" w:after="0"/>
              <w:ind w:left="0" w:right="0" w:hanging="0"/>
              <w:jc w:val="left"/>
              <w:rPr/>
            </w:pPr>
            <w:r>
              <w:rPr/>
              <w:t>​</w:t>
            </w:r>
          </w:p>
        </w:tc>
        <w:tc>
          <w:tcPr>
            <w:tcW w:w="123" w:type="dxa"/>
            <w:tcBorders/>
            <w:vAlign w:val="center"/>
          </w:tcPr>
          <w:p>
            <w:pPr>
              <w:pStyle w:val="TableContents"/>
              <w:bidi w:val="0"/>
              <w:spacing w:before="0" w:after="0"/>
              <w:ind w:left="0" w:right="0" w:hanging="0"/>
              <w:jc w:val="center"/>
              <w:rPr/>
            </w:pPr>
            <w:r>
              <w:rPr/>
              <w:t>​</w:t>
            </w:r>
          </w:p>
        </w:tc>
        <w:tc>
          <w:tcPr>
            <w:tcW w:w="39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86,600</w:t>
            </w:r>
          </w:p>
        </w:tc>
      </w:tr>
      <w:tr>
        <w:trPr/>
        <w:tc>
          <w:tcPr>
            <w:tcW w:w="4543" w:type="dxa"/>
            <w:tcBorders/>
            <w:vAlign w:val="center"/>
          </w:tcPr>
          <w:p>
            <w:pPr>
              <w:pStyle w:val="TableContents"/>
              <w:bidi w:val="0"/>
              <w:spacing w:before="0" w:after="0"/>
              <w:ind w:left="0" w:right="0" w:hanging="0"/>
              <w:jc w:val="center"/>
              <w:rPr/>
            </w:pPr>
            <w:r>
              <w:rPr/>
              <w:t>​</w:t>
            </w:r>
          </w:p>
        </w:tc>
        <w:tc>
          <w:tcPr>
            <w:tcW w:w="123" w:type="dxa"/>
            <w:tcBorders/>
            <w:vAlign w:val="center"/>
          </w:tcPr>
          <w:p>
            <w:pPr>
              <w:pStyle w:val="TableContents"/>
              <w:bidi w:val="0"/>
              <w:spacing w:before="0" w:after="0"/>
              <w:ind w:left="0" w:right="0" w:hanging="0"/>
              <w:jc w:val="left"/>
              <w:rPr/>
            </w:pPr>
            <w:r>
              <w:rPr/>
              <w:t>​</w:t>
            </w:r>
          </w:p>
        </w:tc>
        <w:tc>
          <w:tcPr>
            <w:tcW w:w="10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Maximum </w:t>
            </w:r>
          </w:p>
        </w:tc>
        <w:tc>
          <w:tcPr>
            <w:tcW w:w="123" w:type="dxa"/>
            <w:tcBorders/>
            <w:vAlign w:val="center"/>
          </w:tcPr>
          <w:p>
            <w:pPr>
              <w:pStyle w:val="TableContents"/>
              <w:bidi w:val="0"/>
              <w:spacing w:before="0" w:after="0"/>
              <w:ind w:left="0" w:right="0" w:hanging="0"/>
              <w:jc w:val="left"/>
              <w:rPr/>
            </w:pPr>
            <w:r>
              <w:rPr/>
              <w:t>​</w:t>
            </w:r>
          </w:p>
        </w:tc>
        <w:tc>
          <w:tcPr>
            <w:tcW w:w="12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06" w:type="dxa"/>
            <w:tcBorders/>
            <w:vAlign w:val="center"/>
          </w:tcPr>
          <w:p>
            <w:pPr>
              <w:pStyle w:val="TableContents"/>
              <w:bidi w:val="0"/>
              <w:spacing w:before="0" w:after="0"/>
              <w:ind w:left="0" w:right="0" w:hanging="0"/>
              <w:jc w:val="center"/>
              <w:rPr/>
            </w:pPr>
            <w:r>
              <w:rPr/>
              <w:t>​</w:t>
            </w:r>
          </w:p>
        </w:tc>
        <w:tc>
          <w:tcPr>
            <w:tcW w:w="123" w:type="dxa"/>
            <w:tcBorders/>
            <w:vAlign w:val="center"/>
          </w:tcPr>
          <w:p>
            <w:pPr>
              <w:pStyle w:val="TableContents"/>
              <w:bidi w:val="0"/>
              <w:spacing w:before="0" w:after="0"/>
              <w:ind w:left="0" w:right="0" w:hanging="0"/>
              <w:jc w:val="center"/>
              <w:rPr/>
            </w:pPr>
            <w:r>
              <w:rPr/>
              <w:t>​</w:t>
            </w:r>
          </w:p>
        </w:tc>
        <w:tc>
          <w:tcPr>
            <w:tcW w:w="17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Fair Value </w:t>
            </w:r>
          </w:p>
        </w:tc>
      </w:tr>
      <w:tr>
        <w:trPr/>
        <w:tc>
          <w:tcPr>
            <w:tcW w:w="454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 Earn-outs/ Period (unaudited)</w:t>
            </w:r>
          </w:p>
        </w:tc>
        <w:tc>
          <w:tcPr>
            <w:tcW w:w="123" w:type="dxa"/>
            <w:tcBorders/>
            <w:vAlign w:val="center"/>
          </w:tcPr>
          <w:p>
            <w:pPr>
              <w:pStyle w:val="TableContents"/>
              <w:bidi w:val="0"/>
              <w:spacing w:before="0" w:after="0"/>
              <w:ind w:left="0" w:right="0" w:hanging="0"/>
              <w:jc w:val="left"/>
              <w:rPr/>
            </w:pPr>
            <w:r>
              <w:rPr/>
              <w:t>​</w:t>
            </w:r>
          </w:p>
        </w:tc>
        <w:tc>
          <w:tcPr>
            <w:tcW w:w="1001"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 xml:space="preserve">Payout </w:t>
            </w:r>
            <w:r>
              <w:rPr>
                <w:rFonts w:ascii="Times New Roman;Times;serif" w:hAnsi="Times New Roman;Times;serif"/>
                <w:b/>
                <w:sz w:val="12"/>
              </w:rPr>
              <w:t>(1)</w:t>
            </w:r>
          </w:p>
        </w:tc>
        <w:tc>
          <w:tcPr>
            <w:tcW w:w="123" w:type="dxa"/>
            <w:tcBorders/>
            <w:vAlign w:val="center"/>
          </w:tcPr>
          <w:p>
            <w:pPr>
              <w:pStyle w:val="TableContents"/>
              <w:bidi w:val="0"/>
              <w:spacing w:before="0" w:after="0"/>
              <w:ind w:left="0" w:right="0" w:hanging="0"/>
              <w:jc w:val="left"/>
              <w:rPr/>
            </w:pPr>
            <w:r>
              <w:rPr/>
              <w:t>​</w:t>
            </w:r>
          </w:p>
        </w:tc>
        <w:tc>
          <w:tcPr>
            <w:tcW w:w="12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06" w:type="dxa"/>
            <w:tcBorders/>
            <w:vAlign w:val="center"/>
          </w:tcPr>
          <w:p>
            <w:pPr>
              <w:pStyle w:val="TableContents"/>
              <w:bidi w:val="0"/>
              <w:spacing w:before="0" w:after="0"/>
              <w:ind w:left="0" w:right="0" w:hanging="0"/>
              <w:jc w:val="center"/>
              <w:rPr/>
            </w:pPr>
            <w:r>
              <w:rPr/>
              <w:t>​</w:t>
            </w:r>
          </w:p>
        </w:tc>
        <w:tc>
          <w:tcPr>
            <w:tcW w:w="123" w:type="dxa"/>
            <w:tcBorders/>
            <w:vAlign w:val="center"/>
          </w:tcPr>
          <w:p>
            <w:pPr>
              <w:pStyle w:val="TableContents"/>
              <w:bidi w:val="0"/>
              <w:spacing w:before="0" w:after="0"/>
              <w:ind w:left="0" w:right="0" w:hanging="0"/>
              <w:jc w:val="center"/>
              <w:rPr/>
            </w:pPr>
            <w:r>
              <w:rPr/>
              <w:t>​</w:t>
            </w:r>
          </w:p>
        </w:tc>
        <w:tc>
          <w:tcPr>
            <w:tcW w:w="17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45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 1 - December 1, 2024 - November 30, 2025</w:t>
            </w:r>
          </w:p>
        </w:tc>
        <w:tc>
          <w:tcPr>
            <w:tcW w:w="123"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12,000</w:t>
            </w:r>
          </w:p>
        </w:tc>
        <w:tc>
          <w:tcPr>
            <w:tcW w:w="123"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970" w:type="dxa"/>
            <w:tcBorders/>
            <w:shd w:fill="CCEEFF" w:val="clear"/>
            <w:vAlign w:val="center"/>
          </w:tcPr>
          <w:p>
            <w:pPr>
              <w:pStyle w:val="TableContents"/>
              <w:bidi w:val="0"/>
              <w:spacing w:before="0" w:after="0"/>
              <w:ind w:left="0" w:right="0" w:hanging="0"/>
              <w:jc w:val="right"/>
              <w:rPr/>
            </w:pPr>
            <w:r>
              <w:rPr/>
              <w:t>—</w:t>
            </w:r>
          </w:p>
        </w:tc>
        <w:tc>
          <w:tcPr>
            <w:tcW w:w="30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b/>
                <w:sz w:val="14"/>
              </w:rPr>
            </w:pPr>
            <w:r>
              <w:rPr>
                <w:rFonts w:ascii="Times New Roman;Times;serif" w:hAnsi="Times New Roman;Times;serif"/>
                <w:b/>
                <w:sz w:val="14"/>
              </w:rPr>
              <w:t>(2)</w:t>
            </w:r>
          </w:p>
        </w:tc>
        <w:tc>
          <w:tcPr>
            <w:tcW w:w="123" w:type="dxa"/>
            <w:tcBorders/>
            <w:shd w:fill="CCEEFF" w:val="clear"/>
            <w:vAlign w:val="center"/>
          </w:tcPr>
          <w:p>
            <w:pPr>
              <w:pStyle w:val="TableContents"/>
              <w:bidi w:val="0"/>
              <w:spacing w:before="0" w:after="0"/>
              <w:ind w:left="0" w:right="0" w:hanging="0"/>
              <w:jc w:val="center"/>
              <w:rPr/>
            </w:pPr>
            <w:r>
              <w:rPr/>
              <w:t>​</w:t>
            </w:r>
          </w:p>
        </w:tc>
        <w:tc>
          <w:tcPr>
            <w:tcW w:w="3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6,500</w:t>
            </w:r>
          </w:p>
        </w:tc>
      </w:tr>
      <w:tr>
        <w:trPr/>
        <w:tc>
          <w:tcPr>
            <w:tcW w:w="45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 2 - December 1, 2025 - November 30, 2026</w:t>
            </w:r>
          </w:p>
        </w:tc>
        <w:tc>
          <w:tcPr>
            <w:tcW w:w="123"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center"/>
              <w:rPr/>
            </w:pPr>
            <w:r>
              <w:rPr/>
              <w:t>​</w:t>
            </w:r>
          </w:p>
        </w:tc>
        <w:tc>
          <w:tcPr>
            <w:tcW w:w="7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12,000</w:t>
            </w:r>
          </w:p>
        </w:tc>
        <w:tc>
          <w:tcPr>
            <w:tcW w:w="123"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center"/>
              <w:rPr/>
            </w:pPr>
            <w:r>
              <w:rPr/>
              <w:t>​</w:t>
            </w:r>
          </w:p>
        </w:tc>
        <w:tc>
          <w:tcPr>
            <w:tcW w:w="9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3,700</w:t>
            </w:r>
          </w:p>
        </w:tc>
        <w:tc>
          <w:tcPr>
            <w:tcW w:w="306" w:type="dxa"/>
            <w:tcBorders/>
            <w:vAlign w:val="center"/>
          </w:tcPr>
          <w:p>
            <w:pPr>
              <w:pStyle w:val="TableContents"/>
              <w:bidi w:val="0"/>
              <w:spacing w:before="0" w:after="0"/>
              <w:ind w:left="0" w:right="0" w:hanging="0"/>
              <w:jc w:val="left"/>
              <w:rPr/>
            </w:pPr>
            <w:r>
              <w:rPr/>
              <w:t>​</w:t>
            </w:r>
          </w:p>
        </w:tc>
        <w:tc>
          <w:tcPr>
            <w:tcW w:w="123" w:type="dxa"/>
            <w:tcBorders/>
            <w:vAlign w:val="center"/>
          </w:tcPr>
          <w:p>
            <w:pPr>
              <w:pStyle w:val="TableContents"/>
              <w:bidi w:val="0"/>
              <w:spacing w:before="0" w:after="0"/>
              <w:ind w:left="0" w:right="0" w:hanging="0"/>
              <w:jc w:val="center"/>
              <w:rPr/>
            </w:pPr>
            <w:r>
              <w:rPr/>
              <w:t>​</w:t>
            </w:r>
          </w:p>
        </w:tc>
        <w:tc>
          <w:tcPr>
            <w:tcW w:w="395"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6,500</w:t>
            </w:r>
          </w:p>
        </w:tc>
      </w:tr>
      <w:tr>
        <w:trPr/>
        <w:tc>
          <w:tcPr>
            <w:tcW w:w="45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 3 - December 1, 2026 - November 30, 2027</w:t>
            </w:r>
          </w:p>
        </w:tc>
        <w:tc>
          <w:tcPr>
            <w:tcW w:w="123" w:type="dxa"/>
            <w:tcBorders/>
            <w:shd w:fill="CCEEFF" w:val="clear"/>
            <w:vAlign w:val="center"/>
          </w:tcPr>
          <w:p>
            <w:pPr>
              <w:pStyle w:val="TableContents"/>
              <w:bidi w:val="0"/>
              <w:spacing w:before="0" w:after="0"/>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7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11,000</w:t>
            </w:r>
          </w:p>
        </w:tc>
        <w:tc>
          <w:tcPr>
            <w:tcW w:w="123"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9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3,300</w:t>
            </w:r>
          </w:p>
        </w:tc>
        <w:tc>
          <w:tcPr>
            <w:tcW w:w="306" w:type="dxa"/>
            <w:tcBorders/>
            <w:shd w:fill="CCEEFF" w:val="clear"/>
            <w:vAlign w:val="center"/>
          </w:tcPr>
          <w:p>
            <w:pPr>
              <w:pStyle w:val="TableContents"/>
              <w:bidi w:val="0"/>
              <w:spacing w:before="0" w:after="0"/>
              <w:ind w:left="0" w:right="0" w:hanging="0"/>
              <w:jc w:val="left"/>
              <w:rPr/>
            </w:pPr>
            <w:r>
              <w:rPr/>
              <w:t>​</w:t>
            </w:r>
          </w:p>
        </w:tc>
        <w:tc>
          <w:tcPr>
            <w:tcW w:w="123" w:type="dxa"/>
            <w:tcBorders/>
            <w:shd w:fill="CCEEFF" w:val="clear"/>
            <w:vAlign w:val="center"/>
          </w:tcPr>
          <w:p>
            <w:pPr>
              <w:pStyle w:val="TableContents"/>
              <w:bidi w:val="0"/>
              <w:spacing w:before="0" w:after="0"/>
              <w:ind w:left="0" w:right="0" w:hanging="0"/>
              <w:jc w:val="center"/>
              <w:rPr/>
            </w:pPr>
            <w:r>
              <w:rPr/>
              <w:t>​</w:t>
            </w:r>
          </w:p>
        </w:tc>
        <w:tc>
          <w:tcPr>
            <w:tcW w:w="3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5,900</w:t>
            </w:r>
          </w:p>
        </w:tc>
      </w:tr>
      <w:tr>
        <w:trPr/>
        <w:tc>
          <w:tcPr>
            <w:tcW w:w="454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Stock Earn-outs</w:t>
            </w:r>
          </w:p>
        </w:tc>
        <w:tc>
          <w:tcPr>
            <w:tcW w:w="123" w:type="dxa"/>
            <w:tcBorders/>
            <w:vAlign w:val="center"/>
          </w:tcPr>
          <w:p>
            <w:pPr>
              <w:pStyle w:val="TableContents"/>
              <w:bidi w:val="0"/>
              <w:spacing w:before="0" w:after="0"/>
              <w:ind w:left="0" w:right="0" w:hanging="0"/>
              <w:jc w:val="left"/>
              <w:rPr/>
            </w:pPr>
            <w:r>
              <w:rPr/>
              <w:t>​</w:t>
            </w:r>
          </w:p>
        </w:tc>
        <w:tc>
          <w:tcPr>
            <w:tcW w:w="23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35,000</w:t>
            </w:r>
          </w:p>
        </w:tc>
        <w:tc>
          <w:tcPr>
            <w:tcW w:w="123" w:type="dxa"/>
            <w:tcBorders/>
            <w:vAlign w:val="center"/>
          </w:tcPr>
          <w:p>
            <w:pPr>
              <w:pStyle w:val="TableContents"/>
              <w:bidi w:val="0"/>
              <w:spacing w:before="0" w:after="0"/>
              <w:ind w:left="0" w:right="0" w:hanging="0"/>
              <w:jc w:val="left"/>
              <w:rPr/>
            </w:pPr>
            <w:r>
              <w:rPr/>
              <w:t>​</w:t>
            </w:r>
          </w:p>
        </w:tc>
        <w:tc>
          <w:tcPr>
            <w:tcW w:w="30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7,000</w:t>
            </w:r>
          </w:p>
        </w:tc>
        <w:tc>
          <w:tcPr>
            <w:tcW w:w="306" w:type="dxa"/>
            <w:tcBorders/>
            <w:vAlign w:val="center"/>
          </w:tcPr>
          <w:p>
            <w:pPr>
              <w:pStyle w:val="TableContents"/>
              <w:bidi w:val="0"/>
              <w:spacing w:before="0" w:after="0"/>
              <w:ind w:left="0" w:right="0" w:hanging="0"/>
              <w:jc w:val="left"/>
              <w:rPr/>
            </w:pPr>
            <w:r>
              <w:rPr/>
              <w:t>​</w:t>
            </w:r>
          </w:p>
        </w:tc>
        <w:tc>
          <w:tcPr>
            <w:tcW w:w="123" w:type="dxa"/>
            <w:tcBorders/>
            <w:vAlign w:val="center"/>
          </w:tcPr>
          <w:p>
            <w:pPr>
              <w:pStyle w:val="TableContents"/>
              <w:bidi w:val="0"/>
              <w:spacing w:before="0" w:after="0"/>
              <w:ind w:left="0" w:right="0" w:hanging="0"/>
              <w:jc w:val="center"/>
              <w:rPr/>
            </w:pPr>
            <w:r>
              <w:rPr/>
              <w:t>​</w:t>
            </w:r>
          </w:p>
        </w:tc>
        <w:tc>
          <w:tcPr>
            <w:tcW w:w="39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18,900</w:t>
            </w:r>
          </w:p>
        </w:tc>
      </w:tr>
      <w:tr>
        <w:trPr/>
        <w:tc>
          <w:tcPr>
            <w:tcW w:w="9236" w:type="dxa"/>
            <w:gridSpan w:val="11"/>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4"/>
              </w:rPr>
              <w:t>(1)</w:t>
            </w:r>
            <w:r>
              <w:rPr>
                <w:rFonts w:ascii="Times New Roman;Times;serif" w:hAnsi="Times New Roman;Times;serif"/>
                <w:sz w:val="18"/>
              </w:rPr>
              <w:t xml:space="preserve"> Maximum payout based on Vertex's August 6, 2024 opening share price of $37.02, as referenced in the purchase agreement. </w:t>
            </w:r>
          </w:p>
        </w:tc>
      </w:tr>
      <w:tr>
        <w:trPr/>
        <w:tc>
          <w:tcPr>
            <w:tcW w:w="9236" w:type="dxa"/>
            <w:gridSpan w:val="11"/>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4"/>
              </w:rPr>
              <w:t>(2)</w:t>
            </w:r>
            <w:r>
              <w:rPr>
                <w:rFonts w:ascii="Times New Roman;Times;serif" w:hAnsi="Times New Roman;Times;serif"/>
                <w:sz w:val="18"/>
              </w:rPr>
              <w:t xml:space="preserve"> Not applicable as payment has been settled. </w:t>
            </w:r>
          </w:p>
        </w:tc>
      </w:tr>
      <w:tr>
        <w:trPr/>
        <w:tc>
          <w:tcPr>
            <w:tcW w:w="4543" w:type="dxa"/>
            <w:tcBorders/>
            <w:vAlign w:val="center"/>
          </w:tcPr>
          <w:p>
            <w:pPr>
              <w:pStyle w:val="TableContents"/>
              <w:bidi w:val="0"/>
              <w:spacing w:before="0" w:after="0"/>
              <w:ind w:left="0" w:right="0" w:hanging="0"/>
              <w:jc w:val="left"/>
              <w:rPr/>
            </w:pPr>
            <w:r>
              <w:rPr/>
              <w:t>​</w:t>
            </w:r>
          </w:p>
        </w:tc>
        <w:tc>
          <w:tcPr>
            <w:tcW w:w="123"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center"/>
              <w:rPr/>
            </w:pPr>
            <w:r>
              <w:rPr/>
              <w:t>​</w:t>
            </w:r>
          </w:p>
        </w:tc>
        <w:tc>
          <w:tcPr>
            <w:tcW w:w="763" w:type="dxa"/>
            <w:tcBorders/>
            <w:vAlign w:val="center"/>
          </w:tcPr>
          <w:p>
            <w:pPr>
              <w:pStyle w:val="TableContents"/>
              <w:bidi w:val="0"/>
              <w:spacing w:before="0" w:after="0"/>
              <w:ind w:left="0" w:right="0" w:hanging="0"/>
              <w:jc w:val="left"/>
              <w:rPr/>
            </w:pPr>
            <w:r>
              <w:rPr/>
              <w:t>​</w:t>
            </w:r>
          </w:p>
        </w:tc>
        <w:tc>
          <w:tcPr>
            <w:tcW w:w="123"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center"/>
              <w:rPr/>
            </w:pPr>
            <w:r>
              <w:rPr/>
              <w:t>​</w:t>
            </w:r>
          </w:p>
        </w:tc>
        <w:tc>
          <w:tcPr>
            <w:tcW w:w="970" w:type="dxa"/>
            <w:tcBorders/>
            <w:vAlign w:val="center"/>
          </w:tcPr>
          <w:p>
            <w:pPr>
              <w:pStyle w:val="TableContents"/>
              <w:bidi w:val="0"/>
              <w:spacing w:before="0" w:after="0"/>
              <w:ind w:left="0" w:right="0" w:hanging="0"/>
              <w:jc w:val="center"/>
              <w:rPr/>
            </w:pPr>
            <w:r>
              <w:rPr/>
              <w:t>​</w:t>
            </w:r>
          </w:p>
        </w:tc>
        <w:tc>
          <w:tcPr>
            <w:tcW w:w="306" w:type="dxa"/>
            <w:tcBorders/>
            <w:vAlign w:val="center"/>
          </w:tcPr>
          <w:p>
            <w:pPr>
              <w:pStyle w:val="TableContents"/>
              <w:bidi w:val="0"/>
              <w:spacing w:before="0" w:after="0"/>
              <w:ind w:left="0" w:right="0" w:hanging="0"/>
              <w:jc w:val="center"/>
              <w:rPr/>
            </w:pPr>
            <w:r>
              <w:rPr/>
              <w:t>​</w:t>
            </w:r>
          </w:p>
        </w:tc>
        <w:tc>
          <w:tcPr>
            <w:tcW w:w="123" w:type="dxa"/>
            <w:tcBorders/>
            <w:vAlign w:val="center"/>
          </w:tcPr>
          <w:p>
            <w:pPr>
              <w:pStyle w:val="TableContents"/>
              <w:bidi w:val="0"/>
              <w:spacing w:before="0" w:after="0"/>
              <w:ind w:left="0" w:right="0" w:hanging="0"/>
              <w:jc w:val="center"/>
              <w:rPr/>
            </w:pPr>
            <w:r>
              <w:rPr/>
              <w:t>​</w:t>
            </w:r>
          </w:p>
        </w:tc>
        <w:tc>
          <w:tcPr>
            <w:tcW w:w="395"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Actual payouts are further adjusted depending on ecosio’s software revenue attainment for each of the measurement periods. In the event that actual software revenues exceed 100% of the target, additional payments may be made up to a maximum of 122.5% of the annual target. If actual software revenues are below 85% of the target, no payouts are made for that measurement period. The Stock Earn-outs are paid in shares of the Company’s Class A common stock.</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Cash Earn-outs and Stock Earn-outs are recorded at fair value in the condensed consolidated balance sheets as follows: </w:t>
      </w:r>
    </w:p>
    <w:p>
      <w:pPr>
        <w:pStyle w:val="TextBody"/>
        <w:bidi w:val="0"/>
        <w:spacing w:before="0" w:after="0"/>
        <w:ind w:left="0" w:right="0" w:hanging="0"/>
        <w:jc w:val="left"/>
        <w:rPr/>
      </w:pPr>
      <w:r>
        <w:rPr/>
        <w:t>​</w:t>
      </w:r>
    </w:p>
    <w:tbl>
      <w:tblPr>
        <w:tblW w:w="7136" w:type="dxa"/>
        <w:jc w:val="left"/>
        <w:tblInd w:w="0" w:type="dxa"/>
        <w:tblLayout w:type="fixed"/>
        <w:tblCellMar>
          <w:top w:w="0" w:type="dxa"/>
          <w:left w:w="0" w:type="dxa"/>
          <w:bottom w:w="0" w:type="dxa"/>
          <w:right w:w="0" w:type="dxa"/>
        </w:tblCellMar>
      </w:tblPr>
      <w:tblGrid>
        <w:gridCol w:w="1662"/>
        <w:gridCol w:w="247"/>
        <w:gridCol w:w="796"/>
        <w:gridCol w:w="127"/>
        <w:gridCol w:w="348"/>
        <w:gridCol w:w="1117"/>
        <w:gridCol w:w="127"/>
        <w:gridCol w:w="252"/>
        <w:gridCol w:w="811"/>
        <w:gridCol w:w="130"/>
        <w:gridCol w:w="343"/>
        <w:gridCol w:w="1176"/>
      </w:tblGrid>
      <w:tr>
        <w:trPr/>
        <w:tc>
          <w:tcPr>
            <w:tcW w:w="16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055370" cy="175260"/>
                      <wp:effectExtent l="0" t="0" r="0" b="0"/>
                      <wp:wrapNone/>
                      <wp:docPr id="156" name="Frame156"/>
                      <a:graphic xmlns:a="http://schemas.openxmlformats.org/drawingml/2006/main">
                        <a:graphicData uri="http://schemas.microsoft.com/office/word/2010/wordprocessingShape">
                          <wps:wsp>
                            <wps:cNvSpPr txBox="1"/>
                            <wps:spPr>
                              <a:xfrm>
                                <a:off x="0" y="0"/>
                                <a:ext cx="1055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56845" cy="175260"/>
                      <wp:effectExtent l="0" t="0" r="0" b="0"/>
                      <wp:wrapNone/>
                      <wp:docPr id="157" name="Frame157"/>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505460" cy="175260"/>
                      <wp:effectExtent l="0" t="0" r="0" b="0"/>
                      <wp:wrapNone/>
                      <wp:docPr id="158" name="Frame15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80645" cy="175260"/>
                      <wp:effectExtent l="0" t="0" r="0" b="0"/>
                      <wp:wrapNone/>
                      <wp:docPr id="159" name="Frame159"/>
                      <a:graphic xmlns:a="http://schemas.openxmlformats.org/drawingml/2006/main">
                        <a:graphicData uri="http://schemas.microsoft.com/office/word/2010/wordprocessingShape">
                          <wps:wsp>
                            <wps:cNvSpPr txBox="1"/>
                            <wps:spPr>
                              <a:xfrm>
                                <a:off x="0" y="0"/>
                                <a:ext cx="80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20980" cy="175260"/>
                      <wp:effectExtent l="0" t="0" r="0" b="0"/>
                      <wp:wrapNone/>
                      <wp:docPr id="160" name="Frame160"/>
                      <a:graphic xmlns:a="http://schemas.openxmlformats.org/drawingml/2006/main">
                        <a:graphicData uri="http://schemas.microsoft.com/office/word/2010/wordprocessingShape">
                          <wps:wsp>
                            <wps:cNvSpPr txBox="1"/>
                            <wps:spPr>
                              <a:xfrm>
                                <a:off x="0" y="0"/>
                                <a:ext cx="220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709295" cy="175260"/>
                      <wp:effectExtent l="0" t="0" r="0" b="0"/>
                      <wp:wrapNone/>
                      <wp:docPr id="161" name="Frame161"/>
                      <a:graphic xmlns:a="http://schemas.openxmlformats.org/drawingml/2006/main">
                        <a:graphicData uri="http://schemas.microsoft.com/office/word/2010/wordprocessingShape">
                          <wps:wsp>
                            <wps:cNvSpPr txBox="1"/>
                            <wps:spPr>
                              <a:xfrm>
                                <a:off x="0" y="0"/>
                                <a:ext cx="709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80645" cy="175260"/>
                      <wp:effectExtent l="0" t="0" r="0" b="0"/>
                      <wp:wrapNone/>
                      <wp:docPr id="162" name="Frame162"/>
                      <a:graphic xmlns:a="http://schemas.openxmlformats.org/drawingml/2006/main">
                        <a:graphicData uri="http://schemas.microsoft.com/office/word/2010/wordprocessingShape">
                          <wps:wsp>
                            <wps:cNvSpPr txBox="1"/>
                            <wps:spPr>
                              <a:xfrm>
                                <a:off x="0" y="0"/>
                                <a:ext cx="80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60020" cy="175260"/>
                      <wp:effectExtent l="0" t="0" r="0" b="0"/>
                      <wp:wrapNone/>
                      <wp:docPr id="163" name="Frame163"/>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514985" cy="175260"/>
                      <wp:effectExtent l="0" t="0" r="0" b="0"/>
                      <wp:wrapNone/>
                      <wp:docPr id="164" name="Frame164"/>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82550" cy="175260"/>
                      <wp:effectExtent l="0" t="0" r="0" b="0"/>
                      <wp:wrapNone/>
                      <wp:docPr id="165" name="Frame165"/>
                      <a:graphic xmlns:a="http://schemas.openxmlformats.org/drawingml/2006/main">
                        <a:graphicData uri="http://schemas.microsoft.com/office/word/2010/wordprocessingShape">
                          <wps:wsp>
                            <wps:cNvSpPr txBox="1"/>
                            <wps:spPr>
                              <a:xfrm>
                                <a:off x="0" y="0"/>
                                <a:ext cx="82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17805" cy="175260"/>
                      <wp:effectExtent l="0" t="0" r="0" b="0"/>
                      <wp:wrapNone/>
                      <wp:docPr id="166" name="Frame166"/>
                      <a:graphic xmlns:a="http://schemas.openxmlformats.org/drawingml/2006/main">
                        <a:graphicData uri="http://schemas.microsoft.com/office/word/2010/wordprocessingShape">
                          <wps:wsp>
                            <wps:cNvSpPr txBox="1"/>
                            <wps:spPr>
                              <a:xfrm>
                                <a:off x="0" y="0"/>
                                <a:ext cx="217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746760" cy="175260"/>
                      <wp:effectExtent l="0" t="0" r="0" b="0"/>
                      <wp:wrapNone/>
                      <wp:docPr id="167" name="Frame167"/>
                      <a:graphic xmlns:a="http://schemas.openxmlformats.org/drawingml/2006/main">
                        <a:graphicData uri="http://schemas.microsoft.com/office/word/2010/wordprocessingShape">
                          <wps:wsp>
                            <wps:cNvSpPr txBox="1"/>
                            <wps:spPr>
                              <a:xfrm>
                                <a:off x="0" y="0"/>
                                <a:ext cx="746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62" w:type="dxa"/>
            <w:tcBorders/>
            <w:vAlign w:val="center"/>
          </w:tcPr>
          <w:p>
            <w:pPr>
              <w:pStyle w:val="TableContents"/>
              <w:bidi w:val="0"/>
              <w:spacing w:before="0" w:after="0"/>
              <w:ind w:left="0" w:right="0" w:hanging="0"/>
              <w:jc w:val="left"/>
              <w:rPr/>
            </w:pPr>
            <w:r>
              <w:rPr/>
              <w:t>​</w:t>
            </w:r>
          </w:p>
        </w:tc>
        <w:tc>
          <w:tcPr>
            <w:tcW w:w="26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2026</w:t>
            </w:r>
          </w:p>
        </w:tc>
        <w:tc>
          <w:tcPr>
            <w:tcW w:w="127" w:type="dxa"/>
            <w:tcBorders/>
            <w:vAlign w:val="center"/>
          </w:tcPr>
          <w:p>
            <w:pPr>
              <w:pStyle w:val="TableContents"/>
              <w:bidi w:val="0"/>
              <w:spacing w:before="0" w:after="0"/>
              <w:ind w:left="0" w:right="0" w:hanging="0"/>
              <w:jc w:val="center"/>
              <w:rPr/>
            </w:pPr>
            <w:r>
              <w:rPr/>
              <w:t>​</w:t>
            </w:r>
          </w:p>
        </w:tc>
        <w:tc>
          <w:tcPr>
            <w:tcW w:w="271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2025</w:t>
            </w:r>
          </w:p>
        </w:tc>
      </w:tr>
      <w:tr>
        <w:trPr/>
        <w:tc>
          <w:tcPr>
            <w:tcW w:w="1662" w:type="dxa"/>
            <w:tcBorders/>
            <w:vAlign w:val="center"/>
          </w:tcPr>
          <w:p>
            <w:pPr>
              <w:pStyle w:val="TableContents"/>
              <w:bidi w:val="0"/>
              <w:spacing w:before="0" w:after="0"/>
              <w:ind w:left="0" w:right="0" w:hanging="0"/>
              <w:jc w:val="left"/>
              <w:rPr/>
            </w:pPr>
            <w:r>
              <w:rPr/>
              <w:t>​</w:t>
            </w:r>
          </w:p>
        </w:tc>
        <w:tc>
          <w:tcPr>
            <w:tcW w:w="263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27"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center"/>
              <w:rPr/>
            </w:pPr>
            <w:r>
              <w:rPr/>
              <w:t>​</w:t>
            </w:r>
          </w:p>
        </w:tc>
        <w:tc>
          <w:tcPr>
            <w:tcW w:w="130" w:type="dxa"/>
            <w:tcBorders/>
            <w:vAlign w:val="center"/>
          </w:tcPr>
          <w:p>
            <w:pPr>
              <w:pStyle w:val="TableContents"/>
              <w:bidi w:val="0"/>
              <w:spacing w:before="0" w:after="0"/>
              <w:ind w:left="0" w:right="0" w:hanging="0"/>
              <w:jc w:val="center"/>
              <w:rPr/>
            </w:pPr>
            <w:r>
              <w:rPr/>
              <w:t>​</w:t>
            </w:r>
          </w:p>
        </w:tc>
        <w:tc>
          <w:tcPr>
            <w:tcW w:w="343" w:type="dxa"/>
            <w:tcBorders/>
            <w:vAlign w:val="center"/>
          </w:tcPr>
          <w:p>
            <w:pPr>
              <w:pStyle w:val="TableContents"/>
              <w:bidi w:val="0"/>
              <w:spacing w:before="0" w:after="0"/>
              <w:ind w:left="0" w:right="0" w:hanging="0"/>
              <w:jc w:val="center"/>
              <w:rPr/>
            </w:pPr>
            <w:r>
              <w:rPr/>
              <w:t>​</w:t>
            </w:r>
          </w:p>
        </w:tc>
        <w:tc>
          <w:tcPr>
            <w:tcW w:w="1176" w:type="dxa"/>
            <w:tcBorders/>
            <w:vAlign w:val="center"/>
          </w:tcPr>
          <w:p>
            <w:pPr>
              <w:pStyle w:val="TableContents"/>
              <w:bidi w:val="0"/>
              <w:spacing w:before="0" w:after="0"/>
              <w:ind w:left="0" w:right="0" w:hanging="0"/>
              <w:jc w:val="center"/>
              <w:rPr/>
            </w:pPr>
            <w:r>
              <w:rPr/>
              <w:t>​</w:t>
            </w:r>
          </w:p>
        </w:tc>
      </w:tr>
      <w:tr>
        <w:trPr/>
        <w:tc>
          <w:tcPr>
            <w:tcW w:w="1662" w:type="dxa"/>
            <w:tcBorders/>
            <w:vAlign w:val="center"/>
          </w:tcPr>
          <w:p>
            <w:pPr>
              <w:pStyle w:val="TableContents"/>
              <w:bidi w:val="0"/>
              <w:spacing w:before="0" w:after="0"/>
              <w:ind w:left="0" w:right="0" w:hanging="0"/>
              <w:jc w:val="left"/>
              <w:rPr/>
            </w:pPr>
            <w:r>
              <w:rPr/>
              <w:t>​</w:t>
            </w:r>
          </w:p>
        </w:tc>
        <w:tc>
          <w:tcPr>
            <w:tcW w:w="1043"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 xml:space="preserve">Current </w:t>
            </w:r>
            <w:r>
              <w:rPr>
                <w:rFonts w:ascii="Times New Roman;Times;serif" w:hAnsi="Times New Roman;Times;serif"/>
                <w:b/>
                <w:sz w:val="12"/>
              </w:rPr>
              <w:t>(1)</w:t>
            </w:r>
          </w:p>
        </w:tc>
        <w:tc>
          <w:tcPr>
            <w:tcW w:w="127" w:type="dxa"/>
            <w:tcBorders/>
            <w:vAlign w:val="center"/>
          </w:tcPr>
          <w:p>
            <w:pPr>
              <w:pStyle w:val="TableContents"/>
              <w:bidi w:val="0"/>
              <w:spacing w:before="0" w:after="0"/>
              <w:ind w:left="0" w:right="0" w:hanging="0"/>
              <w:jc w:val="center"/>
              <w:rPr/>
            </w:pPr>
            <w:r>
              <w:rPr/>
              <w:t>​</w:t>
            </w:r>
          </w:p>
        </w:tc>
        <w:tc>
          <w:tcPr>
            <w:tcW w:w="1465"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 xml:space="preserve">Non-Current </w:t>
            </w:r>
            <w:r>
              <w:rPr>
                <w:rFonts w:ascii="Times New Roman;Times;serif" w:hAnsi="Times New Roman;Times;serif"/>
                <w:b/>
                <w:sz w:val="12"/>
              </w:rPr>
              <w:t>(2)</w:t>
            </w:r>
          </w:p>
        </w:tc>
        <w:tc>
          <w:tcPr>
            <w:tcW w:w="127" w:type="dxa"/>
            <w:tcBorders/>
            <w:vAlign w:val="center"/>
          </w:tcPr>
          <w:p>
            <w:pPr>
              <w:pStyle w:val="TableContents"/>
              <w:bidi w:val="0"/>
              <w:spacing w:before="0" w:after="0"/>
              <w:ind w:left="0" w:right="0" w:hanging="0"/>
              <w:jc w:val="center"/>
              <w:rPr/>
            </w:pPr>
            <w:r>
              <w:rPr/>
              <w:t>​</w:t>
            </w:r>
          </w:p>
        </w:tc>
        <w:tc>
          <w:tcPr>
            <w:tcW w:w="1063"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 xml:space="preserve">Current </w:t>
            </w:r>
            <w:r>
              <w:rPr>
                <w:rFonts w:ascii="Times New Roman;Times;serif" w:hAnsi="Times New Roman;Times;serif"/>
                <w:b/>
                <w:sz w:val="12"/>
              </w:rPr>
              <w:t>(1)</w:t>
            </w:r>
          </w:p>
        </w:tc>
        <w:tc>
          <w:tcPr>
            <w:tcW w:w="130" w:type="dxa"/>
            <w:tcBorders/>
            <w:vAlign w:val="center"/>
          </w:tcPr>
          <w:p>
            <w:pPr>
              <w:pStyle w:val="TableContents"/>
              <w:bidi w:val="0"/>
              <w:spacing w:before="0" w:after="0"/>
              <w:ind w:left="0" w:right="0" w:hanging="0"/>
              <w:jc w:val="center"/>
              <w:rPr/>
            </w:pPr>
            <w:r>
              <w:rPr/>
              <w:t>​</w:t>
            </w:r>
          </w:p>
        </w:tc>
        <w:tc>
          <w:tcPr>
            <w:tcW w:w="1519"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Non-Current</w:t>
            </w:r>
            <w:r>
              <w:rPr>
                <w:rFonts w:ascii="Times New Roman;Times;serif" w:hAnsi="Times New Roman;Times;serif"/>
                <w:sz w:val="16"/>
              </w:rPr>
              <w:t xml:space="preserve"> </w:t>
            </w:r>
            <w:r>
              <w:rPr>
                <w:rFonts w:ascii="Times New Roman;Times;serif" w:hAnsi="Times New Roman;Times;serif"/>
                <w:b/>
                <w:sz w:val="12"/>
              </w:rPr>
              <w:t>(2)</w:t>
            </w:r>
          </w:p>
        </w:tc>
      </w:tr>
      <w:tr>
        <w:trPr/>
        <w:tc>
          <w:tcPr>
            <w:tcW w:w="16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Earn-outs</w:t>
            </w:r>
          </w:p>
        </w:tc>
        <w:tc>
          <w:tcPr>
            <w:tcW w:w="2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29,400</w:t>
            </w:r>
          </w:p>
        </w:tc>
        <w:tc>
          <w:tcPr>
            <w:tcW w:w="127" w:type="dxa"/>
            <w:tcBorders/>
            <w:shd w:fill="CCEEFF" w:val="clear"/>
            <w:vAlign w:val="center"/>
          </w:tcPr>
          <w:p>
            <w:pPr>
              <w:pStyle w:val="TableContents"/>
              <w:bidi w:val="0"/>
              <w:spacing w:before="0" w:after="0"/>
              <w:ind w:left="0" w:right="0" w:hanging="0"/>
              <w:jc w:val="left"/>
              <w:rPr/>
            </w:pPr>
            <w:r>
              <w:rPr/>
              <w:t>​</w:t>
            </w:r>
          </w:p>
        </w:tc>
        <w:tc>
          <w:tcPr>
            <w:tcW w:w="3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37,600</w:t>
            </w:r>
          </w:p>
        </w:tc>
        <w:tc>
          <w:tcPr>
            <w:tcW w:w="127"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19,400</w:t>
            </w:r>
          </w:p>
        </w:tc>
        <w:tc>
          <w:tcPr>
            <w:tcW w:w="130" w:type="dxa"/>
            <w:tcBorders/>
            <w:shd w:fill="CCEEFF" w:val="clear"/>
            <w:vAlign w:val="center"/>
          </w:tcPr>
          <w:p>
            <w:pPr>
              <w:pStyle w:val="TableContents"/>
              <w:bidi w:val="0"/>
              <w:spacing w:before="0" w:after="0"/>
              <w:ind w:left="0" w:right="0" w:hanging="0"/>
              <w:jc w:val="left"/>
              <w:rPr/>
            </w:pPr>
            <w:r>
              <w:rPr/>
              <w:t>​</w:t>
            </w:r>
          </w:p>
        </w:tc>
        <w:tc>
          <w:tcPr>
            <w:tcW w:w="3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67,200</w:t>
            </w:r>
          </w:p>
        </w:tc>
      </w:tr>
      <w:tr>
        <w:trPr/>
        <w:tc>
          <w:tcPr>
            <w:tcW w:w="16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Earn-outs</w:t>
            </w:r>
          </w:p>
        </w:tc>
        <w:tc>
          <w:tcPr>
            <w:tcW w:w="24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3,700</w:t>
            </w:r>
          </w:p>
        </w:tc>
        <w:tc>
          <w:tcPr>
            <w:tcW w:w="127" w:type="dxa"/>
            <w:tcBorders/>
            <w:vAlign w:val="center"/>
          </w:tcPr>
          <w:p>
            <w:pPr>
              <w:pStyle w:val="TableContents"/>
              <w:bidi w:val="0"/>
              <w:spacing w:before="0" w:after="0"/>
              <w:ind w:left="0" w:right="0" w:hanging="0"/>
              <w:jc w:val="left"/>
              <w:rPr/>
            </w:pPr>
            <w:r>
              <w:rPr/>
              <w:t>​</w:t>
            </w:r>
          </w:p>
        </w:tc>
        <w:tc>
          <w:tcPr>
            <w:tcW w:w="34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3,300</w:t>
            </w:r>
          </w:p>
        </w:tc>
        <w:tc>
          <w:tcPr>
            <w:tcW w:w="127"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6,500</w:t>
            </w:r>
          </w:p>
        </w:tc>
        <w:tc>
          <w:tcPr>
            <w:tcW w:w="130" w:type="dxa"/>
            <w:tcBorders/>
            <w:vAlign w:val="center"/>
          </w:tcPr>
          <w:p>
            <w:pPr>
              <w:pStyle w:val="TableContents"/>
              <w:bidi w:val="0"/>
              <w:spacing w:before="0" w:after="0"/>
              <w:ind w:left="0" w:right="0" w:hanging="0"/>
              <w:jc w:val="left"/>
              <w:rPr/>
            </w:pPr>
            <w:r>
              <w:rPr/>
              <w:t>​</w:t>
            </w:r>
          </w:p>
        </w:tc>
        <w:tc>
          <w:tcPr>
            <w:tcW w:w="34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12,400</w:t>
            </w:r>
          </w:p>
        </w:tc>
      </w:tr>
      <w:tr>
        <w:trPr/>
        <w:tc>
          <w:tcPr>
            <w:tcW w:w="16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w:t>
            </w:r>
          </w:p>
        </w:tc>
        <w:tc>
          <w:tcPr>
            <w:tcW w:w="24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33,100</w:t>
            </w:r>
          </w:p>
        </w:tc>
        <w:tc>
          <w:tcPr>
            <w:tcW w:w="127" w:type="dxa"/>
            <w:tcBorders/>
            <w:shd w:fill="CCEEFF" w:val="clear"/>
            <w:vAlign w:val="center"/>
          </w:tcPr>
          <w:p>
            <w:pPr>
              <w:pStyle w:val="TableContents"/>
              <w:bidi w:val="0"/>
              <w:spacing w:before="0" w:after="0"/>
              <w:ind w:left="0" w:right="0" w:hanging="0"/>
              <w:jc w:val="left"/>
              <w:rPr/>
            </w:pPr>
            <w:r>
              <w:rPr/>
              <w:t>​</w:t>
            </w:r>
          </w:p>
        </w:tc>
        <w:tc>
          <w:tcPr>
            <w:tcW w:w="3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40,900</w:t>
            </w:r>
          </w:p>
        </w:tc>
        <w:tc>
          <w:tcPr>
            <w:tcW w:w="127" w:type="dxa"/>
            <w:tcBorders/>
            <w:shd w:fill="CCEEFF" w:val="clear"/>
            <w:vAlign w:val="center"/>
          </w:tcPr>
          <w:p>
            <w:pPr>
              <w:pStyle w:val="TableContents"/>
              <w:bidi w:val="0"/>
              <w:spacing w:before="0" w:after="0"/>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25,900</w:t>
            </w:r>
          </w:p>
        </w:tc>
        <w:tc>
          <w:tcPr>
            <w:tcW w:w="130" w:type="dxa"/>
            <w:tcBorders/>
            <w:shd w:fill="CCEEFF" w:val="clear"/>
            <w:vAlign w:val="center"/>
          </w:tcPr>
          <w:p>
            <w:pPr>
              <w:pStyle w:val="TableContents"/>
              <w:bidi w:val="0"/>
              <w:spacing w:before="0" w:after="0"/>
              <w:ind w:left="0" w:right="0" w:hanging="0"/>
              <w:jc w:val="left"/>
              <w:rPr/>
            </w:pPr>
            <w:r>
              <w:rPr/>
              <w:t>​</w:t>
            </w:r>
          </w:p>
        </w:tc>
        <w:tc>
          <w:tcPr>
            <w:tcW w:w="34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79,600</w:t>
            </w:r>
          </w:p>
        </w:tc>
      </w:tr>
      <w:tr>
        <w:trPr/>
        <w:tc>
          <w:tcPr>
            <w:tcW w:w="7136" w:type="dxa"/>
            <w:gridSpan w:val="12"/>
            <w:tcBorders/>
            <w:vAlign w:val="center"/>
          </w:tcPr>
          <w:p>
            <w:pPr>
              <w:pStyle w:val="TableContents"/>
              <w:bidi w:val="0"/>
              <w:spacing w:before="0" w:after="0"/>
              <w:ind w:left="0" w:right="0" w:hanging="0"/>
              <w:jc w:val="left"/>
              <w:rPr/>
            </w:pPr>
            <w:r>
              <w:rPr/>
              <w:t>​</w:t>
            </w:r>
          </w:p>
        </w:tc>
      </w:tr>
      <w:tr>
        <w:trPr/>
        <w:tc>
          <w:tcPr>
            <w:tcW w:w="7136" w:type="dxa"/>
            <w:gridSpan w:val="12"/>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4"/>
              </w:rPr>
              <w:t xml:space="preserve">(1) </w:t>
            </w:r>
            <w:r>
              <w:rPr>
                <w:rFonts w:ascii="Times New Roman;Times;serif" w:hAnsi="Times New Roman;Times;serif"/>
                <w:sz w:val="18"/>
              </w:rPr>
              <w:t>Included in purchase commitment and contingent consideration liabilities, current.</w:t>
            </w:r>
          </w:p>
        </w:tc>
      </w:tr>
      <w:tr>
        <w:trPr/>
        <w:tc>
          <w:tcPr>
            <w:tcW w:w="7136" w:type="dxa"/>
            <w:gridSpan w:val="12"/>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4"/>
              </w:rPr>
              <w:t>(2)</w:t>
            </w:r>
            <w:r>
              <w:rPr>
                <w:rFonts w:ascii="Times New Roman;Times;serif" w:hAnsi="Times New Roman;Times;serif"/>
                <w:sz w:val="18"/>
              </w:rPr>
              <w:t xml:space="preserve"> Included in purchase commitment and contingent consideration liabilities, net of current portion.</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These Earn-outs represent recurring fair value measurements with significant unobservable inputs, which management considers to be Level 3 measurements under the fair value hierarchy. The final payments may be adjusted depending on the actual amount, above or below the target. The Earn-outs will be revalued and adjusted quarterly until the end of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766" w:type="dxa"/>
        <w:jc w:val="left"/>
        <w:tblInd w:w="0" w:type="dxa"/>
        <w:tblLayout w:type="fixed"/>
        <w:tblCellMar>
          <w:top w:w="0" w:type="dxa"/>
          <w:left w:w="0" w:type="dxa"/>
          <w:bottom w:w="0" w:type="dxa"/>
          <w:right w:w="0" w:type="dxa"/>
        </w:tblCellMar>
      </w:tblPr>
      <w:tblGrid>
        <w:gridCol w:w="6766"/>
      </w:tblGrid>
      <w:tr>
        <w:trPr/>
        <w:tc>
          <w:tcPr>
            <w:tcW w:w="6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bookmarkStart w:id="1594" w:name="Tc_Ouqq52i01EyAhH6qjgzlAg_9_7"/>
      <w:bookmarkStart w:id="1595" w:name="Tc_7SDuTIA_qUaFGyZU0Oo32A_9_4"/>
      <w:bookmarkStart w:id="1596" w:name="Tc_n1WeBW4xtEiOf6FnUJOpMQ_9_1"/>
      <w:bookmarkStart w:id="1597" w:name="Tc_VHx04pzUfEG_gPF10hUH7g_9_0"/>
      <w:bookmarkStart w:id="1598" w:name="Tc_FAkVkB4PQUWsLJhY8Pihvw_8_8"/>
      <w:bookmarkStart w:id="1599" w:name="Tc_JxR0LL5vdE2YshlCeevf3g_8_2"/>
      <w:bookmarkStart w:id="1600" w:name="Tc_DpU7m0YB6Eeg9zKp7lTF2Q_8_0"/>
      <w:bookmarkStart w:id="1601" w:name="Tc_5xC9B0WvVUajxWUCT_qKkA_7_8"/>
      <w:bookmarkStart w:id="1602" w:name="Tc_KT3DLE6yt0mPIxzztzl66Q_7_5"/>
      <w:bookmarkStart w:id="1603" w:name="Tc_gtxFAQ5q9U63rMhwTpmzZQ_7_0"/>
      <w:bookmarkStart w:id="1604" w:name="Tc_bJGVjD3D50aq2uibuzP-nQ_6_8"/>
      <w:bookmarkStart w:id="1605" w:name="Tc_-2_bkCwoJEusOxqW5xbh2w_6_2"/>
      <w:bookmarkStart w:id="1606" w:name="Tc_TwlmCR3Z8Ei2fWGb3dPKUg_5_7"/>
      <w:bookmarkStart w:id="1607" w:name="Tc_SkhqNjwn6Eevefa4lcLIEg_5_4"/>
      <w:bookmarkStart w:id="1608" w:name="Tc_8UMpwdu0-kGfY-qFZfZRlA_5_1"/>
      <w:bookmarkStart w:id="1609" w:name="Tc_Vgo-SJJ26EiqndNrbzl88w_5_0"/>
      <w:bookmarkStart w:id="1610" w:name="Tc_OqdyOtExWk2IUAgU2ZWAqw_4_8"/>
      <w:bookmarkStart w:id="1611" w:name="Tc_jpRLhYrDWUa_20HXIvLupA_4_1"/>
      <w:bookmarkStart w:id="1612" w:name="Tc_hccmXjRcLkm6ELS_8y6v0g_3_8"/>
      <w:bookmarkStart w:id="1613" w:name="Tc_7nmZcys0kUSM3L5pIo_S9g_3_4"/>
      <w:bookmarkStart w:id="1614" w:name="Tc_aARXM6QGVUO3r8QE4k0MsA_3_1"/>
      <w:bookmarkStart w:id="1615" w:name="Tc_t5fJ1X6eo0al8CNDYokeVA_2_8"/>
      <w:bookmarkStart w:id="1616" w:name="Tc_2dPRq0VJc06JMNgiVzB-8Q_2_1"/>
      <w:bookmarkStart w:id="1617" w:name="Tc_kZRVtiQI8kOAQnfjBQ0VSA_1_8"/>
      <w:bookmarkStart w:id="1618" w:name="Tc_P3R8P0Jru02WEYiXQMpt_g_1_1"/>
      <w:bookmarkStart w:id="1619" w:name="Tc_lGZvs6-DO0qgGjVtOzsyaw_19_9"/>
      <w:bookmarkStart w:id="1620" w:name="Tc_KG7y2Py2QkCHKQiqBL6Qrg_18_13"/>
      <w:bookmarkStart w:id="1621" w:name="Tc_SkZpn9sQYU-6HmTcS8f0gg_18_9"/>
      <w:bookmarkStart w:id="1622" w:name="Tc_hwAuFIWFyE6ULEuJcEd53A_17_13"/>
      <w:bookmarkStart w:id="1623" w:name="Tc_DlZpkq5tWkqgXyNNNUT1iA_17_9"/>
      <w:bookmarkStart w:id="1624" w:name="Tc_Sy1ZFIRfjUKvCx7jiC6kfg_17_6"/>
      <w:bookmarkStart w:id="1625" w:name="Tc_lDP5WXuZ40GLjFeL7FX1nw_17_2"/>
      <w:bookmarkStart w:id="1626" w:name="Tc_5UeS5ay6nk6MIcs4Ec8JwQ_17_0"/>
      <w:bookmarkStart w:id="1627" w:name="Tc__hlb_Jot3UeDPcuX2tcWUA_15_9"/>
      <w:bookmarkStart w:id="1628" w:name="Tc_z-F6ml0FRkWpd9a3DE1WDA_14_13"/>
      <w:bookmarkStart w:id="1629" w:name="Tc_kt8VXhykrkevHx6Bt2_KNg_14_9"/>
      <w:bookmarkStart w:id="1630" w:name="Tc_ddcC3HXP5Eq-plo5DlOvrw_13_13"/>
      <w:bookmarkStart w:id="1631" w:name="Tc_vcOYGg14M0iogdvyIfr0zg_13_9"/>
      <w:bookmarkStart w:id="1632" w:name="Tc_g68ee5KgoEuEB1jiR9TOtg_13_6"/>
      <w:bookmarkStart w:id="1633" w:name="Tc_umguQ-6cpE-Nll9tSV96nQ_13_2"/>
      <w:bookmarkStart w:id="1634" w:name="Tc_7XGJcWNpw0a6gDXnMFKrNg_13_0"/>
      <w:bookmarkStart w:id="1635" w:name="Tc_yDwVH3v7EEqfN8ltyRuWUw_12_9"/>
      <w:bookmarkStart w:id="1636" w:name="Tc_rsVB9XE9C0ePLrjQBvmKzg_12_6"/>
      <w:bookmarkStart w:id="1637" w:name="Tc_vzQ9s6pv6ECHmu4MwbKXiA_12_2"/>
      <w:bookmarkStart w:id="1638" w:name="Tc_hTJGGSqkSUet-yoZdxpBhQ_12_0"/>
      <w:bookmarkStart w:id="1639" w:name="Tc_l7YBi3TqcUWBdBbnSN6_0g_11_2"/>
      <w:bookmarkStart w:id="1640" w:name="Tc_1z26CM6IJ06N5_VjOhoCOQ_9_9"/>
      <w:bookmarkStart w:id="1641" w:name="Tc_ICOcD5DwBUWKBHvZIfIV3Q_8_13"/>
      <w:bookmarkStart w:id="1642" w:name="Tc_8HeorO9X7Ey4qpRD_Agz4w_8_9"/>
      <w:bookmarkStart w:id="1643" w:name="Tc_dTDanJruw0CpEDvQQdNZ_Q_7_13"/>
      <w:bookmarkStart w:id="1644" w:name="Tc_-UhMmR7D-Ei8d8B5NCPJZw_7_9"/>
      <w:bookmarkStart w:id="1645" w:name="Tc_O789EpEv7EOiGPitvy2tzg_7_6"/>
      <w:bookmarkStart w:id="1646" w:name="Tc_gbZjpsmHWEex4lOKA4KOuA_7_2"/>
      <w:bookmarkStart w:id="1647" w:name="Tc_n1VYoqdeqkOSei5cmGrviA_7_0"/>
      <w:bookmarkStart w:id="1648" w:name="Tc_l4PDSu92dUG5rncKQIt9Ug_5_9"/>
      <w:bookmarkStart w:id="1649" w:name="Tc_NoQ5JDQn1UGGrDtftE7IpQ_4_13"/>
      <w:bookmarkStart w:id="1650" w:name="Tc_1iP3kHqHWE-jieVW4flTHA_4_9"/>
      <w:bookmarkStart w:id="1651" w:name="Tc_f2LUNhE_Y0i9WpxEjPWtjw_3_13"/>
      <w:bookmarkStart w:id="1652" w:name="Tc_54NrS4AShUOEcZKhn31tvg_3_9"/>
      <w:bookmarkStart w:id="1653" w:name="Tc_jIrGFhavAkCVWydhGsBUdg_3_6"/>
      <w:bookmarkStart w:id="1654" w:name="Tc_xYHuO0WGDki8sqlwK7iItA_3_2"/>
      <w:bookmarkStart w:id="1655" w:name="Tc_X8MLbRRV1UyoVdklL6jWVQ_3_0"/>
      <w:bookmarkStart w:id="1656" w:name="Tc_TpBd5BkX-Uq2s5JwxU2srQ_2_9"/>
      <w:bookmarkStart w:id="1657" w:name="Tc_QP-dOAfWCUi_FwdL_CFPCQ_2_6"/>
      <w:bookmarkStart w:id="1658" w:name="Tc_98RcuaJI3EufVvVw65VlaQ_2_2"/>
      <w:bookmarkStart w:id="1659" w:name="Tc_85zBREb-xU6kDte1_XQQWQ_2_0"/>
      <w:bookmarkStart w:id="1660" w:name="Tc_nO1H945pzkeyIOAGXP1poA_1_2"/>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r>
        <w:rPr>
          <w:rFonts w:ascii="Times New Roman;Times;serif" w:hAnsi="Times New Roman;Times;serif"/>
          <w:sz w:val="20"/>
        </w:rPr>
        <w:t>Earn-out period, and any fair value adjustments will be recorded in the other operating expense (income), net line of the condensed consolidated statement of income (loss).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During the three months ended June 30, 2026, the Company recorded fair value adjustments of $300 and $(400) to the Cash Earn-outs and Stock Earn-outs, respectively. During the six months ended June 30, 2026, the Company recorded fair value adjustments of $(5,838) to the Stock Earn-outs. During the three months ended June 30, 2025, the Company recorded fair value adjustments of $1,800 and $500 to the Cash Earn-outs and Stock Earn-outs, respectively. During the six months ended June 30, 2025, the Company recorded fair value adjustments of $3,500 and $(15,900) to the Cash Earn-outs and Stock Earn-outs, respectively.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six months ended June 30, 2026, the Company paid Cash Earn-outs of $19,600 for the annual payout period ended November 30, 2025. During the six months ended June 30, 2026, the Company issued 324 shares of its Class A common stock, valued at a total of $6,062, for the Stock Earn-out period ended November 30, 2025.</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fair values of the Cash Earn-outs and the Stock Earn-outs and unobservable inputs used for the Monte Carlo Simulation valuation are shown in the table below.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842"/>
        <w:gridCol w:w="346"/>
        <w:gridCol w:w="211"/>
        <w:gridCol w:w="676"/>
        <w:gridCol w:w="346"/>
        <w:gridCol w:w="109"/>
        <w:gridCol w:w="1683"/>
        <w:gridCol w:w="109"/>
        <w:gridCol w:w="109"/>
        <w:gridCol w:w="1773"/>
        <w:gridCol w:w="109"/>
        <w:gridCol w:w="109"/>
        <w:gridCol w:w="466"/>
        <w:gridCol w:w="317"/>
      </w:tblGrid>
      <w:tr>
        <w:trPr/>
        <w:tc>
          <w:tcPr>
            <w:tcW w:w="38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439670" cy="175260"/>
                      <wp:effectExtent l="0" t="0" r="0" b="0"/>
                      <wp:wrapNone/>
                      <wp:docPr id="168" name="Frame168"/>
                      <a:graphic xmlns:a="http://schemas.openxmlformats.org/drawingml/2006/main">
                        <a:graphicData uri="http://schemas.microsoft.com/office/word/2010/wordprocessingShape">
                          <wps:wsp>
                            <wps:cNvSpPr txBox="1"/>
                            <wps:spPr>
                              <a:xfrm>
                                <a:off x="0" y="0"/>
                                <a:ext cx="2439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19710" cy="175260"/>
                      <wp:effectExtent l="0" t="0" r="0" b="0"/>
                      <wp:wrapNone/>
                      <wp:docPr id="169" name="Frame1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33985" cy="175260"/>
                      <wp:effectExtent l="0" t="0" r="0" b="0"/>
                      <wp:wrapNone/>
                      <wp:docPr id="170" name="Frame1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429260" cy="175260"/>
                      <wp:effectExtent l="0" t="0" r="0" b="0"/>
                      <wp:wrapNone/>
                      <wp:docPr id="171" name="Frame17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19710" cy="175260"/>
                      <wp:effectExtent l="0" t="0" r="0" b="0"/>
                      <wp:wrapNone/>
                      <wp:docPr id="172" name="Frame1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9215" cy="175260"/>
                      <wp:effectExtent l="0" t="0" r="0" b="0"/>
                      <wp:wrapNone/>
                      <wp:docPr id="173" name="Frame17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068705" cy="175260"/>
                      <wp:effectExtent l="0" t="0" r="0" b="0"/>
                      <wp:wrapNone/>
                      <wp:docPr id="174" name="Frame174"/>
                      <a:graphic xmlns:a="http://schemas.openxmlformats.org/drawingml/2006/main">
                        <a:graphicData uri="http://schemas.microsoft.com/office/word/2010/wordprocessingShape">
                          <wps:wsp>
                            <wps:cNvSpPr txBox="1"/>
                            <wps:spPr>
                              <a:xfrm>
                                <a:off x="0" y="0"/>
                                <a:ext cx="10687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9215" cy="175260"/>
                      <wp:effectExtent l="0" t="0" r="0" b="0"/>
                      <wp:wrapNone/>
                      <wp:docPr id="175" name="Frame1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9215" cy="175260"/>
                      <wp:effectExtent l="0" t="0" r="0" b="0"/>
                      <wp:wrapNone/>
                      <wp:docPr id="176" name="Frame17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125855" cy="175260"/>
                      <wp:effectExtent l="0" t="0" r="0" b="0"/>
                      <wp:wrapNone/>
                      <wp:docPr id="177" name="Frame177"/>
                      <a:graphic xmlns:a="http://schemas.openxmlformats.org/drawingml/2006/main">
                        <a:graphicData uri="http://schemas.microsoft.com/office/word/2010/wordprocessingShape">
                          <wps:wsp>
                            <wps:cNvSpPr txBox="1"/>
                            <wps:spPr>
                              <a:xfrm>
                                <a:off x="0" y="0"/>
                                <a:ext cx="11258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9215" cy="175260"/>
                      <wp:effectExtent l="0" t="0" r="0" b="0"/>
                      <wp:wrapNone/>
                      <wp:docPr id="178" name="Frame17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9215" cy="175260"/>
                      <wp:effectExtent l="0" t="0" r="0" b="0"/>
                      <wp:wrapNone/>
                      <wp:docPr id="179" name="Frame17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95910" cy="175260"/>
                      <wp:effectExtent l="0" t="0" r="0" b="0"/>
                      <wp:wrapNone/>
                      <wp:docPr id="180" name="Frame180"/>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01295" cy="175260"/>
                      <wp:effectExtent l="0" t="0" r="0" b="0"/>
                      <wp:wrapNone/>
                      <wp:docPr id="181" name="Frame181"/>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4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017" w:type="dxa"/>
            <w:gridSpan w:val="1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 (unaudited)</w:t>
            </w:r>
          </w:p>
        </w:tc>
      </w:tr>
      <w:tr>
        <w:trPr/>
        <w:tc>
          <w:tcPr>
            <w:tcW w:w="3842"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Liabilities</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46" w:type="dxa"/>
            <w:tcBorders/>
            <w:vAlign w:val="center"/>
          </w:tcPr>
          <w:p>
            <w:pPr>
              <w:pStyle w:val="TableContents"/>
              <w:bidi w:val="0"/>
              <w:spacing w:before="0" w:after="1"/>
              <w:ind w:left="0" w:right="0" w:hanging="0"/>
              <w:jc w:val="left"/>
              <w:rPr/>
            </w:pPr>
            <w:r>
              <w:rPr/>
              <w:t>  ​ ​ ​</w:t>
            </w:r>
          </w:p>
        </w:tc>
        <w:tc>
          <w:tcPr>
            <w:tcW w:w="109" w:type="dxa"/>
            <w:tcBorders/>
            <w:vAlign w:val="center"/>
          </w:tcPr>
          <w:p>
            <w:pPr>
              <w:pStyle w:val="TableContents"/>
              <w:bidi w:val="0"/>
              <w:spacing w:before="0" w:after="1"/>
              <w:ind w:left="0" w:right="0" w:hanging="0"/>
              <w:jc w:val="left"/>
              <w:rPr/>
            </w:pPr>
            <w:r>
              <w:rPr/>
              <w:t>​</w:t>
            </w:r>
          </w:p>
        </w:tc>
        <w:tc>
          <w:tcPr>
            <w:tcW w:w="168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Valuation Technique</w:t>
            </w:r>
          </w:p>
        </w:tc>
        <w:tc>
          <w:tcPr>
            <w:tcW w:w="109"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277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Unobservable Inputs</w:t>
            </w:r>
          </w:p>
        </w:tc>
      </w:tr>
      <w:tr>
        <w:trPr/>
        <w:tc>
          <w:tcPr>
            <w:tcW w:w="38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ecosio Contingent Consideration - Cash Earn-outs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67,000</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68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Monte Carlo Simulation</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77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 volatility</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w:t>
            </w:r>
          </w:p>
        </w:tc>
        <w:tc>
          <w:tcPr>
            <w:tcW w:w="3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4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68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77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 discount rate</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w:t>
            </w:r>
          </w:p>
        </w:tc>
        <w:tc>
          <w:tcPr>
            <w:tcW w:w="3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42"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683"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77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Term (in years)</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17" w:type="dxa"/>
            <w:tcBorders/>
            <w:shd w:fill="CCEEFF" w:val="clear"/>
            <w:vAlign w:val="center"/>
          </w:tcPr>
          <w:p>
            <w:pPr>
              <w:pStyle w:val="TableContents"/>
              <w:bidi w:val="0"/>
              <w:spacing w:before="0" w:after="1"/>
              <w:ind w:left="0" w:right="0" w:hanging="0"/>
              <w:jc w:val="left"/>
              <w:rPr/>
            </w:pPr>
            <w:r>
              <w:rPr/>
              <w:t>​</w:t>
            </w:r>
          </w:p>
        </w:tc>
      </w:tr>
      <w:tr>
        <w:trPr/>
        <w:tc>
          <w:tcPr>
            <w:tcW w:w="384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68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77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left"/>
              <w:rPr/>
            </w:pPr>
            <w:r>
              <w:rPr/>
              <w:t>​</w:t>
            </w:r>
          </w:p>
        </w:tc>
        <w:tc>
          <w:tcPr>
            <w:tcW w:w="317" w:type="dxa"/>
            <w:tcBorders/>
            <w:vAlign w:val="center"/>
          </w:tcPr>
          <w:p>
            <w:pPr>
              <w:pStyle w:val="TableContents"/>
              <w:bidi w:val="0"/>
              <w:spacing w:before="0" w:after="1"/>
              <w:ind w:left="0" w:right="0" w:hanging="0"/>
              <w:jc w:val="left"/>
              <w:rPr/>
            </w:pPr>
            <w:r>
              <w:rPr/>
              <w:t>​</w:t>
            </w:r>
          </w:p>
        </w:tc>
      </w:tr>
      <w:tr>
        <w:trPr/>
        <w:tc>
          <w:tcPr>
            <w:tcW w:w="38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ecosio Contingent Consideration - Stock Earn-outs</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7,000</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68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Monte Carlo Simulation</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77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 volatility</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w:t>
            </w:r>
          </w:p>
        </w:tc>
        <w:tc>
          <w:tcPr>
            <w:tcW w:w="3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4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68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77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 discount rate</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w:t>
            </w:r>
          </w:p>
        </w:tc>
        <w:tc>
          <w:tcPr>
            <w:tcW w:w="3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42"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683"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77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Term (in years)</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17" w:type="dxa"/>
            <w:tcBorders/>
            <w:shd w:fill="CCEEFF" w:val="clear"/>
            <w:vAlign w:val="center"/>
          </w:tcPr>
          <w:p>
            <w:pPr>
              <w:pStyle w:val="TableContents"/>
              <w:bidi w:val="0"/>
              <w:spacing w:before="0" w:after="1"/>
              <w:ind w:left="0" w:right="0" w:hanging="0"/>
              <w:jc w:val="left"/>
              <w:rPr/>
            </w:pPr>
            <w:r>
              <w:rPr/>
              <w:t>​</w:t>
            </w:r>
          </w:p>
        </w:tc>
      </w:tr>
      <w:tr>
        <w:trPr/>
        <w:tc>
          <w:tcPr>
            <w:tcW w:w="384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68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77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left"/>
              <w:rPr/>
            </w:pPr>
            <w:r>
              <w:rPr/>
              <w:t>​</w:t>
            </w:r>
          </w:p>
        </w:tc>
        <w:tc>
          <w:tcPr>
            <w:tcW w:w="317" w:type="dxa"/>
            <w:tcBorders/>
            <w:vAlign w:val="center"/>
          </w:tcPr>
          <w:p>
            <w:pPr>
              <w:pStyle w:val="TableContents"/>
              <w:bidi w:val="0"/>
              <w:spacing w:before="0" w:after="1"/>
              <w:ind w:left="0" w:right="0" w:hanging="0"/>
              <w:jc w:val="left"/>
              <w:rPr/>
            </w:pPr>
            <w:r>
              <w:rPr/>
              <w:t>​</w:t>
            </w:r>
          </w:p>
        </w:tc>
      </w:tr>
      <w:tr>
        <w:trPr/>
        <w:tc>
          <w:tcPr>
            <w:tcW w:w="384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017" w:type="dxa"/>
            <w:gridSpan w:val="1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3842"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Liabilities</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46" w:type="dxa"/>
            <w:tcBorders/>
            <w:vAlign w:val="center"/>
          </w:tcPr>
          <w:p>
            <w:pPr>
              <w:pStyle w:val="TableContents"/>
              <w:bidi w:val="0"/>
              <w:spacing w:before="0" w:after="1"/>
              <w:ind w:left="0" w:right="0" w:hanging="0"/>
              <w:jc w:val="left"/>
              <w:rPr/>
            </w:pPr>
            <w:r>
              <w:rPr/>
              <w:t>  ​ ​ ​</w:t>
            </w:r>
          </w:p>
        </w:tc>
        <w:tc>
          <w:tcPr>
            <w:tcW w:w="109" w:type="dxa"/>
            <w:tcBorders/>
            <w:vAlign w:val="center"/>
          </w:tcPr>
          <w:p>
            <w:pPr>
              <w:pStyle w:val="TableContents"/>
              <w:bidi w:val="0"/>
              <w:spacing w:before="0" w:after="1"/>
              <w:ind w:left="0" w:right="0" w:hanging="0"/>
              <w:jc w:val="left"/>
              <w:rPr/>
            </w:pPr>
            <w:r>
              <w:rPr/>
              <w:t>​</w:t>
            </w:r>
          </w:p>
        </w:tc>
        <w:tc>
          <w:tcPr>
            <w:tcW w:w="168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Valuation Technique</w:t>
            </w:r>
          </w:p>
        </w:tc>
        <w:tc>
          <w:tcPr>
            <w:tcW w:w="109"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277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Unobservable Inputs</w:t>
            </w:r>
          </w:p>
        </w:tc>
      </w:tr>
      <w:tr>
        <w:trPr/>
        <w:tc>
          <w:tcPr>
            <w:tcW w:w="38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ecosio Contingent Consideration - Cash Earn-outs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86,600</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68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Monte Carlo Simulation</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77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 volatility</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w:t>
            </w:r>
          </w:p>
        </w:tc>
        <w:tc>
          <w:tcPr>
            <w:tcW w:w="3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4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68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77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 discount rate</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3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42"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683"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77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Term (in years)</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17" w:type="dxa"/>
            <w:tcBorders/>
            <w:shd w:fill="CCEEFF" w:val="clear"/>
            <w:vAlign w:val="center"/>
          </w:tcPr>
          <w:p>
            <w:pPr>
              <w:pStyle w:val="TableContents"/>
              <w:bidi w:val="0"/>
              <w:spacing w:before="0" w:after="1"/>
              <w:ind w:left="0" w:right="0" w:hanging="0"/>
              <w:jc w:val="left"/>
              <w:rPr/>
            </w:pPr>
            <w:r>
              <w:rPr/>
              <w:t>​</w:t>
            </w:r>
          </w:p>
        </w:tc>
      </w:tr>
      <w:tr>
        <w:trPr/>
        <w:tc>
          <w:tcPr>
            <w:tcW w:w="384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68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77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left"/>
              <w:rPr/>
            </w:pPr>
            <w:r>
              <w:rPr/>
              <w:t>​</w:t>
            </w:r>
          </w:p>
        </w:tc>
        <w:tc>
          <w:tcPr>
            <w:tcW w:w="317" w:type="dxa"/>
            <w:tcBorders/>
            <w:vAlign w:val="center"/>
          </w:tcPr>
          <w:p>
            <w:pPr>
              <w:pStyle w:val="TableContents"/>
              <w:bidi w:val="0"/>
              <w:spacing w:before="0" w:after="1"/>
              <w:ind w:left="0" w:right="0" w:hanging="0"/>
              <w:jc w:val="left"/>
              <w:rPr/>
            </w:pPr>
            <w:r>
              <w:rPr/>
              <w:t>​</w:t>
            </w:r>
          </w:p>
        </w:tc>
      </w:tr>
      <w:tr>
        <w:trPr/>
        <w:tc>
          <w:tcPr>
            <w:tcW w:w="38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ecosio Contingent Consideration - Stock Earn-outs</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18,900</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68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Monte Carlo Simulation</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77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 volatility</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w:t>
            </w:r>
          </w:p>
        </w:tc>
        <w:tc>
          <w:tcPr>
            <w:tcW w:w="3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4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68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77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 discount rate</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3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42"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683"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77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Term (in years)</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17"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Changes in the fair value of the Company’s Level 3 liabilities during the six months ended June 30, 2026 were as follows: </w:t>
      </w:r>
    </w:p>
    <w:p>
      <w:pPr>
        <w:pStyle w:val="TextBody"/>
        <w:bidi w:val="0"/>
        <w:spacing w:before="0" w:after="0"/>
        <w:ind w:left="0" w:right="0" w:hanging="0"/>
        <w:jc w:val="left"/>
        <w:rPr/>
      </w:pPr>
      <w:r>
        <w:rPr/>
        <w:t>​</w:t>
      </w:r>
    </w:p>
    <w:tbl>
      <w:tblPr>
        <w:tblW w:w="6086" w:type="dxa"/>
        <w:jc w:val="left"/>
        <w:tblInd w:w="0" w:type="dxa"/>
        <w:tblLayout w:type="fixed"/>
        <w:tblCellMar>
          <w:top w:w="0" w:type="dxa"/>
          <w:left w:w="0" w:type="dxa"/>
          <w:bottom w:w="0" w:type="dxa"/>
          <w:right w:w="0" w:type="dxa"/>
        </w:tblCellMar>
      </w:tblPr>
      <w:tblGrid>
        <w:gridCol w:w="2161"/>
        <w:gridCol w:w="257"/>
        <w:gridCol w:w="973"/>
        <w:gridCol w:w="109"/>
        <w:gridCol w:w="298"/>
        <w:gridCol w:w="977"/>
        <w:gridCol w:w="109"/>
        <w:gridCol w:w="211"/>
        <w:gridCol w:w="991"/>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372235" cy="175260"/>
                      <wp:effectExtent l="0" t="0" r="0" b="0"/>
                      <wp:wrapNone/>
                      <wp:docPr id="182" name="Frame182"/>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63195" cy="175260"/>
                      <wp:effectExtent l="0" t="0" r="0" b="0"/>
                      <wp:wrapNone/>
                      <wp:docPr id="183" name="Frame183"/>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17855" cy="175260"/>
                      <wp:effectExtent l="0" t="0" r="0" b="0"/>
                      <wp:wrapNone/>
                      <wp:docPr id="184" name="Frame184"/>
                      <a:graphic xmlns:a="http://schemas.openxmlformats.org/drawingml/2006/main">
                        <a:graphicData uri="http://schemas.microsoft.com/office/word/2010/wordprocessingShape">
                          <wps:wsp>
                            <wps:cNvSpPr txBox="1"/>
                            <wps:spPr>
                              <a:xfrm>
                                <a:off x="0" y="0"/>
                                <a:ext cx="6178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9215" cy="175260"/>
                      <wp:effectExtent l="0" t="0" r="0" b="0"/>
                      <wp:wrapNone/>
                      <wp:docPr id="185" name="Frame18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89230" cy="175260"/>
                      <wp:effectExtent l="0" t="0" r="0" b="0"/>
                      <wp:wrapNone/>
                      <wp:docPr id="186" name="Frame186"/>
                      <a:graphic xmlns:a="http://schemas.openxmlformats.org/drawingml/2006/main">
                        <a:graphicData uri="http://schemas.microsoft.com/office/word/2010/wordprocessingShape">
                          <wps:wsp>
                            <wps:cNvSpPr txBox="1"/>
                            <wps:spPr>
                              <a:xfrm>
                                <a:off x="0" y="0"/>
                                <a:ext cx="189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20395" cy="175260"/>
                      <wp:effectExtent l="0" t="0" r="0" b="0"/>
                      <wp:wrapNone/>
                      <wp:docPr id="187" name="Frame187"/>
                      <a:graphic xmlns:a="http://schemas.openxmlformats.org/drawingml/2006/main">
                        <a:graphicData uri="http://schemas.microsoft.com/office/word/2010/wordprocessingShape">
                          <wps:wsp>
                            <wps:cNvSpPr txBox="1"/>
                            <wps:spPr>
                              <a:xfrm>
                                <a:off x="0" y="0"/>
                                <a:ext cx="6203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9215" cy="175260"/>
                      <wp:effectExtent l="0" t="0" r="0" b="0"/>
                      <wp:wrapNone/>
                      <wp:docPr id="188" name="Frame1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33985" cy="175260"/>
                      <wp:effectExtent l="0" t="0" r="0" b="0"/>
                      <wp:wrapNone/>
                      <wp:docPr id="189" name="Frame1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29285" cy="175260"/>
                      <wp:effectExtent l="0" t="0" r="0" b="0"/>
                      <wp:wrapNone/>
                      <wp:docPr id="190" name="Frame190"/>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1"/>
              <w:ind w:left="0" w:right="0" w:hanging="0"/>
              <w:jc w:val="center"/>
              <w:rPr/>
            </w:pPr>
            <w:r>
              <w:rPr/>
              <w:t>​</w:t>
            </w:r>
          </w:p>
        </w:tc>
        <w:tc>
          <w:tcPr>
            <w:tcW w:w="2614"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ecosio </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Kintsugi</w:t>
            </w:r>
          </w:p>
        </w:tc>
      </w:tr>
      <w:tr>
        <w:trPr/>
        <w:tc>
          <w:tcPr>
            <w:tcW w:w="2161" w:type="dxa"/>
            <w:tcBorders/>
            <w:vAlign w:val="center"/>
          </w:tcPr>
          <w:p>
            <w:pPr>
              <w:pStyle w:val="TableContents"/>
              <w:bidi w:val="0"/>
              <w:spacing w:before="0" w:after="1"/>
              <w:ind w:left="0" w:right="0" w:hanging="0"/>
              <w:jc w:val="center"/>
              <w:rPr/>
            </w:pPr>
            <w:r>
              <w:rPr/>
              <w:t>​</w:t>
            </w:r>
          </w:p>
        </w:tc>
        <w:tc>
          <w:tcPr>
            <w:tcW w:w="261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Contingent Consideration</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Long-Term</w:t>
            </w:r>
          </w:p>
        </w:tc>
      </w:tr>
      <w:tr>
        <w:trPr/>
        <w:tc>
          <w:tcPr>
            <w:tcW w:w="2161" w:type="dxa"/>
            <w:tcBorders/>
            <w:vAlign w:val="center"/>
          </w:tcPr>
          <w:p>
            <w:pPr>
              <w:pStyle w:val="TableContents"/>
              <w:bidi w:val="0"/>
              <w:spacing w:before="0" w:after="1"/>
              <w:ind w:left="0" w:right="0" w:hanging="0"/>
              <w:jc w:val="center"/>
              <w:rPr/>
            </w:pPr>
            <w:r>
              <w:rPr/>
              <w:t>​</w:t>
            </w:r>
          </w:p>
        </w:tc>
        <w:tc>
          <w:tcPr>
            <w:tcW w:w="12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Cash Earn-outs</w:t>
            </w:r>
          </w:p>
        </w:tc>
        <w:tc>
          <w:tcPr>
            <w:tcW w:w="109" w:type="dxa"/>
            <w:tcBorders/>
            <w:vAlign w:val="center"/>
          </w:tcPr>
          <w:p>
            <w:pPr>
              <w:pStyle w:val="TableContents"/>
              <w:bidi w:val="0"/>
              <w:spacing w:before="0" w:after="1"/>
              <w:ind w:left="0" w:right="0" w:hanging="0"/>
              <w:jc w:val="left"/>
              <w:rPr/>
            </w:pPr>
            <w:r>
              <w:rPr/>
              <w:t>​</w:t>
            </w:r>
          </w:p>
        </w:tc>
        <w:tc>
          <w:tcPr>
            <w:tcW w:w="12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 Earn-outs</w:t>
            </w:r>
          </w:p>
        </w:tc>
        <w:tc>
          <w:tcPr>
            <w:tcW w:w="109" w:type="dxa"/>
            <w:tcBorders/>
            <w:vAlign w:val="center"/>
          </w:tcPr>
          <w:p>
            <w:pPr>
              <w:pStyle w:val="TableContents"/>
              <w:bidi w:val="0"/>
              <w:spacing w:before="0" w:after="1"/>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Investment</w:t>
            </w:r>
          </w:p>
        </w:tc>
      </w:tr>
      <w:tr>
        <w:trPr/>
        <w:tc>
          <w:tcPr>
            <w:tcW w:w="6086" w:type="dxa"/>
            <w:gridSpan w:val="9"/>
            <w:tcBorders/>
            <w:vAlign w:val="center"/>
          </w:tcPr>
          <w:p>
            <w:pPr>
              <w:pStyle w:val="TableContents"/>
              <w:bidi w:val="0"/>
              <w:spacing w:before="0" w:after="283"/>
              <w:ind w:left="0" w:right="0" w:hanging="0"/>
              <w:jc w:val="left"/>
              <w:rPr>
                <w:sz w:val="4"/>
                <w:szCs w:val="4"/>
              </w:rPr>
            </w:pPr>
            <w:r>
              <w:rPr>
                <w:sz w:val="4"/>
                <w:szCs w:val="4"/>
              </w:rPr>
            </w:r>
          </w:p>
        </w:tc>
      </w:tr>
      <w:tr>
        <w:trPr/>
        <w:tc>
          <w:tcPr>
            <w:tcW w:w="2161" w:type="dxa"/>
            <w:tcBorders/>
            <w:vAlign w:val="center"/>
          </w:tcPr>
          <w:p>
            <w:pPr>
              <w:pStyle w:val="TableContents"/>
              <w:bidi w:val="0"/>
              <w:spacing w:before="0" w:after="1"/>
              <w:ind w:left="0" w:right="0" w:hanging="0"/>
              <w:jc w:val="left"/>
              <w:rPr/>
            </w:pPr>
            <w:r>
              <w:rPr/>
              <w:t>​</w:t>
            </w:r>
          </w:p>
        </w:tc>
        <w:tc>
          <w:tcPr>
            <w:tcW w:w="2614"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21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January 1, 2026</w:t>
            </w:r>
          </w:p>
        </w:tc>
        <w:tc>
          <w:tcPr>
            <w:tcW w:w="2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86,600</w:t>
            </w:r>
          </w:p>
        </w:tc>
        <w:tc>
          <w:tcPr>
            <w:tcW w:w="109" w:type="dxa"/>
            <w:tcBorders/>
            <w:shd w:fill="CCEEFF" w:val="clear"/>
            <w:vAlign w:val="center"/>
          </w:tcPr>
          <w:p>
            <w:pPr>
              <w:pStyle w:val="TableContents"/>
              <w:bidi w:val="0"/>
              <w:spacing w:before="0" w:after="1"/>
              <w:ind w:left="0" w:right="0" w:hanging="0"/>
              <w:jc w:val="center"/>
              <w:rPr/>
            </w:pPr>
            <w:r>
              <w:rPr/>
              <w:t>​</w:t>
            </w:r>
          </w:p>
        </w:tc>
        <w:tc>
          <w:tcPr>
            <w:tcW w:w="29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18,900</w:t>
            </w:r>
          </w:p>
        </w:tc>
        <w:tc>
          <w:tcPr>
            <w:tcW w:w="109"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15,000</w:t>
            </w:r>
          </w:p>
        </w:tc>
      </w:tr>
      <w:tr>
        <w:trPr/>
        <w:tc>
          <w:tcPr>
            <w:tcW w:w="2161"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adjustments</w:t>
            </w:r>
          </w:p>
        </w:tc>
        <w:tc>
          <w:tcPr>
            <w:tcW w:w="257" w:type="dxa"/>
            <w:tcBorders/>
            <w:vAlign w:val="center"/>
          </w:tcPr>
          <w:p>
            <w:pPr>
              <w:pStyle w:val="TableContents"/>
              <w:bidi w:val="0"/>
              <w:spacing w:before="0" w:after="1"/>
              <w:ind w:left="0" w:right="0" w:hanging="0"/>
              <w:jc w:val="center"/>
              <w:rPr/>
            </w:pPr>
            <w:r>
              <w:rPr/>
              <w:t>​</w:t>
            </w:r>
          </w:p>
        </w:tc>
        <w:tc>
          <w:tcPr>
            <w:tcW w:w="97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center"/>
              <w:rPr/>
            </w:pPr>
            <w:r>
              <w:rPr/>
              <w:t>​</w:t>
            </w:r>
          </w:p>
        </w:tc>
        <w:tc>
          <w:tcPr>
            <w:tcW w:w="298" w:type="dxa"/>
            <w:tcBorders/>
            <w:vAlign w:val="center"/>
          </w:tcPr>
          <w:p>
            <w:pPr>
              <w:pStyle w:val="TableContents"/>
              <w:bidi w:val="0"/>
              <w:spacing w:before="0" w:after="1"/>
              <w:ind w:left="0" w:right="0" w:hanging="0"/>
              <w:jc w:val="center"/>
              <w:rPr/>
            </w:pPr>
            <w:r>
              <w:rPr/>
              <w:t>​</w:t>
            </w:r>
          </w:p>
        </w:tc>
        <w:tc>
          <w:tcPr>
            <w:tcW w:w="9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(5,838)</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991" w:type="dxa"/>
            <w:tcBorders/>
            <w:vAlign w:val="center"/>
          </w:tcPr>
          <w:p>
            <w:pPr>
              <w:pStyle w:val="TableContents"/>
              <w:bidi w:val="0"/>
              <w:spacing w:before="0" w:after="1"/>
              <w:ind w:left="0" w:right="0" w:hanging="0"/>
              <w:jc w:val="right"/>
              <w:rPr/>
            </w:pPr>
            <w:r>
              <w:rPr/>
              <w:t>—</w:t>
            </w:r>
          </w:p>
        </w:tc>
      </w:tr>
      <w:tr>
        <w:trPr/>
        <w:tc>
          <w:tcPr>
            <w:tcW w:w="21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Payments - Cash</w:t>
            </w:r>
          </w:p>
        </w:tc>
        <w:tc>
          <w:tcPr>
            <w:tcW w:w="257" w:type="dxa"/>
            <w:tcBorders/>
            <w:shd w:fill="CCEEFF" w:val="clear"/>
            <w:vAlign w:val="center"/>
          </w:tcPr>
          <w:p>
            <w:pPr>
              <w:pStyle w:val="TableContents"/>
              <w:bidi w:val="0"/>
              <w:spacing w:before="0" w:after="1"/>
              <w:ind w:left="0" w:right="0" w:hanging="0"/>
              <w:jc w:val="center"/>
              <w:rPr/>
            </w:pPr>
            <w:r>
              <w:rPr/>
              <w:t>​</w:t>
            </w:r>
          </w:p>
        </w:tc>
        <w:tc>
          <w:tcPr>
            <w:tcW w:w="9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(19,600)</w:t>
            </w:r>
          </w:p>
        </w:tc>
        <w:tc>
          <w:tcPr>
            <w:tcW w:w="109" w:type="dxa"/>
            <w:tcBorders/>
            <w:shd w:fill="CCEEFF" w:val="clear"/>
            <w:vAlign w:val="center"/>
          </w:tcPr>
          <w:p>
            <w:pPr>
              <w:pStyle w:val="TableContents"/>
              <w:bidi w:val="0"/>
              <w:spacing w:before="0" w:after="1"/>
              <w:ind w:left="0" w:right="0" w:hanging="0"/>
              <w:jc w:val="center"/>
              <w:rPr/>
            </w:pPr>
            <w:r>
              <w:rPr/>
              <w:t>​</w:t>
            </w:r>
          </w:p>
        </w:tc>
        <w:tc>
          <w:tcPr>
            <w:tcW w:w="298" w:type="dxa"/>
            <w:tcBorders/>
            <w:shd w:fill="CCEEFF" w:val="clear"/>
            <w:vAlign w:val="center"/>
          </w:tcPr>
          <w:p>
            <w:pPr>
              <w:pStyle w:val="TableContents"/>
              <w:bidi w:val="0"/>
              <w:spacing w:before="0" w:after="1"/>
              <w:ind w:left="0" w:right="0" w:hanging="0"/>
              <w:jc w:val="center"/>
              <w:rPr/>
            </w:pPr>
            <w:r>
              <w:rPr/>
              <w:t>​</w:t>
            </w:r>
          </w:p>
        </w:tc>
        <w:tc>
          <w:tcPr>
            <w:tcW w:w="97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991" w:type="dxa"/>
            <w:tcBorders/>
            <w:shd w:fill="CCEEFF" w:val="clear"/>
            <w:vAlign w:val="center"/>
          </w:tcPr>
          <w:p>
            <w:pPr>
              <w:pStyle w:val="TableContents"/>
              <w:bidi w:val="0"/>
              <w:spacing w:before="0" w:after="1"/>
              <w:ind w:left="0" w:right="0" w:hanging="0"/>
              <w:jc w:val="right"/>
              <w:rPr/>
            </w:pPr>
            <w:r>
              <w:rPr/>
              <w:t>—</w:t>
            </w:r>
          </w:p>
        </w:tc>
      </w:tr>
      <w:tr>
        <w:trPr/>
        <w:tc>
          <w:tcPr>
            <w:tcW w:w="21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Payments - Stock</w:t>
            </w:r>
          </w:p>
        </w:tc>
        <w:tc>
          <w:tcPr>
            <w:tcW w:w="257"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97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center"/>
              <w:rPr/>
            </w:pPr>
            <w:r>
              <w:rPr/>
              <w:t>​</w:t>
            </w:r>
          </w:p>
        </w:tc>
        <w:tc>
          <w:tcPr>
            <w:tcW w:w="298"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9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(6,062)</w:t>
            </w:r>
          </w:p>
        </w:tc>
        <w:tc>
          <w:tcPr>
            <w:tcW w:w="109" w:type="dxa"/>
            <w:tcBorders/>
            <w:vAlign w:val="center"/>
          </w:tcPr>
          <w:p>
            <w:pPr>
              <w:pStyle w:val="TableContents"/>
              <w:bidi w:val="0"/>
              <w:spacing w:before="0" w:after="1"/>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1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June 30, 2026</w:t>
            </w:r>
          </w:p>
        </w:tc>
        <w:tc>
          <w:tcPr>
            <w:tcW w:w="25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67,000</w:t>
            </w:r>
          </w:p>
        </w:tc>
        <w:tc>
          <w:tcPr>
            <w:tcW w:w="109" w:type="dxa"/>
            <w:tcBorders/>
            <w:shd w:fill="CCEEFF" w:val="clear"/>
            <w:vAlign w:val="center"/>
          </w:tcPr>
          <w:p>
            <w:pPr>
              <w:pStyle w:val="TableContents"/>
              <w:bidi w:val="0"/>
              <w:spacing w:before="0" w:after="1"/>
              <w:ind w:left="0" w:right="0" w:hanging="0"/>
              <w:jc w:val="center"/>
              <w:rPr/>
            </w:pPr>
            <w:r>
              <w:rPr/>
              <w:t>​</w:t>
            </w:r>
          </w:p>
        </w:tc>
        <w:tc>
          <w:tcPr>
            <w:tcW w:w="29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7,000</w:t>
            </w:r>
          </w:p>
        </w:tc>
        <w:tc>
          <w:tcPr>
            <w:tcW w:w="109" w:type="dxa"/>
            <w:tcBorders/>
            <w:shd w:fill="CCEEFF" w:val="clear"/>
            <w:vAlign w:val="center"/>
          </w:tcPr>
          <w:p>
            <w:pPr>
              <w:pStyle w:val="TableContents"/>
              <w:bidi w:val="0"/>
              <w:spacing w:before="0" w:after="1"/>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bottom w:val="single" w:sz="2"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15,000</w:t>
            </w:r>
          </w:p>
        </w:tc>
      </w:tr>
    </w:tbl>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766" w:type="dxa"/>
        <w:jc w:val="left"/>
        <w:tblInd w:w="0" w:type="dxa"/>
        <w:tblLayout w:type="fixed"/>
        <w:tblCellMar>
          <w:top w:w="0" w:type="dxa"/>
          <w:left w:w="0" w:type="dxa"/>
          <w:bottom w:w="0" w:type="dxa"/>
          <w:right w:w="0" w:type="dxa"/>
        </w:tblCellMar>
      </w:tblPr>
      <w:tblGrid>
        <w:gridCol w:w="6766"/>
      </w:tblGrid>
      <w:tr>
        <w:trPr/>
        <w:tc>
          <w:tcPr>
            <w:tcW w:w="6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b/>
          <w:sz w:val="20"/>
        </w:rPr>
      </w:pPr>
      <w:r>
        <w:rPr>
          <w:rFonts w:ascii="Times New Roman;Times;serif" w:hAnsi="Times New Roman;Times;serif"/>
          <w:b/>
          <w:sz w:val="20"/>
        </w:rPr>
        <w:t xml:space="preserve">Long-Term Investment </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 April 2025, the Company entered into a Preferred Stock Purchase Agreement (the “Purchase Agreement”) with Kintsugi AI, Inc. (“Kintsugi”), a San Francisco-based, AI startup focused on automating sales tax compliance for small and mid-size businesses (the “Kintsugi Investment”).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Pursuant to the Purchase Agreement, the Company purchased 1,568 preferred shares (the “Preferred Stock”) for aggregate consideration of approximately $15,000 (the “Purchase Price”), representing approximately 10% of the fully diluted shares outstanding of Kintsugi on an “as converted” basis, and received a warrant to purchase 320 shares of Kintsugi’s Class A common stock at a price of $0.01 per share (the “Warrant”). The fair value of the Warrant was determined to be nil and therefore the Company allocated the full Purchase Price to the value of the Preferred Stock.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classified the Preferred Stock as an equity security under ASC 321, Investments – Equity Securities. As Kintsugi is a privately held company without a readily determinable fair value, the Preferred Stock qualifies for the measurement alternative under ASC 321 and is measured at cost, less impairment, subject to upward and downward adjustments resulting from observable price changes for identical or similar investments of the same issuer. These adjustments require quantitative assessments of the fair value, which may require the use of unobservable inputs, which management considers to be Level 3 measurements under the fair value hierarchy. The Company performs a qualitative assessment each reporting period to identify indicators of impairment. No observable price change or impairment adjustments have been recorded for either the three or six months ended June 30, 2026 or 2025. The $15,000 carrying value of the Kintsugi Investment is presented in the long-term investment line in the condensed consolidated balance sheets.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b/>
          <w:sz w:val="20"/>
        </w:rPr>
      </w:pPr>
      <w:r>
        <w:rPr>
          <w:rFonts w:ascii="Times New Roman;Times;serif" w:hAnsi="Times New Roman;Times;serif"/>
          <w:b/>
          <w:sz w:val="20"/>
        </w:rPr>
        <w:t>Assets and Liabilities for Which Fair Value is Only Disclosed</w:t>
      </w:r>
    </w:p>
    <w:p>
      <w:pPr>
        <w:pStyle w:val="TextBody"/>
        <w:bidi w:val="0"/>
        <w:spacing w:before="0" w:after="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carrying amounts of cash and cash equivalents and the carrying amount of funds held for customers were the same as their respective fair values and are considered Level 1 measurements.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carrying amount of the Company’s bank debt approximates fair value as the variable rates on the debt approximate those commercially available in the market and is considered a Level 3 measurement.</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 xml:space="preserve">Non-recurring Fair Value Measurements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Brinta acquisition on March 2, 2026, and the ecosio acquisition on August 30, 2024, were accounted for as business combinations and the total purchase price for each acquisition was allocated to the net assets acquired and liabilities assumed based on their estimated fair values on the dates of acquisition. </w:t>
      </w:r>
    </w:p>
    <w:p>
      <w:pPr>
        <w:pStyle w:val="TextBody"/>
        <w:bidi w:val="0"/>
        <w:spacing w:before="0" w:after="0"/>
        <w:ind w:left="0" w:right="0" w:firstLine="360"/>
        <w:jc w:val="both"/>
        <w:rPr>
          <w:rFonts w:ascii="Times New Roman;Times;serif" w:hAnsi="Times New Roman;Times;serif"/>
          <w:b/>
          <w:sz w:val="20"/>
        </w:rPr>
      </w:pPr>
      <w:r>
        <w:rPr>
          <w:rFonts w:ascii="Times New Roman;Times;serif" w:hAnsi="Times New Roman;Times;serif"/>
          <w:b/>
          <w:sz w:val="20"/>
        </w:rPr>
        <w:t xml:space="preserve">Derivative Instruments </w:t>
      </w:r>
    </w:p>
    <w:p>
      <w:pPr>
        <w:pStyle w:val="TextBody"/>
        <w:bidi w:val="0"/>
        <w:spacing w:lineRule="atLeast" w:line="229" w:before="0" w:after="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may periodically enter into derivative contracts to reduce its exposure to foreign currency exchange rates. Historically, the Company has not designated derivative contracts as hedges. Such derivative contracts are typically designed to manage specific risks according to the Company’s strategies, which may change from time to time.</w:t>
      </w:r>
    </w:p>
    <w:p>
      <w:pPr>
        <w:pStyle w:val="TextBody"/>
        <w:bidi w:val="0"/>
        <w:spacing w:before="0" w:after="0"/>
        <w:ind w:left="0" w:right="0" w:firstLine="360"/>
        <w:jc w:val="both"/>
        <w:rPr>
          <w:rFonts w:ascii="Times New Roman;Times;serif" w:hAnsi="Times New Roman;Times;serif"/>
          <w:b/>
          <w:sz w:val="20"/>
        </w:rPr>
      </w:pPr>
      <w:r>
        <w:rPr>
          <w:rFonts w:ascii="Times New Roman;Times;serif" w:hAnsi="Times New Roman;Times;serif"/>
          <w:b/>
          <w:sz w:val="20"/>
        </w:rPr>
        <w:t>Convertible Senior Notes</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June 30, 2026 and December 31, 2025, the fair value of the Notes (as defined in Note 8) was $309,168 and $327,043, respectively. The fair value was determined based on the quoted price of the Notes in an over-the-counter market on the last trading day of the reporting period and has been classified as Level 2 in the fair value hierarchy. For further information on the Notes, refer to Note 8, “Debt”.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766" w:type="dxa"/>
        <w:jc w:val="left"/>
        <w:tblInd w:w="0" w:type="dxa"/>
        <w:tblLayout w:type="fixed"/>
        <w:tblCellMar>
          <w:top w:w="0" w:type="dxa"/>
          <w:left w:w="0" w:type="dxa"/>
          <w:bottom w:w="0" w:type="dxa"/>
          <w:right w:w="0" w:type="dxa"/>
        </w:tblCellMar>
      </w:tblPr>
      <w:tblGrid>
        <w:gridCol w:w="6766"/>
      </w:tblGrid>
      <w:tr>
        <w:trPr/>
        <w:tc>
          <w:tcPr>
            <w:tcW w:w="6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bookmarkStart w:id="1661" w:name="Tc_ahfYG9mwhkWsT4D46OhZBA_8_5"/>
      <w:bookmarkStart w:id="1662" w:name="Tc_GeZkM_Rs90OrPxVSny9-5A_8_2"/>
      <w:bookmarkStart w:id="1663" w:name="Tc_Sp0oglcLx0a4iX_8rsOOcw_8_0"/>
      <w:bookmarkStart w:id="1664" w:name="Tc_wgYqweeYJkCCnC1JEMJJ3g_7_0"/>
      <w:bookmarkStart w:id="1665" w:name="Tc_m2d7i7cUEUWwQOhg_zi4OA_6_0"/>
      <w:bookmarkStart w:id="1666" w:name="Tc_fbtVsSPFqkKHJGUKNkS7gA_5_0"/>
      <w:bookmarkStart w:id="1667" w:name="Tc_VSLfanhF8Ua6U8KVxNLa1Q_4_5"/>
      <w:bookmarkStart w:id="1668" w:name="Tc_bL7-GzDFnk-0zR1X1Vd41Q_4_2"/>
      <w:bookmarkStart w:id="1669" w:name="Tc_pkzuzsijuUKVmYTL5wK5Ag_4_0"/>
      <w:bookmarkStart w:id="1670" w:name="Tc_eq38KywD-0KDcuvPISC78w_3_2"/>
      <w:bookmarkStart w:id="1671" w:name="Tc_N_zA5vSevUmiidCWWqjK_w_2_5"/>
      <w:bookmarkStart w:id="1672" w:name="Tc_6qry6hQ_d0CY66LHqhiVZg_2_2"/>
      <w:bookmarkStart w:id="1673" w:name="Tc_9H0n6SuYlE20WL1uODHA4w_1_5"/>
      <w:bookmarkStart w:id="1674" w:name="Tc_7G-SIVK-lUesexm_33WPlQ_1_2"/>
      <w:bookmarkStart w:id="1675" w:name="Tc_i8LKE6lZM0OQRB1oSOE1Uw_15_0"/>
      <w:bookmarkStart w:id="1676" w:name="Tc_MBiQp27HkU66EEaqHFGung_14_5"/>
      <w:bookmarkStart w:id="1677" w:name="Tc_cFtTmS3DrE-gcjXga7izfA_14_2"/>
      <w:bookmarkStart w:id="1678" w:name="Tc_SBKl7knyJ0-Bd1yjAyoCkA_14_0"/>
      <w:bookmarkStart w:id="1679" w:name="Tc_hWpbdzFLvkisXM7CuTUEuQ_13_0"/>
      <w:bookmarkStart w:id="1680" w:name="Tc_2Quuaq2QqkygILA6KKt4Og_12_0"/>
      <w:bookmarkStart w:id="1681" w:name="Tc_e0cwd8HXpEOxg4H_wEacSg_11_0"/>
      <w:bookmarkStart w:id="1682" w:name="Tc_M5uQHPuUUEy5Unf_ZypFgg_10_0"/>
      <w:bookmarkStart w:id="1683" w:name="Tc_sDH7TBSB4E6jtgoL76jipA_9_0"/>
      <w:bookmarkStart w:id="1684" w:name="Tc_V3AQtbTqhEWyzgwsjbVsWQ_8_0"/>
      <w:bookmarkStart w:id="1685" w:name="Tc_i0Laseq730CuPq0Rgt5F-w_7_0"/>
      <w:bookmarkStart w:id="1686" w:name="Tc_rh8M9rPxskmVhf9CUq80wA_6_0"/>
      <w:bookmarkStart w:id="1687" w:name="Tc_LMKGFJp4REGGkVl8pR4zGw_5_0"/>
      <w:bookmarkStart w:id="1688" w:name="Tc_EgeGJVEfcEyKoAnvBYdNaQ_4_5"/>
      <w:bookmarkStart w:id="1689" w:name="Tc_8bqs72-aSkO0bPDqAZWo8w_4_2"/>
      <w:bookmarkStart w:id="1690" w:name="Tc_kWiGyednlEqvLzgRgmqDIA_4_0"/>
      <w:bookmarkStart w:id="1691" w:name="Tc_pk5iQ41WXEe50cjry4AAvQ_3_2"/>
      <w:bookmarkStart w:id="1692" w:name="Tc_nVxqTQzU5kystCtzHbDueA_2_5"/>
      <w:bookmarkStart w:id="1693" w:name="Tc_43TZDHyOWkuJSCd6lA1c4A_2_2"/>
      <w:bookmarkStart w:id="1694" w:name="Tc_O3DlkrGPSUKhg9_qgq6eXQ_1_5"/>
      <w:bookmarkStart w:id="1695" w:name="Tc_7KPmMxxaPE2ywpU1XriOig_1_2"/>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r>
        <w:rPr>
          <w:rFonts w:ascii="Times New Roman;Times;serif" w:hAnsi="Times New Roman;Times;serif"/>
          <w:b/>
          <w:sz w:val="20"/>
        </w:rPr>
        <w:t>5.      PROPERTY AND EQUIPMENT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major components of property and equipment are as follows:</w:t>
      </w:r>
    </w:p>
    <w:p>
      <w:pPr>
        <w:pStyle w:val="TextBody"/>
        <w:bidi w:val="0"/>
        <w:spacing w:before="0" w:after="0"/>
        <w:ind w:left="0" w:right="0" w:hanging="0"/>
        <w:jc w:val="both"/>
        <w:rPr/>
      </w:pPr>
      <w:r>
        <w:rPr/>
        <w:t>​</w:t>
      </w:r>
    </w:p>
    <w:tbl>
      <w:tblPr>
        <w:tblW w:w="9583" w:type="dxa"/>
        <w:jc w:val="left"/>
        <w:tblInd w:w="0" w:type="dxa"/>
        <w:tblLayout w:type="fixed"/>
        <w:tblCellMar>
          <w:top w:w="0" w:type="dxa"/>
          <w:left w:w="0" w:type="dxa"/>
          <w:bottom w:w="0" w:type="dxa"/>
          <w:right w:w="0" w:type="dxa"/>
        </w:tblCellMar>
      </w:tblPr>
      <w:tblGrid>
        <w:gridCol w:w="5212"/>
        <w:gridCol w:w="440"/>
        <w:gridCol w:w="286"/>
        <w:gridCol w:w="1221"/>
        <w:gridCol w:w="440"/>
        <w:gridCol w:w="361"/>
        <w:gridCol w:w="1623"/>
      </w:tblGrid>
      <w:tr>
        <w:trPr/>
        <w:tc>
          <w:tcPr>
            <w:tcW w:w="5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3309620" cy="175260"/>
                      <wp:effectExtent l="0" t="0" r="0" b="0"/>
                      <wp:wrapNone/>
                      <wp:docPr id="191" name="Frame191"/>
                      <a:graphic xmlns:a="http://schemas.openxmlformats.org/drawingml/2006/main">
                        <a:graphicData uri="http://schemas.microsoft.com/office/word/2010/wordprocessingShape">
                          <wps:wsp>
                            <wps:cNvSpPr txBox="1"/>
                            <wps:spPr>
                              <a:xfrm>
                                <a:off x="0" y="0"/>
                                <a:ext cx="3309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79400" cy="175260"/>
                      <wp:effectExtent l="0" t="0" r="0" b="0"/>
                      <wp:wrapNone/>
                      <wp:docPr id="192" name="Frame192"/>
                      <a:graphic xmlns:a="http://schemas.openxmlformats.org/drawingml/2006/main">
                        <a:graphicData uri="http://schemas.microsoft.com/office/word/2010/wordprocessingShape">
                          <wps:wsp>
                            <wps:cNvSpPr txBox="1"/>
                            <wps:spPr>
                              <a:xfrm>
                                <a:off x="0" y="0"/>
                                <a:ext cx="279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81610" cy="175260"/>
                      <wp:effectExtent l="0" t="0" r="0" b="0"/>
                      <wp:wrapNone/>
                      <wp:docPr id="193" name="Frame193"/>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775335" cy="175260"/>
                      <wp:effectExtent l="0" t="0" r="0" b="0"/>
                      <wp:wrapNone/>
                      <wp:docPr id="194" name="Frame194"/>
                      <a:graphic xmlns:a="http://schemas.openxmlformats.org/drawingml/2006/main">
                        <a:graphicData uri="http://schemas.microsoft.com/office/word/2010/wordprocessingShape">
                          <wps:wsp>
                            <wps:cNvSpPr txBox="1"/>
                            <wps:spPr>
                              <a:xfrm>
                                <a:off x="0" y="0"/>
                                <a:ext cx="775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79400" cy="175260"/>
                      <wp:effectExtent l="0" t="0" r="0" b="0"/>
                      <wp:wrapNone/>
                      <wp:docPr id="195" name="Frame195"/>
                      <a:graphic xmlns:a="http://schemas.openxmlformats.org/drawingml/2006/main">
                        <a:graphicData uri="http://schemas.microsoft.com/office/word/2010/wordprocessingShape">
                          <wps:wsp>
                            <wps:cNvSpPr txBox="1"/>
                            <wps:spPr>
                              <a:xfrm>
                                <a:off x="0" y="0"/>
                                <a:ext cx="279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29235" cy="175260"/>
                      <wp:effectExtent l="0" t="0" r="0" b="0"/>
                      <wp:wrapNone/>
                      <wp:docPr id="196" name="Frame19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030605" cy="175260"/>
                      <wp:effectExtent l="0" t="0" r="0" b="0"/>
                      <wp:wrapNone/>
                      <wp:docPr id="197" name="Frame197"/>
                      <a:graphic xmlns:a="http://schemas.openxmlformats.org/drawingml/2006/main">
                        <a:graphicData uri="http://schemas.microsoft.com/office/word/2010/wordprocessingShape">
                          <wps:wsp>
                            <wps:cNvSpPr txBox="1"/>
                            <wps:spPr>
                              <a:xfrm>
                                <a:off x="0" y="0"/>
                                <a:ext cx="1030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212" w:type="dxa"/>
            <w:tcBorders/>
            <w:vAlign w:val="center"/>
          </w:tcPr>
          <w:p>
            <w:pPr>
              <w:pStyle w:val="TableContents"/>
              <w:bidi w:val="0"/>
              <w:spacing w:before="0" w:after="1"/>
              <w:ind w:left="0" w:right="0" w:hanging="0"/>
              <w:jc w:val="left"/>
              <w:rPr/>
            </w:pPr>
            <w:r>
              <w:rPr/>
              <w:t>​</w:t>
            </w:r>
          </w:p>
        </w:tc>
        <w:tc>
          <w:tcPr>
            <w:tcW w:w="440" w:type="dxa"/>
            <w:tcBorders/>
            <w:vAlign w:val="center"/>
          </w:tcPr>
          <w:p>
            <w:pPr>
              <w:pStyle w:val="TableContents"/>
              <w:bidi w:val="0"/>
              <w:spacing w:before="0" w:after="1"/>
              <w:ind w:left="0" w:right="0" w:hanging="0"/>
              <w:jc w:val="center"/>
              <w:rPr/>
            </w:pPr>
            <w:r>
              <w:rPr/>
              <w:t>​</w:t>
            </w:r>
          </w:p>
        </w:tc>
        <w:tc>
          <w:tcPr>
            <w:tcW w:w="15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June 30, </w:t>
            </w:r>
          </w:p>
        </w:tc>
        <w:tc>
          <w:tcPr>
            <w:tcW w:w="440" w:type="dxa"/>
            <w:tcBorders/>
            <w:vAlign w:val="center"/>
          </w:tcPr>
          <w:p>
            <w:pPr>
              <w:pStyle w:val="TableContents"/>
              <w:bidi w:val="0"/>
              <w:spacing w:before="0" w:after="1"/>
              <w:ind w:left="0" w:right="0" w:hanging="0"/>
              <w:jc w:val="center"/>
              <w:rPr/>
            </w:pPr>
            <w:r>
              <w:rPr/>
              <w:t>​</w:t>
            </w:r>
          </w:p>
        </w:tc>
        <w:tc>
          <w:tcPr>
            <w:tcW w:w="198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5212" w:type="dxa"/>
            <w:tcBorders/>
            <w:vAlign w:val="center"/>
          </w:tcPr>
          <w:p>
            <w:pPr>
              <w:pStyle w:val="TableContents"/>
              <w:bidi w:val="0"/>
              <w:spacing w:before="0" w:after="1"/>
              <w:ind w:left="0" w:right="0" w:hanging="0"/>
              <w:jc w:val="left"/>
              <w:rPr/>
            </w:pPr>
            <w:r>
              <w:rPr/>
              <w:t>​</w:t>
            </w:r>
          </w:p>
        </w:tc>
        <w:tc>
          <w:tcPr>
            <w:tcW w:w="440" w:type="dxa"/>
            <w:tcBorders/>
            <w:vAlign w:val="center"/>
          </w:tcPr>
          <w:p>
            <w:pPr>
              <w:pStyle w:val="TableContents"/>
              <w:bidi w:val="0"/>
              <w:spacing w:before="0" w:after="1"/>
              <w:ind w:left="0" w:right="0" w:hanging="0"/>
              <w:jc w:val="center"/>
              <w:rPr/>
            </w:pPr>
            <w:r>
              <w:rPr/>
              <w:t>​</w:t>
            </w:r>
          </w:p>
        </w:tc>
        <w:tc>
          <w:tcPr>
            <w:tcW w:w="15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40" w:type="dxa"/>
            <w:tcBorders/>
            <w:vAlign w:val="center"/>
          </w:tcPr>
          <w:p>
            <w:pPr>
              <w:pStyle w:val="TableContents"/>
              <w:bidi w:val="0"/>
              <w:spacing w:before="0" w:after="1"/>
              <w:ind w:left="0" w:right="0" w:hanging="0"/>
              <w:jc w:val="center"/>
              <w:rPr/>
            </w:pPr>
            <w:r>
              <w:rPr/>
              <w:t>​</w:t>
            </w:r>
          </w:p>
        </w:tc>
        <w:tc>
          <w:tcPr>
            <w:tcW w:w="198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212" w:type="dxa"/>
            <w:tcBorders/>
            <w:vAlign w:val="center"/>
          </w:tcPr>
          <w:p>
            <w:pPr>
              <w:pStyle w:val="TableContents"/>
              <w:bidi w:val="0"/>
              <w:spacing w:before="0" w:after="1"/>
              <w:ind w:left="0" w:right="0" w:hanging="0"/>
              <w:jc w:val="left"/>
              <w:rPr/>
            </w:pPr>
            <w:r>
              <w:rPr/>
              <w:t>​</w:t>
            </w:r>
          </w:p>
        </w:tc>
        <w:tc>
          <w:tcPr>
            <w:tcW w:w="440" w:type="dxa"/>
            <w:tcBorders/>
            <w:vAlign w:val="center"/>
          </w:tcPr>
          <w:p>
            <w:pPr>
              <w:pStyle w:val="TableContents"/>
              <w:bidi w:val="0"/>
              <w:spacing w:before="0" w:after="1"/>
              <w:ind w:left="0" w:right="0" w:hanging="0"/>
              <w:jc w:val="center"/>
              <w:rPr/>
            </w:pPr>
            <w:r>
              <w:rPr/>
              <w:t>  ​ ​ ​</w:t>
            </w:r>
          </w:p>
        </w:tc>
        <w:tc>
          <w:tcPr>
            <w:tcW w:w="15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440" w:type="dxa"/>
            <w:tcBorders/>
            <w:vAlign w:val="center"/>
          </w:tcPr>
          <w:p>
            <w:pPr>
              <w:pStyle w:val="TableContents"/>
              <w:bidi w:val="0"/>
              <w:spacing w:before="0" w:after="1"/>
              <w:ind w:left="0" w:right="0" w:hanging="0"/>
              <w:jc w:val="center"/>
              <w:rPr/>
            </w:pPr>
            <w:r>
              <w:rPr/>
              <w:t>  ​ ​ ​</w:t>
            </w:r>
          </w:p>
        </w:tc>
        <w:tc>
          <w:tcPr>
            <w:tcW w:w="1984" w:type="dxa"/>
            <w:gridSpan w:val="2"/>
            <w:tcBorders/>
            <w:vAlign w:val="center"/>
          </w:tcPr>
          <w:p>
            <w:pPr>
              <w:pStyle w:val="TableContents"/>
              <w:bidi w:val="0"/>
              <w:spacing w:before="0" w:after="1"/>
              <w:ind w:left="0" w:right="0" w:hanging="0"/>
              <w:jc w:val="center"/>
              <w:rPr/>
            </w:pPr>
            <w:r>
              <w:rPr/>
              <w:t>​</w:t>
            </w:r>
          </w:p>
        </w:tc>
      </w:tr>
      <w:tr>
        <w:trPr/>
        <w:tc>
          <w:tcPr>
            <w:tcW w:w="5212"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Leasehold improvements</w:t>
            </w:r>
          </w:p>
        </w:tc>
        <w:tc>
          <w:tcPr>
            <w:tcW w:w="440"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20,411</w:t>
            </w:r>
          </w:p>
        </w:tc>
        <w:tc>
          <w:tcPr>
            <w:tcW w:w="440"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6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20,395</w:t>
            </w:r>
          </w:p>
        </w:tc>
      </w:tr>
      <w:tr>
        <w:trPr/>
        <w:tc>
          <w:tcPr>
            <w:tcW w:w="5212"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Equipment</w:t>
            </w:r>
          </w:p>
        </w:tc>
        <w:tc>
          <w:tcPr>
            <w:tcW w:w="440"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 </w:t>
            </w:r>
          </w:p>
        </w:tc>
        <w:tc>
          <w:tcPr>
            <w:tcW w:w="12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17,963</w:t>
            </w:r>
          </w:p>
        </w:tc>
        <w:tc>
          <w:tcPr>
            <w:tcW w:w="440"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 </w:t>
            </w:r>
          </w:p>
        </w:tc>
        <w:tc>
          <w:tcPr>
            <w:tcW w:w="16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16,426</w:t>
            </w:r>
          </w:p>
        </w:tc>
      </w:tr>
      <w:tr>
        <w:trPr/>
        <w:tc>
          <w:tcPr>
            <w:tcW w:w="5212"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Computer software purchased</w:t>
            </w:r>
          </w:p>
        </w:tc>
        <w:tc>
          <w:tcPr>
            <w:tcW w:w="440"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pPr>
            <w:r>
              <w:rPr/>
              <w:t> </w:t>
            </w:r>
          </w:p>
        </w:tc>
        <w:tc>
          <w:tcPr>
            <w:tcW w:w="12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1,374</w:t>
            </w:r>
          </w:p>
        </w:tc>
        <w:tc>
          <w:tcPr>
            <w:tcW w:w="440"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 </w:t>
            </w:r>
          </w:p>
        </w:tc>
        <w:tc>
          <w:tcPr>
            <w:tcW w:w="16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1,383</w:t>
            </w:r>
          </w:p>
        </w:tc>
      </w:tr>
      <w:tr>
        <w:trPr/>
        <w:tc>
          <w:tcPr>
            <w:tcW w:w="5212"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Internal-use software developed:</w:t>
            </w:r>
          </w:p>
        </w:tc>
        <w:tc>
          <w:tcPr>
            <w:tcW w:w="440"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 </w:t>
            </w:r>
          </w:p>
        </w:tc>
        <w:tc>
          <w:tcPr>
            <w:tcW w:w="1221" w:type="dxa"/>
            <w:tcBorders/>
            <w:vAlign w:val="center"/>
          </w:tcPr>
          <w:p>
            <w:pPr>
              <w:pStyle w:val="TableContents"/>
              <w:bidi w:val="0"/>
              <w:spacing w:before="0" w:after="1"/>
              <w:ind w:left="0" w:right="0" w:hanging="0"/>
              <w:jc w:val="right"/>
              <w:rPr/>
            </w:pPr>
            <w:r>
              <w:rPr/>
              <w:t>​</w:t>
            </w:r>
          </w:p>
        </w:tc>
        <w:tc>
          <w:tcPr>
            <w:tcW w:w="440"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 </w:t>
            </w:r>
          </w:p>
        </w:tc>
        <w:tc>
          <w:tcPr>
            <w:tcW w:w="1623" w:type="dxa"/>
            <w:tcBorders/>
            <w:vAlign w:val="center"/>
          </w:tcPr>
          <w:p>
            <w:pPr>
              <w:pStyle w:val="TableContents"/>
              <w:bidi w:val="0"/>
              <w:spacing w:before="0" w:after="1"/>
              <w:ind w:left="0" w:right="0" w:hanging="0"/>
              <w:jc w:val="right"/>
              <w:rPr/>
            </w:pPr>
            <w:r>
              <w:rPr/>
              <w:t>​</w:t>
            </w:r>
          </w:p>
        </w:tc>
      </w:tr>
      <w:tr>
        <w:trPr/>
        <w:tc>
          <w:tcPr>
            <w:tcW w:w="5212"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Cloud-based customer solutions </w:t>
            </w:r>
            <w:r>
              <w:rPr>
                <w:rFonts w:ascii="Times New Roman;Times;serif" w:hAnsi="Times New Roman;Times;serif"/>
                <w:sz w:val="15"/>
              </w:rPr>
              <w:t>(1)</w:t>
            </w:r>
          </w:p>
        </w:tc>
        <w:tc>
          <w:tcPr>
            <w:tcW w:w="440"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pPr>
            <w:r>
              <w:rPr/>
              <w:t> </w:t>
            </w:r>
          </w:p>
        </w:tc>
        <w:tc>
          <w:tcPr>
            <w:tcW w:w="12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381,100</w:t>
            </w:r>
          </w:p>
        </w:tc>
        <w:tc>
          <w:tcPr>
            <w:tcW w:w="440"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 </w:t>
            </w:r>
          </w:p>
        </w:tc>
        <w:tc>
          <w:tcPr>
            <w:tcW w:w="16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328,648</w:t>
            </w:r>
          </w:p>
        </w:tc>
      </w:tr>
      <w:tr>
        <w:trPr/>
        <w:tc>
          <w:tcPr>
            <w:tcW w:w="521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Internal systems and tools </w:t>
            </w:r>
          </w:p>
        </w:tc>
        <w:tc>
          <w:tcPr>
            <w:tcW w:w="440"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 </w:t>
            </w:r>
          </w:p>
        </w:tc>
        <w:tc>
          <w:tcPr>
            <w:tcW w:w="12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108,258</w:t>
            </w:r>
          </w:p>
        </w:tc>
        <w:tc>
          <w:tcPr>
            <w:tcW w:w="440"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 </w:t>
            </w:r>
          </w:p>
        </w:tc>
        <w:tc>
          <w:tcPr>
            <w:tcW w:w="16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92,074</w:t>
            </w:r>
          </w:p>
        </w:tc>
      </w:tr>
      <w:tr>
        <w:trPr/>
        <w:tc>
          <w:tcPr>
            <w:tcW w:w="5212"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Furniture and fixtures</w:t>
            </w:r>
          </w:p>
        </w:tc>
        <w:tc>
          <w:tcPr>
            <w:tcW w:w="440"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pPr>
            <w:r>
              <w:rPr/>
              <w:t> </w:t>
            </w:r>
          </w:p>
        </w:tc>
        <w:tc>
          <w:tcPr>
            <w:tcW w:w="12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7,202</w:t>
            </w:r>
          </w:p>
        </w:tc>
        <w:tc>
          <w:tcPr>
            <w:tcW w:w="440"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 </w:t>
            </w:r>
          </w:p>
        </w:tc>
        <w:tc>
          <w:tcPr>
            <w:tcW w:w="16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7,187</w:t>
            </w:r>
          </w:p>
        </w:tc>
      </w:tr>
      <w:tr>
        <w:trPr/>
        <w:tc>
          <w:tcPr>
            <w:tcW w:w="5212"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In-process internal-use software</w:t>
            </w:r>
          </w:p>
        </w:tc>
        <w:tc>
          <w:tcPr>
            <w:tcW w:w="440" w:type="dxa"/>
            <w:tcBorders/>
            <w:vAlign w:val="center"/>
          </w:tcPr>
          <w:p>
            <w:pPr>
              <w:pStyle w:val="TableContents"/>
              <w:bidi w:val="0"/>
              <w:spacing w:before="0" w:after="1"/>
              <w:ind w:left="0" w:right="0" w:hanging="0"/>
              <w:jc w:val="left"/>
              <w:rPr/>
            </w:pPr>
            <w:r>
              <w:rPr/>
              <w:t>​</w:t>
            </w:r>
          </w:p>
        </w:tc>
        <w:tc>
          <w:tcPr>
            <w:tcW w:w="28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3,324</w:t>
            </w:r>
          </w:p>
        </w:tc>
        <w:tc>
          <w:tcPr>
            <w:tcW w:w="440" w:type="dxa"/>
            <w:tcBorders/>
            <w:vAlign w:val="center"/>
          </w:tcPr>
          <w:p>
            <w:pPr>
              <w:pStyle w:val="TableContents"/>
              <w:bidi w:val="0"/>
              <w:spacing w:before="0" w:after="1"/>
              <w:ind w:left="0" w:right="0" w:hanging="0"/>
              <w:jc w:val="left"/>
              <w:rPr/>
            </w:pPr>
            <w:r>
              <w:rPr/>
              <w:t>​</w:t>
            </w:r>
          </w:p>
        </w:tc>
        <w:tc>
          <w:tcPr>
            <w:tcW w:w="36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6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21,416</w:t>
            </w:r>
          </w:p>
        </w:tc>
      </w:tr>
      <w:tr>
        <w:trPr/>
        <w:tc>
          <w:tcPr>
            <w:tcW w:w="521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and equipment</w:t>
            </w:r>
          </w:p>
        </w:tc>
        <w:tc>
          <w:tcPr>
            <w:tcW w:w="440"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pPr>
            <w:r>
              <w:rPr/>
              <w:t> </w:t>
            </w:r>
          </w:p>
        </w:tc>
        <w:tc>
          <w:tcPr>
            <w:tcW w:w="12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539,632</w:t>
            </w:r>
          </w:p>
        </w:tc>
        <w:tc>
          <w:tcPr>
            <w:tcW w:w="440"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 </w:t>
            </w:r>
          </w:p>
        </w:tc>
        <w:tc>
          <w:tcPr>
            <w:tcW w:w="16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487,529</w:t>
            </w:r>
          </w:p>
        </w:tc>
      </w:tr>
      <w:tr>
        <w:trPr/>
        <w:tc>
          <w:tcPr>
            <w:tcW w:w="5212" w:type="dxa"/>
            <w:tcBorders/>
            <w:vAlign w:val="center"/>
          </w:tcPr>
          <w:p>
            <w:pPr>
              <w:pStyle w:val="TableContents"/>
              <w:bidi w:val="0"/>
              <w:spacing w:lineRule="auto" w:line="240" w:before="0" w:after="1"/>
              <w:ind w:left="0" w:right="0" w:hanging="0"/>
              <w:jc w:val="both"/>
              <w:rPr>
                <w:rFonts w:ascii="Times New Roman;Times;serif" w:hAnsi="Times New Roman;Times;serif"/>
                <w:sz w:val="20"/>
              </w:rPr>
            </w:pPr>
            <w:r>
              <w:rPr>
                <w:rFonts w:ascii="Times New Roman;Times;serif" w:hAnsi="Times New Roman;Times;serif"/>
                <w:sz w:val="20"/>
              </w:rPr>
              <w:t xml:space="preserve">Less accumulated depreciation and amortization </w:t>
            </w:r>
          </w:p>
        </w:tc>
        <w:tc>
          <w:tcPr>
            <w:tcW w:w="440" w:type="dxa"/>
            <w:tcBorders/>
            <w:vAlign w:val="center"/>
          </w:tcPr>
          <w:p>
            <w:pPr>
              <w:pStyle w:val="TableContents"/>
              <w:bidi w:val="0"/>
              <w:spacing w:before="0" w:after="1"/>
              <w:ind w:left="0" w:right="0" w:hanging="0"/>
              <w:jc w:val="left"/>
              <w:rPr/>
            </w:pPr>
            <w:r>
              <w:rPr/>
              <w:t>​</w:t>
            </w:r>
          </w:p>
        </w:tc>
        <w:tc>
          <w:tcPr>
            <w:tcW w:w="28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(319,161)</w:t>
            </w:r>
          </w:p>
        </w:tc>
        <w:tc>
          <w:tcPr>
            <w:tcW w:w="440" w:type="dxa"/>
            <w:tcBorders/>
            <w:vAlign w:val="center"/>
          </w:tcPr>
          <w:p>
            <w:pPr>
              <w:pStyle w:val="TableContents"/>
              <w:bidi w:val="0"/>
              <w:spacing w:before="0" w:after="1"/>
              <w:ind w:left="0" w:right="0" w:hanging="0"/>
              <w:jc w:val="left"/>
              <w:rPr/>
            </w:pPr>
            <w:r>
              <w:rPr/>
              <w:t>​</w:t>
            </w:r>
          </w:p>
        </w:tc>
        <w:tc>
          <w:tcPr>
            <w:tcW w:w="36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6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(277,802)</w:t>
            </w:r>
          </w:p>
        </w:tc>
      </w:tr>
      <w:tr>
        <w:trPr/>
        <w:tc>
          <w:tcPr>
            <w:tcW w:w="521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440" w:type="dxa"/>
            <w:tcBorders/>
            <w:shd w:fill="CCEEFF" w:val="clear"/>
            <w:vAlign w:val="center"/>
          </w:tcPr>
          <w:p>
            <w:pPr>
              <w:pStyle w:val="TableContents"/>
              <w:bidi w:val="0"/>
              <w:spacing w:before="0" w:after="1"/>
              <w:ind w:left="0" w:right="0" w:hanging="0"/>
              <w:jc w:val="left"/>
              <w:rPr/>
            </w:pPr>
            <w:r>
              <w:rPr/>
              <w:t>​</w:t>
            </w:r>
          </w:p>
        </w:tc>
        <w:tc>
          <w:tcPr>
            <w:tcW w:w="28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220,471</w:t>
            </w:r>
          </w:p>
        </w:tc>
        <w:tc>
          <w:tcPr>
            <w:tcW w:w="440" w:type="dxa"/>
            <w:tcBorders/>
            <w:shd w:fill="CCEEFF" w:val="clear"/>
            <w:vAlign w:val="center"/>
          </w:tcPr>
          <w:p>
            <w:pPr>
              <w:pStyle w:val="TableContents"/>
              <w:bidi w:val="0"/>
              <w:spacing w:before="0" w:after="1"/>
              <w:ind w:left="0" w:right="0" w:hanging="0"/>
              <w:jc w:val="left"/>
              <w:rPr/>
            </w:pPr>
            <w:r>
              <w:rPr/>
              <w:t>​</w:t>
            </w:r>
          </w:p>
        </w:tc>
        <w:tc>
          <w:tcPr>
            <w:tcW w:w="36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62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209,727</w:t>
            </w:r>
          </w:p>
        </w:tc>
      </w:tr>
      <w:tr>
        <w:trPr/>
        <w:tc>
          <w:tcPr>
            <w:tcW w:w="9583" w:type="dxa"/>
            <w:gridSpan w:val="7"/>
            <w:tcBorders/>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4"/>
              </w:rPr>
              <w:t>(1)</w:t>
            </w:r>
            <w:r>
              <w:rPr>
                <w:rFonts w:ascii="Times New Roman;Times;serif" w:hAnsi="Times New Roman;Times;serif"/>
                <w:sz w:val="18"/>
              </w:rPr>
              <w:t xml:space="preserve"> Includes $7,848 of developed technology related to the Brinta acquisition. For further information, refer to Note 3, "Acquisitions".</w:t>
            </w:r>
          </w:p>
        </w:tc>
      </w:tr>
      <w:tr>
        <w:trPr/>
        <w:tc>
          <w:tcPr>
            <w:tcW w:w="5212" w:type="dxa"/>
            <w:tcBorders/>
            <w:vAlign w:val="center"/>
          </w:tcPr>
          <w:p>
            <w:pPr>
              <w:pStyle w:val="TableContents"/>
              <w:bidi w:val="0"/>
              <w:spacing w:before="0" w:after="1"/>
              <w:ind w:left="0" w:right="0" w:hanging="0"/>
              <w:jc w:val="left"/>
              <w:rPr/>
            </w:pPr>
            <w:r>
              <w:rPr/>
              <w:t>​</w:t>
            </w:r>
          </w:p>
        </w:tc>
        <w:tc>
          <w:tcPr>
            <w:tcW w:w="440"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1221" w:type="dxa"/>
            <w:tcBorders/>
            <w:vAlign w:val="center"/>
          </w:tcPr>
          <w:p>
            <w:pPr>
              <w:pStyle w:val="TableContents"/>
              <w:bidi w:val="0"/>
              <w:spacing w:before="0" w:after="1"/>
              <w:ind w:left="0" w:right="0" w:hanging="0"/>
              <w:jc w:val="left"/>
              <w:rPr/>
            </w:pPr>
            <w:r>
              <w:rPr/>
              <w:t>​</w:t>
            </w:r>
          </w:p>
        </w:tc>
        <w:tc>
          <w:tcPr>
            <w:tcW w:w="440"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1623" w:type="dxa"/>
            <w:tcBorders/>
            <w:vAlign w:val="center"/>
          </w:tcPr>
          <w:p>
            <w:pPr>
              <w:pStyle w:val="TableContents"/>
              <w:bidi w:val="0"/>
              <w:spacing w:before="0" w:after="1"/>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Depreciation expense for property and equipment, excluding all internal-use software developed and finance leases, was $1,204 and $1,068 for the three months ended June 30, 2026 and 2025, respectively, and $2,374 and $2,123 for the six months ended June 30, 2026 and 2025, respectively, and is included in depreciation and amortization in the condensed consolidated statements of comprehensive income (loss).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Finance lease amortization was $8 and $19 for the three months ended June 30, 2026 and 2025, respectively, and $26 and $38 for the six months ended June 30, 2026 and 2025, respectively, and is included in depreciation and amortization in the condensed consolidated statements of comprehensive income (loss).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Assets under finance leases of $141 and $265, net of accumulated amortization of $73 and $171, respectively, at June 30, 2026 and December 31, 2025, respectively, are included in property and equipment, net in the condensed consolidated balance sheets.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major components of internal-use software developed are as follows:</w:t>
      </w:r>
    </w:p>
    <w:p>
      <w:pPr>
        <w:pStyle w:val="TextBody"/>
        <w:bidi w:val="0"/>
        <w:spacing w:before="0" w:after="0"/>
        <w:ind w:left="0" w:right="0" w:hanging="0"/>
        <w:jc w:val="both"/>
        <w:rPr/>
      </w:pPr>
      <w:r>
        <w:rPr/>
        <w:t>​</w:t>
      </w:r>
    </w:p>
    <w:tbl>
      <w:tblPr>
        <w:tblW w:w="8838" w:type="dxa"/>
        <w:jc w:val="left"/>
        <w:tblInd w:w="0" w:type="dxa"/>
        <w:tblLayout w:type="fixed"/>
        <w:tblCellMar>
          <w:top w:w="0" w:type="dxa"/>
          <w:left w:w="0" w:type="dxa"/>
          <w:bottom w:w="0" w:type="dxa"/>
          <w:right w:w="0" w:type="dxa"/>
        </w:tblCellMar>
      </w:tblPr>
      <w:tblGrid>
        <w:gridCol w:w="5401"/>
        <w:gridCol w:w="346"/>
        <w:gridCol w:w="225"/>
        <w:gridCol w:w="960"/>
        <w:gridCol w:w="346"/>
        <w:gridCol w:w="284"/>
        <w:gridCol w:w="1276"/>
      </w:tblGrid>
      <w:tr>
        <w:trPr/>
        <w:tc>
          <w:tcPr>
            <w:tcW w:w="5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3429635" cy="175260"/>
                      <wp:effectExtent l="0" t="0" r="0" b="0"/>
                      <wp:wrapNone/>
                      <wp:docPr id="198" name="Frame198"/>
                      <a:graphic xmlns:a="http://schemas.openxmlformats.org/drawingml/2006/main">
                        <a:graphicData uri="http://schemas.microsoft.com/office/word/2010/wordprocessingShape">
                          <wps:wsp>
                            <wps:cNvSpPr txBox="1"/>
                            <wps:spPr>
                              <a:xfrm>
                                <a:off x="0" y="0"/>
                                <a:ext cx="3429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19710" cy="175260"/>
                      <wp:effectExtent l="0" t="0" r="0" b="0"/>
                      <wp:wrapNone/>
                      <wp:docPr id="199" name="Frame1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42875" cy="175260"/>
                      <wp:effectExtent l="0" t="0" r="0" b="0"/>
                      <wp:wrapNone/>
                      <wp:docPr id="200" name="Frame200"/>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09600" cy="175260"/>
                      <wp:effectExtent l="0" t="0" r="0" b="0"/>
                      <wp:wrapNone/>
                      <wp:docPr id="201" name="Frame201"/>
                      <a:graphic xmlns:a="http://schemas.openxmlformats.org/drawingml/2006/main">
                        <a:graphicData uri="http://schemas.microsoft.com/office/word/2010/wordprocessingShape">
                          <wps:wsp>
                            <wps:cNvSpPr txBox="1"/>
                            <wps:spPr>
                              <a:xfrm>
                                <a:off x="0" y="0"/>
                                <a:ext cx="609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19710" cy="175260"/>
                      <wp:effectExtent l="0" t="0" r="0" b="0"/>
                      <wp:wrapNone/>
                      <wp:docPr id="202" name="Frame2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80340" cy="175260"/>
                      <wp:effectExtent l="0" t="0" r="0" b="0"/>
                      <wp:wrapNone/>
                      <wp:docPr id="203" name="Frame203"/>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810260" cy="175260"/>
                      <wp:effectExtent l="0" t="0" r="0" b="0"/>
                      <wp:wrapNone/>
                      <wp:docPr id="204" name="Frame204"/>
                      <a:graphic xmlns:a="http://schemas.openxmlformats.org/drawingml/2006/main">
                        <a:graphicData uri="http://schemas.microsoft.com/office/word/2010/wordprocessingShape">
                          <wps:wsp>
                            <wps:cNvSpPr txBox="1"/>
                            <wps:spPr>
                              <a:xfrm>
                                <a:off x="0" y="0"/>
                                <a:ext cx="810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w:t>
            </w:r>
          </w:p>
        </w:tc>
        <w:tc>
          <w:tcPr>
            <w:tcW w:w="346" w:type="dxa"/>
            <w:tcBorders/>
            <w:vAlign w:val="center"/>
          </w:tcPr>
          <w:p>
            <w:pPr>
              <w:pStyle w:val="TableContents"/>
              <w:bidi w:val="0"/>
              <w:spacing w:before="0" w:after="0"/>
              <w:ind w:left="0" w:right="0" w:hanging="0"/>
              <w:jc w:val="left"/>
              <w:rPr/>
            </w:pPr>
            <w:r>
              <w:rPr/>
              <w:t>​</w:t>
            </w:r>
          </w:p>
        </w:tc>
        <w:tc>
          <w:tcPr>
            <w:tcW w:w="156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54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w:t>
            </w:r>
          </w:p>
        </w:tc>
        <w:tc>
          <w:tcPr>
            <w:tcW w:w="15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4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0"/>
              <w:ind w:left="0" w:right="0" w:hanging="0"/>
              <w:jc w:val="center"/>
              <w:rPr/>
            </w:pPr>
            <w:r>
              <w:rPr/>
              <w:t>  ​ ​ ​</w:t>
            </w:r>
          </w:p>
        </w:tc>
        <w:tc>
          <w:tcPr>
            <w:tcW w:w="284" w:type="dxa"/>
            <w:tcBorders/>
            <w:vAlign w:val="center"/>
          </w:tcPr>
          <w:p>
            <w:pPr>
              <w:pStyle w:val="TableContents"/>
              <w:bidi w:val="0"/>
              <w:spacing w:before="0" w:after="0"/>
              <w:ind w:left="0" w:right="0" w:hanging="0"/>
              <w:jc w:val="center"/>
              <w:rPr/>
            </w:pPr>
            <w:r>
              <w:rPr/>
              <w:t>​</w:t>
            </w:r>
          </w:p>
        </w:tc>
        <w:tc>
          <w:tcPr>
            <w:tcW w:w="1276" w:type="dxa"/>
            <w:tcBorders/>
            <w:vAlign w:val="center"/>
          </w:tcPr>
          <w:p>
            <w:pPr>
              <w:pStyle w:val="TableContents"/>
              <w:bidi w:val="0"/>
              <w:spacing w:before="0" w:after="0"/>
              <w:ind w:left="0" w:right="0" w:hanging="0"/>
              <w:jc w:val="center"/>
              <w:rPr/>
            </w:pPr>
            <w:r>
              <w:rPr/>
              <w:t>​</w:t>
            </w:r>
          </w:p>
        </w:tc>
      </w:tr>
      <w:tr>
        <w:trPr/>
        <w:tc>
          <w:tcPr>
            <w:tcW w:w="540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Internal-use software developed</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489,358</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420,722</w:t>
            </w:r>
          </w:p>
        </w:tc>
      </w:tr>
      <w:tr>
        <w:trPr/>
        <w:tc>
          <w:tcPr>
            <w:tcW w:w="54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Less accumulated depreciation</w:t>
            </w:r>
          </w:p>
        </w:tc>
        <w:tc>
          <w:tcPr>
            <w:tcW w:w="346"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(283,464)</w:t>
            </w:r>
          </w:p>
        </w:tc>
        <w:tc>
          <w:tcPr>
            <w:tcW w:w="346" w:type="dxa"/>
            <w:tcBorders/>
            <w:vAlign w:val="center"/>
          </w:tcPr>
          <w:p>
            <w:pPr>
              <w:pStyle w:val="TableContents"/>
              <w:bidi w:val="0"/>
              <w:spacing w:before="0" w:after="0"/>
              <w:ind w:left="0" w:right="0" w:hanging="0"/>
              <w:jc w:val="left"/>
              <w:rPr/>
            </w:pPr>
            <w:r>
              <w:rPr/>
              <w:t>​</w:t>
            </w:r>
          </w:p>
        </w:tc>
        <w:tc>
          <w:tcPr>
            <w:tcW w:w="28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(244,374)</w:t>
            </w:r>
          </w:p>
        </w:tc>
      </w:tr>
      <w:tr>
        <w:trPr/>
        <w:tc>
          <w:tcPr>
            <w:tcW w:w="5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Internal-use software developed, net of accumulated depreciation</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9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205,894</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 </w:t>
            </w:r>
          </w:p>
        </w:tc>
        <w:tc>
          <w:tcPr>
            <w:tcW w:w="12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176,348</w:t>
            </w:r>
          </w:p>
        </w:tc>
      </w:tr>
      <w:tr>
        <w:trPr/>
        <w:tc>
          <w:tcPr>
            <w:tcW w:w="54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In-process internal-use software</w:t>
            </w:r>
          </w:p>
        </w:tc>
        <w:tc>
          <w:tcPr>
            <w:tcW w:w="346"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3,324</w:t>
            </w:r>
          </w:p>
        </w:tc>
        <w:tc>
          <w:tcPr>
            <w:tcW w:w="346" w:type="dxa"/>
            <w:tcBorders/>
            <w:vAlign w:val="center"/>
          </w:tcPr>
          <w:p>
            <w:pPr>
              <w:pStyle w:val="TableContents"/>
              <w:bidi w:val="0"/>
              <w:spacing w:before="0" w:after="0"/>
              <w:ind w:left="0" w:right="0" w:hanging="0"/>
              <w:jc w:val="left"/>
              <w:rPr/>
            </w:pPr>
            <w:r>
              <w:rPr/>
              <w:t>​</w:t>
            </w:r>
          </w:p>
        </w:tc>
        <w:tc>
          <w:tcPr>
            <w:tcW w:w="28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21,416</w:t>
            </w:r>
          </w:p>
        </w:tc>
      </w:tr>
      <w:tr>
        <w:trPr/>
        <w:tc>
          <w:tcPr>
            <w:tcW w:w="5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Internal-use software developed, net</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209,218</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197,764</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766" w:type="dxa"/>
        <w:jc w:val="left"/>
        <w:tblInd w:w="0" w:type="dxa"/>
        <w:tblLayout w:type="fixed"/>
        <w:tblCellMar>
          <w:top w:w="0" w:type="dxa"/>
          <w:left w:w="0" w:type="dxa"/>
          <w:bottom w:w="0" w:type="dxa"/>
          <w:right w:w="0" w:type="dxa"/>
        </w:tblCellMar>
      </w:tblPr>
      <w:tblGrid>
        <w:gridCol w:w="6766"/>
      </w:tblGrid>
      <w:tr>
        <w:trPr/>
        <w:tc>
          <w:tcPr>
            <w:tcW w:w="6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bookmarkStart w:id="1696" w:name="Tc_dKYFoSCHGUus3o4r0DI5rA_6_5"/>
      <w:bookmarkStart w:id="1697" w:name="Tc_MgZ61k6qUkm_AP1V9ncf0g_6_2"/>
      <w:bookmarkStart w:id="1698" w:name="Tc_jA37ceM8lU6uVJhkzfdL9Q_6_0"/>
      <w:bookmarkStart w:id="1699" w:name="Tc_3w0aRX9N3k2vTEh6rXd3vQ_5_0"/>
      <w:bookmarkStart w:id="1700" w:name="Tc_WLI7BCSpfkKvo6jGrHy3Ug_4_5"/>
      <w:bookmarkStart w:id="1701" w:name="Tc_a_GctKrnwUmxvQ-jZEbXIQ_4_2"/>
      <w:bookmarkStart w:id="1702" w:name="Tc_20LCb0Ou1k2HhiPzm1fDgA_4_0"/>
      <w:bookmarkStart w:id="1703" w:name="Tc_iahxP_cWAUmbfP5cBx7zHA_3_2"/>
      <w:bookmarkStart w:id="1704" w:name="Tc_W1Wf293spEG56gCeJ3BqrQ_2_5"/>
      <w:bookmarkStart w:id="1705" w:name="Tc_AMkEvw_3DEaEmRTIQLLYxw_2_2"/>
      <w:bookmarkStart w:id="1706" w:name="Tc_6R8DzEpob0-vqXSOcfCdGw_1_2"/>
      <w:bookmarkEnd w:id="1696"/>
      <w:bookmarkEnd w:id="1697"/>
      <w:bookmarkEnd w:id="1698"/>
      <w:bookmarkEnd w:id="1699"/>
      <w:bookmarkEnd w:id="1700"/>
      <w:bookmarkEnd w:id="1701"/>
      <w:bookmarkEnd w:id="1702"/>
      <w:bookmarkEnd w:id="1703"/>
      <w:bookmarkEnd w:id="1704"/>
      <w:bookmarkEnd w:id="1705"/>
      <w:bookmarkEnd w:id="1706"/>
      <w:r>
        <w:rPr>
          <w:rFonts w:ascii="Times New Roman;Times;serif" w:hAnsi="Times New Roman;Times;serif"/>
          <w:sz w:val="20"/>
        </w:rPr>
        <w:t>Amounts included in property and equipment additions related to capitalized internal-use software on the condensed consolidated statements of cash flows are as follows:</w:t>
      </w:r>
      <w:r>
        <w:rPr>
          <w:rFonts w:ascii="Times New Roman;Times;serif" w:hAnsi="Times New Roman;Times;serif"/>
          <w:color w:val="FF0000"/>
          <w:sz w:val="20"/>
        </w:rPr>
        <w:t xml:space="preserve"> </w:t>
      </w:r>
    </w:p>
    <w:p>
      <w:pPr>
        <w:pStyle w:val="TextBody"/>
        <w:bidi w:val="0"/>
        <w:spacing w:before="0" w:after="0"/>
        <w:ind w:left="0" w:right="0" w:hanging="0"/>
        <w:jc w:val="both"/>
        <w:rPr/>
      </w:pPr>
      <w:r>
        <w:rPr/>
        <w:t>​</w:t>
      </w:r>
    </w:p>
    <w:tbl>
      <w:tblPr>
        <w:tblW w:w="5746" w:type="dxa"/>
        <w:jc w:val="left"/>
        <w:tblInd w:w="0" w:type="dxa"/>
        <w:tblLayout w:type="fixed"/>
        <w:tblCellMar>
          <w:top w:w="0" w:type="dxa"/>
          <w:left w:w="0" w:type="dxa"/>
          <w:bottom w:w="0" w:type="dxa"/>
          <w:right w:w="0" w:type="dxa"/>
        </w:tblCellMar>
      </w:tblPr>
      <w:tblGrid>
        <w:gridCol w:w="2731"/>
        <w:gridCol w:w="346"/>
        <w:gridCol w:w="282"/>
        <w:gridCol w:w="903"/>
        <w:gridCol w:w="145"/>
        <w:gridCol w:w="282"/>
        <w:gridCol w:w="1057"/>
      </w:tblGrid>
      <w:tr>
        <w:trPr/>
        <w:tc>
          <w:tcPr>
            <w:tcW w:w="2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734185" cy="175260"/>
                      <wp:effectExtent l="0" t="0" r="0" b="0"/>
                      <wp:wrapNone/>
                      <wp:docPr id="205" name="Frame205"/>
                      <a:graphic xmlns:a="http://schemas.openxmlformats.org/drawingml/2006/main">
                        <a:graphicData uri="http://schemas.microsoft.com/office/word/2010/wordprocessingShape">
                          <wps:wsp>
                            <wps:cNvSpPr txBox="1"/>
                            <wps:spPr>
                              <a:xfrm>
                                <a:off x="0" y="0"/>
                                <a:ext cx="1734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19710" cy="175260"/>
                      <wp:effectExtent l="0" t="0" r="0" b="0"/>
                      <wp:wrapNone/>
                      <wp:docPr id="206" name="Frame2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79070" cy="175260"/>
                      <wp:effectExtent l="0" t="0" r="0" b="0"/>
                      <wp:wrapNone/>
                      <wp:docPr id="207" name="Frame207"/>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573405" cy="175260"/>
                      <wp:effectExtent l="0" t="0" r="0" b="0"/>
                      <wp:wrapNone/>
                      <wp:docPr id="208" name="Frame208"/>
                      <a:graphic xmlns:a="http://schemas.openxmlformats.org/drawingml/2006/main">
                        <a:graphicData uri="http://schemas.microsoft.com/office/word/2010/wordprocessingShape">
                          <wps:wsp>
                            <wps:cNvSpPr txBox="1"/>
                            <wps:spPr>
                              <a:xfrm>
                                <a:off x="0" y="0"/>
                                <a:ext cx="573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92075" cy="175260"/>
                      <wp:effectExtent l="0" t="0" r="0" b="0"/>
                      <wp:wrapNone/>
                      <wp:docPr id="209" name="Frame209"/>
                      <a:graphic xmlns:a="http://schemas.openxmlformats.org/drawingml/2006/main">
                        <a:graphicData uri="http://schemas.microsoft.com/office/word/2010/wordprocessingShape">
                          <wps:wsp>
                            <wps:cNvSpPr txBox="1"/>
                            <wps:spPr>
                              <a:xfrm>
                                <a:off x="0" y="0"/>
                                <a:ext cx="92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79070" cy="175260"/>
                      <wp:effectExtent l="0" t="0" r="0" b="0"/>
                      <wp:wrapNone/>
                      <wp:docPr id="210" name="Frame210"/>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71195" cy="175260"/>
                      <wp:effectExtent l="0" t="0" r="0" b="0"/>
                      <wp:wrapNone/>
                      <wp:docPr id="211" name="Frame211"/>
                      <a:graphic xmlns:a="http://schemas.openxmlformats.org/drawingml/2006/main">
                        <a:graphicData uri="http://schemas.microsoft.com/office/word/2010/wordprocessingShape">
                          <wps:wsp>
                            <wps:cNvSpPr txBox="1"/>
                            <wps:spPr>
                              <a:xfrm>
                                <a:off x="0" y="0"/>
                                <a:ext cx="671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66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 </w:t>
            </w:r>
          </w:p>
        </w:tc>
      </w:tr>
      <w:tr>
        <w:trPr/>
        <w:tc>
          <w:tcPr>
            <w:tcW w:w="27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45" w:type="dxa"/>
            <w:tcBorders/>
            <w:vAlign w:val="center"/>
          </w:tcPr>
          <w:p>
            <w:pPr>
              <w:pStyle w:val="TableContents"/>
              <w:bidi w:val="0"/>
              <w:spacing w:before="0" w:after="0"/>
              <w:ind w:left="0" w:right="0" w:hanging="0"/>
              <w:jc w:val="center"/>
              <w:rPr/>
            </w:pPr>
            <w:r>
              <w:rPr/>
              <w:t>​</w:t>
            </w:r>
          </w:p>
        </w:tc>
        <w:tc>
          <w:tcPr>
            <w:tcW w:w="13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746"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7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669"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273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Cloud-based customer solutions</w:t>
            </w:r>
          </w:p>
        </w:tc>
        <w:tc>
          <w:tcPr>
            <w:tcW w:w="346" w:type="dxa"/>
            <w:tcBorders/>
            <w:shd w:fill="CCEEFF" w:val="clear"/>
            <w:vAlign w:val="center"/>
          </w:tcPr>
          <w:p>
            <w:pPr>
              <w:pStyle w:val="TableContents"/>
              <w:bidi w:val="0"/>
              <w:spacing w:before="0" w:after="0"/>
              <w:ind w:left="0" w:right="0" w:hanging="0"/>
              <w:jc w:val="left"/>
              <w:rPr/>
            </w:pPr>
            <w:r>
              <w:rPr/>
              <w:t>  ​ ​ ​</w:t>
            </w:r>
          </w:p>
        </w:tc>
        <w:tc>
          <w:tcPr>
            <w:tcW w:w="2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34,441</w:t>
            </w:r>
          </w:p>
        </w:tc>
        <w:tc>
          <w:tcPr>
            <w:tcW w:w="145"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31,014</w:t>
            </w:r>
          </w:p>
        </w:tc>
      </w:tr>
      <w:tr>
        <w:trPr/>
        <w:tc>
          <w:tcPr>
            <w:tcW w:w="27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Internal systems and tools</w:t>
            </w:r>
          </w:p>
        </w:tc>
        <w:tc>
          <w:tcPr>
            <w:tcW w:w="346" w:type="dxa"/>
            <w:tcBorders/>
            <w:vAlign w:val="center"/>
          </w:tcPr>
          <w:p>
            <w:pPr>
              <w:pStyle w:val="TableContents"/>
              <w:bidi w:val="0"/>
              <w:spacing w:before="0" w:after="0"/>
              <w:ind w:left="0" w:right="0" w:hanging="0"/>
              <w:jc w:val="left"/>
              <w:rPr/>
            </w:pPr>
            <w:r>
              <w:rPr/>
              <w:t>​</w:t>
            </w:r>
          </w:p>
        </w:tc>
        <w:tc>
          <w:tcPr>
            <w:tcW w:w="28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11,767</w:t>
            </w:r>
          </w:p>
        </w:tc>
        <w:tc>
          <w:tcPr>
            <w:tcW w:w="145" w:type="dxa"/>
            <w:tcBorders/>
            <w:vAlign w:val="center"/>
          </w:tcPr>
          <w:p>
            <w:pPr>
              <w:pStyle w:val="TableContents"/>
              <w:bidi w:val="0"/>
              <w:spacing w:before="0" w:after="0"/>
              <w:ind w:left="0" w:right="0" w:hanging="0"/>
              <w:jc w:val="left"/>
              <w:rPr/>
            </w:pPr>
            <w:r>
              <w:rPr/>
              <w:t>​</w:t>
            </w:r>
          </w:p>
        </w:tc>
        <w:tc>
          <w:tcPr>
            <w:tcW w:w="28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8,476</w:t>
            </w:r>
          </w:p>
        </w:tc>
      </w:tr>
      <w:tr>
        <w:trPr/>
        <w:tc>
          <w:tcPr>
            <w:tcW w:w="273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8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46,208</w:t>
            </w:r>
          </w:p>
        </w:tc>
        <w:tc>
          <w:tcPr>
            <w:tcW w:w="145" w:type="dxa"/>
            <w:tcBorders/>
            <w:shd w:fill="CCEEFF" w:val="clear"/>
            <w:vAlign w:val="center"/>
          </w:tcPr>
          <w:p>
            <w:pPr>
              <w:pStyle w:val="TableContents"/>
              <w:bidi w:val="0"/>
              <w:spacing w:before="0" w:after="0"/>
              <w:ind w:left="0" w:right="0" w:hanging="0"/>
              <w:jc w:val="left"/>
              <w:rPr/>
            </w:pPr>
            <w:r>
              <w:rPr/>
              <w:t>​</w:t>
            </w:r>
          </w:p>
        </w:tc>
        <w:tc>
          <w:tcPr>
            <w:tcW w:w="28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7"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39,490</w:t>
            </w:r>
          </w:p>
        </w:tc>
      </w:tr>
    </w:tbl>
    <w:p>
      <w:pPr>
        <w:pStyle w:val="TextBody"/>
        <w:bidi w:val="0"/>
        <w:spacing w:before="0" w:after="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In-process internal-use software developed is not depreciated until it is available for its intended use. Depreciation expense for internal-use software developed for cloud-based customer solutions for the three months ended June 30, 2026 and 2025 was $15,899 and $11,206, respectively, and $30,102 and $21,269, for the six months ended June 30, 2026 and 2025, respectively, and is included in cost of revenues, software subscriptions in the condensed consolidated statements of comprehensive income (loss).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Depreciation expense for internal-use software developed for internal systems and tools for the three months ended June 30, 2026 and 2025 was $5,508 and $5,101, respectively and $10,762 and $9,906 for the six months ended June 30, 2026 and 2025, respectively, and is included in depreciation and amortization in the condensed consolidated statements of comprehensive income (loss).</w:t>
      </w:r>
    </w:p>
    <w:p>
      <w:pPr>
        <w:pStyle w:val="TextBody"/>
        <w:bidi w:val="0"/>
        <w:spacing w:before="0" w:after="240"/>
        <w:ind w:left="0" w:right="0" w:firstLine="720"/>
        <w:jc w:val="both"/>
        <w:rPr>
          <w:color w:val="1F497D"/>
        </w:rPr>
      </w:pPr>
      <w:r>
        <w:rPr>
          <w:color w:val="1F497D"/>
        </w:rPr>
        <w:t>​</w:t>
      </w:r>
    </w:p>
    <w:p>
      <w:pPr>
        <w:pStyle w:val="TextBody"/>
        <w:bidi w:val="0"/>
        <w:spacing w:before="0" w:after="240"/>
        <w:ind w:left="0" w:right="0" w:hanging="0"/>
        <w:jc w:val="left"/>
        <w:rPr>
          <w:rFonts w:ascii="Times New Roman;Times;serif" w:hAnsi="Times New Roman;Times;serif"/>
          <w:b/>
          <w:sz w:val="20"/>
        </w:rPr>
      </w:pPr>
      <w:bookmarkStart w:id="1707" w:name="Tc_jLy1vFNVQUe9I5sfxIhdzQ_8_4"/>
      <w:bookmarkStart w:id="1708" w:name="Tc_QEDA8ftl2EOUKYz3rkwurg_8_1"/>
      <w:bookmarkStart w:id="1709" w:name="Tc_Dy07BZW7OEe2D1N7y0B0-g_8_0"/>
      <w:bookmarkStart w:id="1710" w:name="Tc_KDCNW_TvD0aKBOzYtRrxxw_7_0"/>
      <w:bookmarkStart w:id="1711" w:name="Tc_vpwt8_TG-Ei_GRUEre_t2A_6_0"/>
      <w:bookmarkStart w:id="1712" w:name="Tc_qAAJiEq1G0eVb_OWmJiJ5Q_5_0"/>
      <w:bookmarkStart w:id="1713" w:name="Tc_X-DO8yvOfkGRUrTGUz1YDA_4_4"/>
      <w:bookmarkStart w:id="1714" w:name="Tc_OmFStRYo9UO6NV4r1dtyWQ_4_1"/>
      <w:bookmarkStart w:id="1715" w:name="Tc_ezd4O4Z_N0iF8rnxf18Fgg_4_0"/>
      <w:bookmarkStart w:id="1716" w:name="Tc_wO0xAzFW5k-lg9ileWuMdw_3_1"/>
      <w:bookmarkStart w:id="1717" w:name="Tc_60apysmEfESQEr-xfTnqzQ_2_4"/>
      <w:bookmarkStart w:id="1718" w:name="Tc_jLFNHM6BXEWwpsUY6jdv3Q_2_1"/>
      <w:bookmarkStart w:id="1719" w:name="Tc_ls26QZ5Aq0KGaaBHCsNzHg_1_4"/>
      <w:bookmarkStart w:id="1720" w:name="Tc_y0AQ1yAltUqVW67bek7FYQ_1_1"/>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r>
        <w:rPr>
          <w:rFonts w:ascii="Times New Roman;Times;serif" w:hAnsi="Times New Roman;Times;serif"/>
          <w:b/>
          <w:sz w:val="20"/>
        </w:rPr>
        <w:t xml:space="preserve">6.    CAPITALIZED SOFTWARE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Capitalized software includes acquired software and direct labor and related expenses for software developed for sale for new products and enhancements to existing products.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major components of capitalized software are as follows:</w:t>
      </w:r>
    </w:p>
    <w:p>
      <w:pPr>
        <w:pStyle w:val="TextBody"/>
        <w:bidi w:val="0"/>
        <w:spacing w:before="0" w:after="0"/>
        <w:ind w:left="0" w:right="0" w:hanging="0"/>
        <w:jc w:val="left"/>
        <w:rPr/>
      </w:pPr>
      <w:r>
        <w:rPr/>
        <w:t>​</w:t>
      </w:r>
    </w:p>
    <w:tbl>
      <w:tblPr>
        <w:tblW w:w="7385" w:type="dxa"/>
        <w:jc w:val="left"/>
        <w:tblInd w:w="0" w:type="dxa"/>
        <w:tblLayout w:type="fixed"/>
        <w:tblCellMar>
          <w:top w:w="0" w:type="dxa"/>
          <w:left w:w="0" w:type="dxa"/>
          <w:bottom w:w="0" w:type="dxa"/>
          <w:right w:w="0" w:type="dxa"/>
        </w:tblCellMar>
      </w:tblPr>
      <w:tblGrid>
        <w:gridCol w:w="4486"/>
        <w:gridCol w:w="225"/>
        <w:gridCol w:w="960"/>
        <w:gridCol w:w="109"/>
        <w:gridCol w:w="292"/>
        <w:gridCol w:w="1313"/>
      </w:tblGrid>
      <w:tr>
        <w:trPr/>
        <w:tc>
          <w:tcPr>
            <w:tcW w:w="4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848610" cy="175260"/>
                      <wp:effectExtent l="0" t="0" r="0" b="0"/>
                      <wp:wrapNone/>
                      <wp:docPr id="212" name="Frame212"/>
                      <a:graphic xmlns:a="http://schemas.openxmlformats.org/drawingml/2006/main">
                        <a:graphicData uri="http://schemas.microsoft.com/office/word/2010/wordprocessingShape">
                          <wps:wsp>
                            <wps:cNvSpPr txBox="1"/>
                            <wps:spPr>
                              <a:xfrm>
                                <a:off x="0" y="0"/>
                                <a:ext cx="2848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42875" cy="175260"/>
                      <wp:effectExtent l="0" t="0" r="0" b="0"/>
                      <wp:wrapNone/>
                      <wp:docPr id="213" name="Frame213"/>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09600" cy="175260"/>
                      <wp:effectExtent l="0" t="0" r="0" b="0"/>
                      <wp:wrapNone/>
                      <wp:docPr id="214" name="Frame214"/>
                      <a:graphic xmlns:a="http://schemas.openxmlformats.org/drawingml/2006/main">
                        <a:graphicData uri="http://schemas.microsoft.com/office/word/2010/wordprocessingShape">
                          <wps:wsp>
                            <wps:cNvSpPr txBox="1"/>
                            <wps:spPr>
                              <a:xfrm>
                                <a:off x="0" y="0"/>
                                <a:ext cx="6096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9215" cy="175260"/>
                      <wp:effectExtent l="0" t="0" r="0" b="0"/>
                      <wp:wrapNone/>
                      <wp:docPr id="215" name="Frame2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85420" cy="175260"/>
                      <wp:effectExtent l="0" t="0" r="0" b="0"/>
                      <wp:wrapNone/>
                      <wp:docPr id="216" name="Frame216"/>
                      <a:graphic xmlns:a="http://schemas.openxmlformats.org/drawingml/2006/main">
                        <a:graphicData uri="http://schemas.microsoft.com/office/word/2010/wordprocessingShape">
                          <wps:wsp>
                            <wps:cNvSpPr txBox="1"/>
                            <wps:spPr>
                              <a:xfrm>
                                <a:off x="0" y="0"/>
                                <a:ext cx="1854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833755" cy="175260"/>
                      <wp:effectExtent l="0" t="0" r="0" b="0"/>
                      <wp:wrapNone/>
                      <wp:docPr id="217" name="Frame217"/>
                      <a:graphic xmlns:a="http://schemas.openxmlformats.org/drawingml/2006/main">
                        <a:graphicData uri="http://schemas.microsoft.com/office/word/2010/wordprocessingShape">
                          <wps:wsp>
                            <wps:cNvSpPr txBox="1"/>
                            <wps:spPr>
                              <a:xfrm>
                                <a:off x="0" y="0"/>
                                <a:ext cx="833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486"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June 30, </w:t>
            </w:r>
          </w:p>
        </w:tc>
        <w:tc>
          <w:tcPr>
            <w:tcW w:w="109" w:type="dxa"/>
            <w:tcBorders/>
            <w:vAlign w:val="center"/>
          </w:tcPr>
          <w:p>
            <w:pPr>
              <w:pStyle w:val="TableContents"/>
              <w:bidi w:val="0"/>
              <w:spacing w:before="0" w:after="1"/>
              <w:ind w:left="0" w:right="0" w:hanging="0"/>
              <w:jc w:val="left"/>
              <w:rPr/>
            </w:pPr>
            <w:r>
              <w:rPr/>
              <w:t>​</w:t>
            </w:r>
          </w:p>
        </w:tc>
        <w:tc>
          <w:tcPr>
            <w:tcW w:w="160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As of December 31, </w:t>
            </w:r>
          </w:p>
        </w:tc>
      </w:tr>
      <w:tr>
        <w:trPr/>
        <w:tc>
          <w:tcPr>
            <w:tcW w:w="4486" w:type="dxa"/>
            <w:tcBorders/>
            <w:vAlign w:val="center"/>
          </w:tcPr>
          <w:p>
            <w:pPr>
              <w:pStyle w:val="TableContents"/>
              <w:bidi w:val="0"/>
              <w:spacing w:before="0" w:after="1"/>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1"/>
              <w:ind w:left="0" w:right="0" w:hanging="0"/>
              <w:jc w:val="center"/>
              <w:rPr/>
            </w:pPr>
            <w:r>
              <w:rPr/>
              <w:t>​</w:t>
            </w:r>
          </w:p>
        </w:tc>
        <w:tc>
          <w:tcPr>
            <w:tcW w:w="16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486"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09" w:type="dxa"/>
            <w:tcBorders/>
            <w:vAlign w:val="center"/>
          </w:tcPr>
          <w:p>
            <w:pPr>
              <w:pStyle w:val="TableContents"/>
              <w:bidi w:val="0"/>
              <w:spacing w:before="0" w:after="1"/>
              <w:ind w:left="0" w:right="0" w:hanging="0"/>
              <w:jc w:val="center"/>
              <w:rPr/>
            </w:pPr>
            <w:r>
              <w:rPr/>
              <w:t>​</w:t>
            </w:r>
          </w:p>
        </w:tc>
        <w:tc>
          <w:tcPr>
            <w:tcW w:w="292" w:type="dxa"/>
            <w:tcBorders/>
            <w:vAlign w:val="center"/>
          </w:tcPr>
          <w:p>
            <w:pPr>
              <w:pStyle w:val="TableContents"/>
              <w:bidi w:val="0"/>
              <w:spacing w:before="0" w:after="1"/>
              <w:ind w:left="0" w:right="0" w:hanging="0"/>
              <w:jc w:val="center"/>
              <w:rPr/>
            </w:pPr>
            <w:r>
              <w:rPr/>
              <w:t>​</w:t>
            </w:r>
          </w:p>
        </w:tc>
        <w:tc>
          <w:tcPr>
            <w:tcW w:w="1313" w:type="dxa"/>
            <w:tcBorders/>
            <w:vAlign w:val="center"/>
          </w:tcPr>
          <w:p>
            <w:pPr>
              <w:pStyle w:val="TableContents"/>
              <w:bidi w:val="0"/>
              <w:spacing w:before="0" w:after="1"/>
              <w:ind w:left="0" w:right="0" w:hanging="0"/>
              <w:jc w:val="center"/>
              <w:rPr/>
            </w:pPr>
            <w:r>
              <w:rPr/>
              <w:t>​</w:t>
            </w:r>
          </w:p>
        </w:tc>
      </w:tr>
      <w:tr>
        <w:trPr/>
        <w:tc>
          <w:tcPr>
            <w:tcW w:w="448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Capitalized software</w:t>
            </w:r>
          </w:p>
        </w:tc>
        <w:tc>
          <w:tcPr>
            <w:tcW w:w="2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171,564</w:t>
            </w:r>
          </w:p>
        </w:tc>
        <w:tc>
          <w:tcPr>
            <w:tcW w:w="109" w:type="dxa"/>
            <w:tcBorders/>
            <w:shd w:fill="CCEEFF" w:val="clear"/>
            <w:vAlign w:val="center"/>
          </w:tcPr>
          <w:p>
            <w:pPr>
              <w:pStyle w:val="TableContents"/>
              <w:bidi w:val="0"/>
              <w:spacing w:before="0" w:after="1"/>
              <w:ind w:left="0" w:right="0" w:hanging="0"/>
              <w:jc w:val="left"/>
              <w:rPr/>
            </w:pPr>
            <w:r>
              <w:rPr/>
              <w:t>​</w:t>
            </w:r>
          </w:p>
        </w:tc>
        <w:tc>
          <w:tcPr>
            <w:tcW w:w="29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1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161,402</w:t>
            </w:r>
          </w:p>
        </w:tc>
      </w:tr>
      <w:tr>
        <w:trPr/>
        <w:tc>
          <w:tcPr>
            <w:tcW w:w="448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Less accumulated amortization</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6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(138,747)</w:t>
            </w:r>
          </w:p>
        </w:tc>
        <w:tc>
          <w:tcPr>
            <w:tcW w:w="109" w:type="dxa"/>
            <w:tcBorders/>
            <w:vAlign w:val="center"/>
          </w:tcPr>
          <w:p>
            <w:pPr>
              <w:pStyle w:val="TableContents"/>
              <w:bidi w:val="0"/>
              <w:spacing w:before="0" w:after="1"/>
              <w:ind w:left="0" w:right="0" w:hanging="0"/>
              <w:jc w:val="left"/>
              <w:rPr/>
            </w:pPr>
            <w:r>
              <w:rPr/>
              <w:t>​</w:t>
            </w:r>
          </w:p>
        </w:tc>
        <w:tc>
          <w:tcPr>
            <w:tcW w:w="29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31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(126,890)</w:t>
            </w:r>
          </w:p>
        </w:tc>
      </w:tr>
      <w:tr>
        <w:trPr/>
        <w:tc>
          <w:tcPr>
            <w:tcW w:w="44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Capitalized software, net of accumulated depreciation</w:t>
            </w:r>
          </w:p>
        </w:tc>
        <w:tc>
          <w:tcPr>
            <w:tcW w:w="225" w:type="dxa"/>
            <w:tcBorders/>
            <w:shd w:fill="CCEEFF" w:val="clear"/>
            <w:vAlign w:val="center"/>
          </w:tcPr>
          <w:p>
            <w:pPr>
              <w:pStyle w:val="TableContents"/>
              <w:bidi w:val="0"/>
              <w:spacing w:before="0" w:after="1"/>
              <w:ind w:left="0" w:right="0" w:hanging="0"/>
              <w:jc w:val="left"/>
              <w:rPr/>
            </w:pPr>
            <w:r>
              <w:rPr/>
              <w:t> </w:t>
            </w:r>
          </w:p>
        </w:tc>
        <w:tc>
          <w:tcPr>
            <w:tcW w:w="96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32,817</w:t>
            </w:r>
          </w:p>
        </w:tc>
        <w:tc>
          <w:tcPr>
            <w:tcW w:w="109" w:type="dxa"/>
            <w:tcBorders/>
            <w:shd w:fill="CCEEFF" w:val="clear"/>
            <w:vAlign w:val="center"/>
          </w:tcPr>
          <w:p>
            <w:pPr>
              <w:pStyle w:val="TableContents"/>
              <w:bidi w:val="0"/>
              <w:spacing w:before="0" w:after="1"/>
              <w:ind w:left="0" w:right="0" w:hanging="0"/>
              <w:jc w:val="left"/>
              <w:rPr/>
            </w:pPr>
            <w:r>
              <w:rPr/>
              <w:t>​</w:t>
            </w:r>
          </w:p>
        </w:tc>
        <w:tc>
          <w:tcPr>
            <w:tcW w:w="292" w:type="dxa"/>
            <w:tcBorders/>
            <w:shd w:fill="CCEEFF" w:val="clear"/>
            <w:vAlign w:val="center"/>
          </w:tcPr>
          <w:p>
            <w:pPr>
              <w:pStyle w:val="TableContents"/>
              <w:bidi w:val="0"/>
              <w:spacing w:before="0" w:after="1"/>
              <w:ind w:left="0" w:right="0" w:hanging="0"/>
              <w:jc w:val="left"/>
              <w:rPr/>
            </w:pPr>
            <w:r>
              <w:rPr/>
              <w:t> </w:t>
            </w:r>
          </w:p>
        </w:tc>
        <w:tc>
          <w:tcPr>
            <w:tcW w:w="131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34,512</w:t>
            </w:r>
          </w:p>
        </w:tc>
      </w:tr>
      <w:tr>
        <w:trPr/>
        <w:tc>
          <w:tcPr>
            <w:tcW w:w="448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In-process capitalized software</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6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1,445</w:t>
            </w:r>
          </w:p>
        </w:tc>
        <w:tc>
          <w:tcPr>
            <w:tcW w:w="109" w:type="dxa"/>
            <w:tcBorders/>
            <w:vAlign w:val="center"/>
          </w:tcPr>
          <w:p>
            <w:pPr>
              <w:pStyle w:val="TableContents"/>
              <w:bidi w:val="0"/>
              <w:spacing w:before="0" w:after="1"/>
              <w:ind w:left="0" w:right="0" w:hanging="0"/>
              <w:jc w:val="left"/>
              <w:rPr/>
            </w:pPr>
            <w:r>
              <w:rPr/>
              <w:t>​</w:t>
            </w:r>
          </w:p>
        </w:tc>
        <w:tc>
          <w:tcPr>
            <w:tcW w:w="29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31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968</w:t>
            </w:r>
          </w:p>
        </w:tc>
      </w:tr>
      <w:tr>
        <w:trPr/>
        <w:tc>
          <w:tcPr>
            <w:tcW w:w="44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Capitalized software, net</w:t>
            </w:r>
          </w:p>
        </w:tc>
        <w:tc>
          <w:tcPr>
            <w:tcW w:w="22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34,262</w:t>
            </w:r>
          </w:p>
        </w:tc>
        <w:tc>
          <w:tcPr>
            <w:tcW w:w="109" w:type="dxa"/>
            <w:tcBorders/>
            <w:shd w:fill="CCEEFF" w:val="clear"/>
            <w:vAlign w:val="center"/>
          </w:tcPr>
          <w:p>
            <w:pPr>
              <w:pStyle w:val="TableContents"/>
              <w:bidi w:val="0"/>
              <w:spacing w:before="0" w:after="1"/>
              <w:ind w:left="0" w:right="0" w:hanging="0"/>
              <w:jc w:val="left"/>
              <w:rPr/>
            </w:pPr>
            <w:r>
              <w:rPr/>
              <w:t>​</w:t>
            </w:r>
          </w:p>
        </w:tc>
        <w:tc>
          <w:tcPr>
            <w:tcW w:w="29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13"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35,480</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Software development costs capitalized for the three months ended June 30, 2026 and 2025, were $4,993 and $4,904, respectively, and $10,648 and $10,565 for the six months ended June 30, 2026 and 2025, respectively.</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Capitalized software amortization expense, including amortization of acquired technology, was $5,984 and $5,464 for the three months ended June 30, 2026 and 2025, respectively, and $11,866 and $11,256 for the six months ended June 30, 2026 and 2025, respectively, and is included in cost of revenues, software subscriptions in the condensed consolidated statements of comprehensive income (loss).</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766" w:type="dxa"/>
        <w:jc w:val="left"/>
        <w:tblInd w:w="0" w:type="dxa"/>
        <w:tblLayout w:type="fixed"/>
        <w:tblCellMar>
          <w:top w:w="0" w:type="dxa"/>
          <w:left w:w="0" w:type="dxa"/>
          <w:bottom w:w="0" w:type="dxa"/>
          <w:right w:w="0" w:type="dxa"/>
        </w:tblCellMar>
      </w:tblPr>
      <w:tblGrid>
        <w:gridCol w:w="6766"/>
      </w:tblGrid>
      <w:tr>
        <w:trPr/>
        <w:tc>
          <w:tcPr>
            <w:tcW w:w="6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721" w:name="Tc_Ir7YRDlDgkGCgG1fvuYKjw_8_0"/>
      <w:bookmarkStart w:id="1722" w:name="Tc_wuf0jR1gs0-cYmUckt_-Lg_7_6"/>
      <w:bookmarkStart w:id="1723" w:name="Tc_9v0TLi-LXku6WAJnGVTudA_7_3"/>
      <w:bookmarkStart w:id="1724" w:name="Tc__bzHuqzqOUeCV9NhffVODQ_7_0"/>
      <w:bookmarkStart w:id="1725" w:name="Tc_KaLkBqmkCEyUsDnWN0Vaxw_6_6"/>
      <w:bookmarkStart w:id="1726" w:name="Tc_-tCJpHoJyUGoaLXfrUIEKw_6_3"/>
      <w:bookmarkStart w:id="1727" w:name="Tc__HAWoMwUBkiePqR2joSHXg_6_0"/>
      <w:bookmarkStart w:id="1728" w:name="Tc_giQY9UY3rE-9CtID47S4bQ_3_0"/>
      <w:bookmarkStart w:id="1729" w:name="Tc_9gZm__CSGUKdCWgJsON4yQ_2_6"/>
      <w:bookmarkStart w:id="1730" w:name="Tc_0atlQ5G3-UmXqSNbBI9KnA_2_3"/>
      <w:bookmarkStart w:id="1731" w:name="Tc_7xdkZYNAC0qQ6pphKmmsJA_2_0"/>
      <w:bookmarkStart w:id="1732" w:name="Tc_dJO2fC-qsUK5tKaJbZ5jjw_1_6"/>
      <w:bookmarkStart w:id="1733" w:name="Tc_jCq8tvcGcE6-IdaOoV4L3A_1_3"/>
      <w:bookmarkStart w:id="1734" w:name="Tc_nOxQcM1QL0eum7h5Tu004Q_1_0"/>
      <w:bookmarkStart w:id="1735" w:name="Tc_tx_fLgCvV0Clnh0c1tx2Mg_8_6"/>
      <w:bookmarkStart w:id="1736" w:name="Tc_RzWk8mtYEkKVD7fNy6Ppqw_8_3"/>
      <w:bookmarkStart w:id="1737" w:name="Tc_azQ31B_Fc06QQhfoWF4LDw_8_0"/>
      <w:bookmarkStart w:id="1738" w:name="Tc_zVG2OURGYUyIlJLluDaDvg_7_0"/>
      <w:bookmarkStart w:id="1739" w:name="Tc_GXyaEj9hxEaiaWiS6UVJog_6_6"/>
      <w:bookmarkStart w:id="1740" w:name="Tc_pA-vyzjVYEKcqNJn5SVONA_6_3"/>
      <w:bookmarkStart w:id="1741" w:name="Tc_OTYjtQW1GkK4_asK7WyvUg_6_0"/>
      <w:bookmarkStart w:id="1742" w:name="Tc_RFQNvWTn9Ei9OohSLq8cEw_4_0"/>
      <w:bookmarkStart w:id="1743" w:name="Tc_IV4aanG85k2ucs2evUIiRA_3_4"/>
      <w:bookmarkStart w:id="1744" w:name="Tc_y81hzc3MsESwZpXrj1OOcg_2_6"/>
      <w:bookmarkStart w:id="1745" w:name="Tc_7euAAnX5wU6d8qPMwie5Bg_2_3"/>
      <w:bookmarkStart w:id="1746" w:name="Tc_WUUGDzL4SUW06JKiNW85SQ_1_6"/>
      <w:bookmarkStart w:id="1747" w:name="Tc__tOFPtpHYkK9gg6w2_W1mA_1_3"/>
      <w:bookmarkStart w:id="1748" w:name="Tc_Axewg_8qX0GGwGZKvx6FJg_7_0"/>
      <w:bookmarkStart w:id="1749" w:name="Tc_U6_wTSftDkWS73x0J_IVnw_6_5"/>
      <w:bookmarkStart w:id="1750" w:name="Tc_BQzORJnT3Em6_oqAij-U_w_6_2"/>
      <w:bookmarkStart w:id="1751" w:name="Tc_EHmgIjzIr02l38Yj2_qJPw_6_0"/>
      <w:bookmarkStart w:id="1752" w:name="Tc_8EQjLayorEeFSg2rEK6nkQ_5_0"/>
      <w:bookmarkStart w:id="1753" w:name="Tc_AHuMzhgWcUagqxKcatL_uQ_4_5"/>
      <w:bookmarkStart w:id="1754" w:name="Tc_54i_rt-oZEuWyUlNRwfYMw_4_2"/>
      <w:bookmarkStart w:id="1755" w:name="Tc_pNREr_JvMkuY2-G91R5ZfQ_4_0"/>
      <w:bookmarkStart w:id="1756" w:name="Tc_EMIHOIRmsEy5GE85XpU_mA_3_3"/>
      <w:bookmarkStart w:id="1757" w:name="Tc_igzMGWgdjk-gT0-PjpRICw_2_5"/>
      <w:bookmarkStart w:id="1758" w:name="Tc_H4OdasARY0GyVaWsnO4IWQ_2_2"/>
      <w:bookmarkStart w:id="1759" w:name="Tc_rNPm_WhjDUWBq24dFMytSA_1_5"/>
      <w:bookmarkStart w:id="1760" w:name="Tc_Fn2tuKMkUkGXcMIte0Z9Dw_1_2"/>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r>
        <w:rPr>
          <w:rFonts w:ascii="Times New Roman;Times;serif" w:hAnsi="Times New Roman;Times;serif"/>
          <w:b/>
          <w:sz w:val="20"/>
        </w:rPr>
        <w:t xml:space="preserve">7.    GOODWILL AND OTHER INTANGIBLE ASSETS </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 xml:space="preserve">Goodwill and other intangible assets are as follows for the periods presented: </w:t>
      </w:r>
    </w:p>
    <w:p>
      <w:pPr>
        <w:pStyle w:val="TextBody"/>
        <w:bidi w:val="0"/>
        <w:spacing w:before="0" w:after="0"/>
        <w:ind w:left="360" w:right="0" w:hanging="0"/>
        <w:jc w:val="both"/>
        <w:rPr/>
      </w:pPr>
      <w:r>
        <w:rPr/>
        <w:t>​</w:t>
      </w:r>
    </w:p>
    <w:tbl>
      <w:tblPr>
        <w:tblW w:w="8922" w:type="dxa"/>
        <w:jc w:val="left"/>
        <w:tblInd w:w="0" w:type="dxa"/>
        <w:tblLayout w:type="fixed"/>
        <w:tblCellMar>
          <w:top w:w="0" w:type="dxa"/>
          <w:left w:w="0" w:type="dxa"/>
          <w:bottom w:w="0" w:type="dxa"/>
          <w:right w:w="0" w:type="dxa"/>
        </w:tblCellMar>
      </w:tblPr>
      <w:tblGrid>
        <w:gridCol w:w="3911"/>
        <w:gridCol w:w="184"/>
        <w:gridCol w:w="365"/>
        <w:gridCol w:w="1639"/>
        <w:gridCol w:w="184"/>
        <w:gridCol w:w="536"/>
        <w:gridCol w:w="2103"/>
      </w:tblGrid>
      <w:tr>
        <w:trPr/>
        <w:tc>
          <w:tcPr>
            <w:tcW w:w="3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483485" cy="175260"/>
                      <wp:effectExtent l="0" t="0" r="0" b="0"/>
                      <wp:wrapNone/>
                      <wp:docPr id="218" name="Frame218"/>
                      <a:graphic xmlns:a="http://schemas.openxmlformats.org/drawingml/2006/main">
                        <a:graphicData uri="http://schemas.microsoft.com/office/word/2010/wordprocessingShape">
                          <wps:wsp>
                            <wps:cNvSpPr txBox="1"/>
                            <wps:spPr>
                              <a:xfrm>
                                <a:off x="0" y="0"/>
                                <a:ext cx="2483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16840" cy="175260"/>
                      <wp:effectExtent l="0" t="0" r="0" b="0"/>
                      <wp:wrapNone/>
                      <wp:docPr id="219" name="Frame219"/>
                      <a:graphic xmlns:a="http://schemas.openxmlformats.org/drawingml/2006/main">
                        <a:graphicData uri="http://schemas.microsoft.com/office/word/2010/wordprocessingShape">
                          <wps:wsp>
                            <wps:cNvSpPr txBox="1"/>
                            <wps:spPr>
                              <a:xfrm>
                                <a:off x="0" y="0"/>
                                <a:ext cx="116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31775" cy="175260"/>
                      <wp:effectExtent l="0" t="0" r="0" b="0"/>
                      <wp:wrapNone/>
                      <wp:docPr id="220" name="Frame220"/>
                      <a:graphic xmlns:a="http://schemas.openxmlformats.org/drawingml/2006/main">
                        <a:graphicData uri="http://schemas.microsoft.com/office/word/2010/wordprocessingShape">
                          <wps:wsp>
                            <wps:cNvSpPr txBox="1"/>
                            <wps:spPr>
                              <a:xfrm>
                                <a:off x="0" y="0"/>
                                <a:ext cx="231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040765" cy="175260"/>
                      <wp:effectExtent l="0" t="0" r="0" b="0"/>
                      <wp:wrapNone/>
                      <wp:docPr id="221" name="Frame221"/>
                      <a:graphic xmlns:a="http://schemas.openxmlformats.org/drawingml/2006/main">
                        <a:graphicData uri="http://schemas.microsoft.com/office/word/2010/wordprocessingShape">
                          <wps:wsp>
                            <wps:cNvSpPr txBox="1"/>
                            <wps:spPr>
                              <a:xfrm>
                                <a:off x="0" y="0"/>
                                <a:ext cx="1040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16840" cy="175260"/>
                      <wp:effectExtent l="0" t="0" r="0" b="0"/>
                      <wp:wrapNone/>
                      <wp:docPr id="222" name="Frame222"/>
                      <a:graphic xmlns:a="http://schemas.openxmlformats.org/drawingml/2006/main">
                        <a:graphicData uri="http://schemas.microsoft.com/office/word/2010/wordprocessingShape">
                          <wps:wsp>
                            <wps:cNvSpPr txBox="1"/>
                            <wps:spPr>
                              <a:xfrm>
                                <a:off x="0" y="0"/>
                                <a:ext cx="116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340360" cy="175260"/>
                      <wp:effectExtent l="0" t="0" r="0" b="0"/>
                      <wp:wrapNone/>
                      <wp:docPr id="223" name="Frame223"/>
                      <a:graphic xmlns:a="http://schemas.openxmlformats.org/drawingml/2006/main">
                        <a:graphicData uri="http://schemas.microsoft.com/office/word/2010/wordprocessingShape">
                          <wps:wsp>
                            <wps:cNvSpPr txBox="1"/>
                            <wps:spPr>
                              <a:xfrm>
                                <a:off x="0" y="0"/>
                                <a:ext cx="340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335405" cy="175260"/>
                      <wp:effectExtent l="0" t="0" r="0" b="0"/>
                      <wp:wrapNone/>
                      <wp:docPr id="224" name="Frame224"/>
                      <a:graphic xmlns:a="http://schemas.openxmlformats.org/drawingml/2006/main">
                        <a:graphicData uri="http://schemas.microsoft.com/office/word/2010/wordprocessingShape">
                          <wps:wsp>
                            <wps:cNvSpPr txBox="1"/>
                            <wps:spPr>
                              <a:xfrm>
                                <a:off x="0" y="0"/>
                                <a:ext cx="1335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11" w:type="dxa"/>
            <w:tcBorders/>
            <w:vAlign w:val="center"/>
          </w:tcPr>
          <w:p>
            <w:pPr>
              <w:pStyle w:val="TableContents"/>
              <w:bidi w:val="0"/>
              <w:spacing w:before="0" w:after="0"/>
              <w:ind w:left="0" w:right="0" w:hanging="0"/>
              <w:jc w:val="left"/>
              <w:rPr/>
            </w:pPr>
            <w:r>
              <w:rPr/>
              <w:t>​</w:t>
            </w:r>
          </w:p>
        </w:tc>
        <w:tc>
          <w:tcPr>
            <w:tcW w:w="184" w:type="dxa"/>
            <w:tcBorders/>
            <w:vAlign w:val="center"/>
          </w:tcPr>
          <w:p>
            <w:pPr>
              <w:pStyle w:val="TableContents"/>
              <w:bidi w:val="0"/>
              <w:spacing w:before="0" w:after="0"/>
              <w:ind w:left="0" w:right="0" w:hanging="0"/>
              <w:jc w:val="left"/>
              <w:rPr/>
            </w:pPr>
            <w:r>
              <w:rPr/>
              <w:t>​</w:t>
            </w:r>
          </w:p>
        </w:tc>
        <w:tc>
          <w:tcPr>
            <w:tcW w:w="200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w:t>
            </w:r>
          </w:p>
        </w:tc>
        <w:tc>
          <w:tcPr>
            <w:tcW w:w="184" w:type="dxa"/>
            <w:tcBorders/>
            <w:vAlign w:val="center"/>
          </w:tcPr>
          <w:p>
            <w:pPr>
              <w:pStyle w:val="TableContents"/>
              <w:bidi w:val="0"/>
              <w:spacing w:before="0" w:after="0"/>
              <w:ind w:left="0" w:right="0" w:hanging="0"/>
              <w:jc w:val="center"/>
              <w:rPr/>
            </w:pPr>
            <w:r>
              <w:rPr/>
              <w:t>​</w:t>
            </w:r>
          </w:p>
        </w:tc>
        <w:tc>
          <w:tcPr>
            <w:tcW w:w="263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3911" w:type="dxa"/>
            <w:tcBorders/>
            <w:vAlign w:val="center"/>
          </w:tcPr>
          <w:p>
            <w:pPr>
              <w:pStyle w:val="TableContents"/>
              <w:bidi w:val="0"/>
              <w:spacing w:before="0" w:after="0"/>
              <w:ind w:left="0" w:right="0" w:hanging="0"/>
              <w:jc w:val="left"/>
              <w:rPr/>
            </w:pPr>
            <w:r>
              <w:rPr/>
              <w:t>​</w:t>
            </w:r>
          </w:p>
        </w:tc>
        <w:tc>
          <w:tcPr>
            <w:tcW w:w="184" w:type="dxa"/>
            <w:tcBorders/>
            <w:vAlign w:val="center"/>
          </w:tcPr>
          <w:p>
            <w:pPr>
              <w:pStyle w:val="TableContents"/>
              <w:bidi w:val="0"/>
              <w:spacing w:before="0" w:after="0"/>
              <w:ind w:left="0" w:right="0" w:hanging="0"/>
              <w:jc w:val="left"/>
              <w:rPr/>
            </w:pPr>
            <w:r>
              <w:rPr/>
              <w:t>​</w:t>
            </w:r>
          </w:p>
        </w:tc>
        <w:tc>
          <w:tcPr>
            <w:tcW w:w="2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84" w:type="dxa"/>
            <w:tcBorders/>
            <w:vAlign w:val="center"/>
          </w:tcPr>
          <w:p>
            <w:pPr>
              <w:pStyle w:val="TableContents"/>
              <w:bidi w:val="0"/>
              <w:spacing w:before="0" w:after="0"/>
              <w:ind w:left="0" w:right="0" w:hanging="0"/>
              <w:jc w:val="center"/>
              <w:rPr/>
            </w:pPr>
            <w:r>
              <w:rPr/>
              <w:t>​</w:t>
            </w:r>
          </w:p>
        </w:tc>
        <w:tc>
          <w:tcPr>
            <w:tcW w:w="26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911" w:type="dxa"/>
            <w:tcBorders/>
            <w:vAlign w:val="center"/>
          </w:tcPr>
          <w:p>
            <w:pPr>
              <w:pStyle w:val="TableContents"/>
              <w:bidi w:val="0"/>
              <w:spacing w:before="0" w:after="0"/>
              <w:ind w:left="0" w:right="0" w:hanging="0"/>
              <w:jc w:val="left"/>
              <w:rPr/>
            </w:pPr>
            <w:r>
              <w:rPr/>
              <w:t>​</w:t>
            </w:r>
          </w:p>
        </w:tc>
        <w:tc>
          <w:tcPr>
            <w:tcW w:w="184"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left"/>
              <w:rPr/>
            </w:pPr>
            <w:r>
              <w:rPr/>
              <w:t>​</w:t>
            </w:r>
          </w:p>
        </w:tc>
        <w:tc>
          <w:tcPr>
            <w:tcW w:w="163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84" w:type="dxa"/>
            <w:tcBorders/>
            <w:vAlign w:val="center"/>
          </w:tcPr>
          <w:p>
            <w:pPr>
              <w:pStyle w:val="TableContents"/>
              <w:bidi w:val="0"/>
              <w:spacing w:before="0" w:after="0"/>
              <w:ind w:left="0" w:right="0" w:hanging="0"/>
              <w:jc w:val="center"/>
              <w:rPr/>
            </w:pPr>
            <w:r>
              <w:rPr/>
              <w:t>​</w:t>
            </w:r>
          </w:p>
        </w:tc>
        <w:tc>
          <w:tcPr>
            <w:tcW w:w="536" w:type="dxa"/>
            <w:tcBorders/>
            <w:vAlign w:val="center"/>
          </w:tcPr>
          <w:p>
            <w:pPr>
              <w:pStyle w:val="TableContents"/>
              <w:bidi w:val="0"/>
              <w:spacing w:before="0" w:after="0"/>
              <w:ind w:left="0" w:right="0" w:hanging="0"/>
              <w:jc w:val="left"/>
              <w:rPr/>
            </w:pPr>
            <w:r>
              <w:rPr/>
              <w:t>​</w:t>
            </w:r>
          </w:p>
        </w:tc>
        <w:tc>
          <w:tcPr>
            <w:tcW w:w="2103" w:type="dxa"/>
            <w:tcBorders/>
            <w:vAlign w:val="center"/>
          </w:tcPr>
          <w:p>
            <w:pPr>
              <w:pStyle w:val="TableContents"/>
              <w:bidi w:val="0"/>
              <w:spacing w:before="0" w:after="0"/>
              <w:ind w:left="0" w:right="0" w:hanging="0"/>
              <w:jc w:val="center"/>
              <w:rPr/>
            </w:pPr>
            <w:r>
              <w:rPr/>
              <w:t>​</w:t>
            </w:r>
          </w:p>
        </w:tc>
      </w:tr>
      <w:tr>
        <w:trPr/>
        <w:tc>
          <w:tcPr>
            <w:tcW w:w="391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Goodwill </w:t>
            </w:r>
            <w:r>
              <w:rPr>
                <w:rFonts w:ascii="Times New Roman;Times;serif" w:hAnsi="Times New Roman;Times;serif"/>
                <w:sz w:val="15"/>
              </w:rPr>
              <w:t>(1)</w:t>
            </w:r>
          </w:p>
        </w:tc>
        <w:tc>
          <w:tcPr>
            <w:tcW w:w="184"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400,344</w:t>
            </w:r>
          </w:p>
        </w:tc>
        <w:tc>
          <w:tcPr>
            <w:tcW w:w="184" w:type="dxa"/>
            <w:tcBorders/>
            <w:shd w:fill="CCEEFF" w:val="clear"/>
            <w:vAlign w:val="center"/>
          </w:tcPr>
          <w:p>
            <w:pPr>
              <w:pStyle w:val="TableContents"/>
              <w:bidi w:val="0"/>
              <w:spacing w:before="0" w:after="0"/>
              <w:ind w:left="0" w:right="0" w:hanging="0"/>
              <w:jc w:val="left"/>
              <w:rPr/>
            </w:pPr>
            <w:r>
              <w:rPr/>
              <w:t>​</w:t>
            </w:r>
          </w:p>
        </w:tc>
        <w:tc>
          <w:tcPr>
            <w:tcW w:w="5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392,493</w:t>
            </w:r>
          </w:p>
        </w:tc>
      </w:tr>
      <w:tr>
        <w:trPr/>
        <w:tc>
          <w:tcPr>
            <w:tcW w:w="3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intangible assets, net</w:t>
            </w:r>
          </w:p>
        </w:tc>
        <w:tc>
          <w:tcPr>
            <w:tcW w:w="184" w:type="dxa"/>
            <w:tcBorders/>
            <w:vAlign w:val="center"/>
          </w:tcPr>
          <w:p>
            <w:pPr>
              <w:pStyle w:val="TableContents"/>
              <w:bidi w:val="0"/>
              <w:spacing w:before="0" w:after="0"/>
              <w:ind w:left="0" w:right="0" w:hanging="0"/>
              <w:jc w:val="left"/>
              <w:rPr/>
            </w:pPr>
            <w:r>
              <w:rPr/>
              <w:t>​</w:t>
            </w:r>
          </w:p>
        </w:tc>
        <w:tc>
          <w:tcPr>
            <w:tcW w:w="36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6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2,390</w:t>
            </w:r>
          </w:p>
        </w:tc>
        <w:tc>
          <w:tcPr>
            <w:tcW w:w="184" w:type="dxa"/>
            <w:tcBorders/>
            <w:vAlign w:val="center"/>
          </w:tcPr>
          <w:p>
            <w:pPr>
              <w:pStyle w:val="TableContents"/>
              <w:bidi w:val="0"/>
              <w:spacing w:before="0" w:after="0"/>
              <w:ind w:left="0" w:right="0" w:hanging="0"/>
              <w:jc w:val="left"/>
              <w:rPr/>
            </w:pPr>
            <w:r>
              <w:rPr/>
              <w:t>​</w:t>
            </w:r>
          </w:p>
        </w:tc>
        <w:tc>
          <w:tcPr>
            <w:tcW w:w="53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210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3,513</w:t>
            </w:r>
          </w:p>
        </w:tc>
      </w:tr>
      <w:tr>
        <w:trPr/>
        <w:tc>
          <w:tcPr>
            <w:tcW w:w="3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84" w:type="dxa"/>
            <w:tcBorders/>
            <w:shd w:fill="CCEEFF" w:val="clear"/>
            <w:vAlign w:val="center"/>
          </w:tcPr>
          <w:p>
            <w:pPr>
              <w:pStyle w:val="TableContents"/>
              <w:bidi w:val="0"/>
              <w:spacing w:before="0" w:after="0"/>
              <w:ind w:left="0" w:right="0" w:hanging="0"/>
              <w:jc w:val="left"/>
              <w:rPr/>
            </w:pPr>
            <w:r>
              <w:rPr/>
              <w:t>​</w:t>
            </w:r>
          </w:p>
        </w:tc>
        <w:tc>
          <w:tcPr>
            <w:tcW w:w="36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402,734</w:t>
            </w:r>
          </w:p>
        </w:tc>
        <w:tc>
          <w:tcPr>
            <w:tcW w:w="184" w:type="dxa"/>
            <w:tcBorders/>
            <w:shd w:fill="CCEEFF" w:val="clear"/>
            <w:vAlign w:val="center"/>
          </w:tcPr>
          <w:p>
            <w:pPr>
              <w:pStyle w:val="TableContents"/>
              <w:bidi w:val="0"/>
              <w:spacing w:before="0" w:after="0"/>
              <w:ind w:left="0" w:right="0" w:hanging="0"/>
              <w:jc w:val="left"/>
              <w:rPr/>
            </w:pPr>
            <w:r>
              <w:rPr/>
              <w:t>​</w:t>
            </w:r>
          </w:p>
        </w:tc>
        <w:tc>
          <w:tcPr>
            <w:tcW w:w="5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0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396,006</w:t>
            </w:r>
          </w:p>
        </w:tc>
      </w:tr>
      <w:tr>
        <w:trPr/>
        <w:tc>
          <w:tcPr>
            <w:tcW w:w="8922" w:type="dxa"/>
            <w:gridSpan w:val="7"/>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15"/>
              </w:rPr>
              <w:t>(1)</w:t>
            </w:r>
            <w:r>
              <w:rPr>
                <w:rFonts w:ascii="Times New Roman;Times;serif" w:hAnsi="Times New Roman;Times;serif"/>
                <w:sz w:val="20"/>
              </w:rPr>
              <w:t xml:space="preserve"> Includes $15,014 related to the Brinta acquisition. For further information, refer to Note 3, "Acquisitions".</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has recognized various amortizable other intangible assets in connection with acquisitions related to customer relationships, technology, and tradenames. The following tables provide additional information for other intangible assets, which are individually not material to the condensed consolidated financial statements, for the periods presented: </w:t>
      </w:r>
    </w:p>
    <w:p>
      <w:pPr>
        <w:pStyle w:val="TextBody"/>
        <w:bidi w:val="0"/>
        <w:spacing w:before="0" w:after="0"/>
        <w:ind w:left="0" w:right="0" w:hanging="0"/>
        <w:jc w:val="left"/>
        <w:rPr/>
      </w:pPr>
      <w:r>
        <w:rPr/>
        <w:t>​</w:t>
      </w:r>
    </w:p>
    <w:tbl>
      <w:tblPr>
        <w:tblW w:w="6898" w:type="dxa"/>
        <w:jc w:val="left"/>
        <w:tblInd w:w="0" w:type="dxa"/>
        <w:tblLayout w:type="fixed"/>
        <w:tblCellMar>
          <w:top w:w="0" w:type="dxa"/>
          <w:left w:w="0" w:type="dxa"/>
          <w:bottom w:w="0" w:type="dxa"/>
          <w:right w:w="0" w:type="dxa"/>
        </w:tblCellMar>
      </w:tblPr>
      <w:tblGrid>
        <w:gridCol w:w="3826"/>
        <w:gridCol w:w="109"/>
        <w:gridCol w:w="109"/>
        <w:gridCol w:w="216"/>
        <w:gridCol w:w="969"/>
        <w:gridCol w:w="109"/>
        <w:gridCol w:w="313"/>
        <w:gridCol w:w="1247"/>
      </w:tblGrid>
      <w:tr>
        <w:trPr/>
        <w:tc>
          <w:tcPr>
            <w:tcW w:w="3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429510" cy="175260"/>
                      <wp:effectExtent l="0" t="0" r="0" b="0"/>
                      <wp:wrapNone/>
                      <wp:docPr id="225" name="Frame225"/>
                      <a:graphic xmlns:a="http://schemas.openxmlformats.org/drawingml/2006/main">
                        <a:graphicData uri="http://schemas.microsoft.com/office/word/2010/wordprocessingShape">
                          <wps:wsp>
                            <wps:cNvSpPr txBox="1"/>
                            <wps:spPr>
                              <a:xfrm>
                                <a:off x="0" y="0"/>
                                <a:ext cx="2429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9215" cy="175260"/>
                      <wp:effectExtent l="0" t="0" r="0" b="0"/>
                      <wp:wrapNone/>
                      <wp:docPr id="226" name="Frame2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9215" cy="175260"/>
                      <wp:effectExtent l="0" t="0" r="0" b="0"/>
                      <wp:wrapNone/>
                      <wp:docPr id="227" name="Frame2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37160" cy="175260"/>
                      <wp:effectExtent l="0" t="0" r="0" b="0"/>
                      <wp:wrapNone/>
                      <wp:docPr id="228" name="Frame228"/>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15315" cy="175260"/>
                      <wp:effectExtent l="0" t="0" r="0" b="0"/>
                      <wp:wrapNone/>
                      <wp:docPr id="229" name="Frame229"/>
                      <a:graphic xmlns:a="http://schemas.openxmlformats.org/drawingml/2006/main">
                        <a:graphicData uri="http://schemas.microsoft.com/office/word/2010/wordprocessingShape">
                          <wps:wsp>
                            <wps:cNvSpPr txBox="1"/>
                            <wps:spPr>
                              <a:xfrm>
                                <a:off x="0" y="0"/>
                                <a:ext cx="615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9215" cy="175260"/>
                      <wp:effectExtent l="0" t="0" r="0" b="0"/>
                      <wp:wrapNone/>
                      <wp:docPr id="230" name="Frame2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98755" cy="175260"/>
                      <wp:effectExtent l="0" t="0" r="0" b="0"/>
                      <wp:wrapNone/>
                      <wp:docPr id="231" name="Frame231"/>
                      <a:graphic xmlns:a="http://schemas.openxmlformats.org/drawingml/2006/main">
                        <a:graphicData uri="http://schemas.microsoft.com/office/word/2010/wordprocessingShape">
                          <wps:wsp>
                            <wps:cNvSpPr txBox="1"/>
                            <wps:spPr>
                              <a:xfrm>
                                <a:off x="0" y="0"/>
                                <a:ext cx="198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791845" cy="175260"/>
                      <wp:effectExtent l="0" t="0" r="0" b="0"/>
                      <wp:wrapNone/>
                      <wp:docPr id="232" name="Frame232"/>
                      <a:graphic xmlns:a="http://schemas.openxmlformats.org/drawingml/2006/main">
                        <a:graphicData uri="http://schemas.microsoft.com/office/word/2010/wordprocessingShape">
                          <wps:wsp>
                            <wps:cNvSpPr txBox="1"/>
                            <wps:spPr>
                              <a:xfrm>
                                <a:off x="0" y="0"/>
                                <a:ext cx="791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w:t>
            </w:r>
          </w:p>
        </w:tc>
        <w:tc>
          <w:tcPr>
            <w:tcW w:w="109" w:type="dxa"/>
            <w:tcBorders/>
            <w:vAlign w:val="center"/>
          </w:tcPr>
          <w:p>
            <w:pPr>
              <w:pStyle w:val="TableContents"/>
              <w:bidi w:val="0"/>
              <w:spacing w:before="0" w:after="0"/>
              <w:ind w:left="0" w:right="0" w:hanging="0"/>
              <w:jc w:val="center"/>
              <w:rPr/>
            </w:pPr>
            <w:r>
              <w:rPr/>
              <w:t>​</w:t>
            </w:r>
          </w:p>
        </w:tc>
        <w:tc>
          <w:tcPr>
            <w:tcW w:w="156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38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center"/>
              <w:rPr/>
            </w:pPr>
            <w:r>
              <w:rPr/>
              <w:t>​</w:t>
            </w:r>
          </w:p>
        </w:tc>
        <w:tc>
          <w:tcPr>
            <w:tcW w:w="15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8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6" w:type="dxa"/>
            <w:tcBorders/>
            <w:vAlign w:val="center"/>
          </w:tcPr>
          <w:p>
            <w:pPr>
              <w:pStyle w:val="TableContents"/>
              <w:bidi w:val="0"/>
              <w:spacing w:before="0" w:after="0"/>
              <w:ind w:left="0" w:right="0" w:hanging="0"/>
              <w:jc w:val="center"/>
              <w:rPr/>
            </w:pPr>
            <w:r>
              <w:rPr/>
              <w:t>​</w:t>
            </w:r>
          </w:p>
        </w:tc>
        <w:tc>
          <w:tcPr>
            <w:tcW w:w="96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09" w:type="dxa"/>
            <w:tcBorders/>
            <w:vAlign w:val="center"/>
          </w:tcPr>
          <w:p>
            <w:pPr>
              <w:pStyle w:val="TableContents"/>
              <w:bidi w:val="0"/>
              <w:spacing w:before="0" w:after="0"/>
              <w:ind w:left="0" w:right="0" w:hanging="0"/>
              <w:jc w:val="center"/>
              <w:rPr/>
            </w:pPr>
            <w:r>
              <w:rPr/>
              <w:t>​</w:t>
            </w:r>
          </w:p>
        </w:tc>
        <w:tc>
          <w:tcPr>
            <w:tcW w:w="313" w:type="dxa"/>
            <w:tcBorders/>
            <w:vAlign w:val="center"/>
          </w:tcPr>
          <w:p>
            <w:pPr>
              <w:pStyle w:val="TableContents"/>
              <w:bidi w:val="0"/>
              <w:spacing w:before="0" w:after="0"/>
              <w:ind w:left="0" w:right="0" w:hanging="0"/>
              <w:jc w:val="center"/>
              <w:rPr/>
            </w:pPr>
            <w:r>
              <w:rPr/>
              <w:t>​</w:t>
            </w:r>
          </w:p>
        </w:tc>
        <w:tc>
          <w:tcPr>
            <w:tcW w:w="1247" w:type="dxa"/>
            <w:tcBorders/>
            <w:vAlign w:val="center"/>
          </w:tcPr>
          <w:p>
            <w:pPr>
              <w:pStyle w:val="TableContents"/>
              <w:bidi w:val="0"/>
              <w:spacing w:before="0" w:after="0"/>
              <w:ind w:left="0" w:right="0" w:hanging="0"/>
              <w:jc w:val="center"/>
              <w:rPr/>
            </w:pPr>
            <w:r>
              <w:rPr/>
              <w:t>​</w:t>
            </w:r>
          </w:p>
        </w:tc>
      </w:tr>
      <w:tr>
        <w:trPr/>
        <w:tc>
          <w:tcPr>
            <w:tcW w:w="3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amortization period (years)</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96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109" w:type="dxa"/>
            <w:tcBorders/>
            <w:shd w:fill="CCEEFF" w:val="clear"/>
            <w:vAlign w:val="center"/>
          </w:tcPr>
          <w:p>
            <w:pPr>
              <w:pStyle w:val="TableContents"/>
              <w:bidi w:val="0"/>
              <w:spacing w:before="0" w:after="0"/>
              <w:ind w:left="0" w:right="0" w:hanging="0"/>
              <w:jc w:val="center"/>
              <w:rPr/>
            </w:pPr>
            <w:r>
              <w:rPr/>
              <w:t>​</w:t>
            </w:r>
          </w:p>
        </w:tc>
        <w:tc>
          <w:tcPr>
            <w:tcW w:w="313"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124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38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16" w:type="dxa"/>
            <w:tcBorders/>
            <w:vAlign w:val="center"/>
          </w:tcPr>
          <w:p>
            <w:pPr>
              <w:pStyle w:val="TableContents"/>
              <w:bidi w:val="0"/>
              <w:spacing w:before="0" w:after="0"/>
              <w:ind w:left="0" w:right="0" w:hanging="0"/>
              <w:jc w:val="center"/>
              <w:rPr/>
            </w:pPr>
            <w:r>
              <w:rPr/>
              <w:t>​</w:t>
            </w:r>
          </w:p>
        </w:tc>
        <w:tc>
          <w:tcPr>
            <w:tcW w:w="96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13" w:type="dxa"/>
            <w:tcBorders/>
            <w:vAlign w:val="center"/>
          </w:tcPr>
          <w:p>
            <w:pPr>
              <w:pStyle w:val="TableContents"/>
              <w:bidi w:val="0"/>
              <w:spacing w:before="0" w:after="0"/>
              <w:ind w:left="0" w:right="0" w:hanging="0"/>
              <w:jc w:val="center"/>
              <w:rPr/>
            </w:pPr>
            <w:r>
              <w:rPr/>
              <w:t>​</w:t>
            </w:r>
          </w:p>
        </w:tc>
        <w:tc>
          <w:tcPr>
            <w:tcW w:w="1247" w:type="dxa"/>
            <w:tcBorders/>
            <w:vAlign w:val="center"/>
          </w:tcPr>
          <w:p>
            <w:pPr>
              <w:pStyle w:val="TableContents"/>
              <w:bidi w:val="0"/>
              <w:spacing w:before="0" w:after="0"/>
              <w:ind w:left="0" w:right="0" w:hanging="0"/>
              <w:jc w:val="center"/>
              <w:rPr/>
            </w:pPr>
            <w:r>
              <w:rPr/>
              <w:t>​</w:t>
            </w:r>
          </w:p>
        </w:tc>
      </w:tr>
      <w:tr>
        <w:trPr/>
        <w:tc>
          <w:tcPr>
            <w:tcW w:w="3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value</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16,963</w:t>
            </w:r>
          </w:p>
        </w:tc>
        <w:tc>
          <w:tcPr>
            <w:tcW w:w="109" w:type="dxa"/>
            <w:tcBorders/>
            <w:shd w:fill="CCEEFF" w:val="clear"/>
            <w:vAlign w:val="center"/>
          </w:tcPr>
          <w:p>
            <w:pPr>
              <w:pStyle w:val="TableContents"/>
              <w:bidi w:val="0"/>
              <w:spacing w:before="0" w:after="0"/>
              <w:ind w:left="0" w:right="0" w:hanging="0"/>
              <w:jc w:val="center"/>
              <w:rPr/>
            </w:pPr>
            <w:r>
              <w:rPr/>
              <w:t>​</w:t>
            </w:r>
          </w:p>
        </w:tc>
        <w:tc>
          <w:tcPr>
            <w:tcW w:w="3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17,026</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amortization</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(14,573)</w:t>
            </w:r>
          </w:p>
        </w:tc>
        <w:tc>
          <w:tcPr>
            <w:tcW w:w="109" w:type="dxa"/>
            <w:tcBorders/>
            <w:vAlign w:val="center"/>
          </w:tcPr>
          <w:p>
            <w:pPr>
              <w:pStyle w:val="TableContents"/>
              <w:bidi w:val="0"/>
              <w:spacing w:before="0" w:after="0"/>
              <w:ind w:left="0" w:right="0" w:hanging="0"/>
              <w:jc w:val="center"/>
              <w:rPr/>
            </w:pPr>
            <w:r>
              <w:rPr/>
              <w:t>​</w:t>
            </w:r>
          </w:p>
        </w:tc>
        <w:tc>
          <w:tcPr>
            <w:tcW w:w="313"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2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(13,513)</w:t>
            </w:r>
          </w:p>
        </w:tc>
      </w:tr>
      <w:tr>
        <w:trPr/>
        <w:tc>
          <w:tcPr>
            <w:tcW w:w="382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Carrying value</w:t>
            </w:r>
          </w:p>
        </w:tc>
        <w:tc>
          <w:tcPr>
            <w:tcW w:w="109"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2,390</w:t>
            </w:r>
          </w:p>
        </w:tc>
        <w:tc>
          <w:tcPr>
            <w:tcW w:w="109" w:type="dxa"/>
            <w:tcBorders/>
            <w:shd w:fill="CCEEFF" w:val="clear"/>
            <w:vAlign w:val="center"/>
          </w:tcPr>
          <w:p>
            <w:pPr>
              <w:pStyle w:val="TableContents"/>
              <w:bidi w:val="0"/>
              <w:spacing w:before="0" w:after="0"/>
              <w:ind w:left="0" w:right="0" w:hanging="0"/>
              <w:jc w:val="left"/>
              <w:rPr/>
            </w:pPr>
            <w:r>
              <w:rPr/>
              <w:t>​</w:t>
            </w:r>
          </w:p>
        </w:tc>
        <w:tc>
          <w:tcPr>
            <w:tcW w:w="3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7"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3,513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presents amortization of other intangible assets:</w:t>
      </w:r>
    </w:p>
    <w:p>
      <w:pPr>
        <w:pStyle w:val="TextBody"/>
        <w:bidi w:val="0"/>
        <w:spacing w:before="0" w:after="0"/>
        <w:ind w:left="0" w:right="0" w:firstLine="360"/>
        <w:jc w:val="both"/>
        <w:rPr/>
      </w:pPr>
      <w:r>
        <w:rPr/>
        <w:t>​</w:t>
      </w:r>
    </w:p>
    <w:tbl>
      <w:tblPr>
        <w:tblW w:w="6401" w:type="dxa"/>
        <w:jc w:val="left"/>
        <w:tblInd w:w="0" w:type="dxa"/>
        <w:tblLayout w:type="fixed"/>
        <w:tblCellMar>
          <w:top w:w="0" w:type="dxa"/>
          <w:left w:w="0" w:type="dxa"/>
          <w:bottom w:w="0" w:type="dxa"/>
          <w:right w:w="0" w:type="dxa"/>
        </w:tblCellMar>
      </w:tblPr>
      <w:tblGrid>
        <w:gridCol w:w="2821"/>
        <w:gridCol w:w="109"/>
        <w:gridCol w:w="346"/>
        <w:gridCol w:w="404"/>
        <w:gridCol w:w="1096"/>
        <w:gridCol w:w="346"/>
        <w:gridCol w:w="303"/>
        <w:gridCol w:w="822"/>
        <w:gridCol w:w="154"/>
      </w:tblGrid>
      <w:tr>
        <w:trPr/>
        <w:tc>
          <w:tcPr>
            <w:tcW w:w="2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791335" cy="175260"/>
                      <wp:effectExtent l="0" t="0" r="0" b="0"/>
                      <wp:wrapNone/>
                      <wp:docPr id="233" name="Frame233"/>
                      <a:graphic xmlns:a="http://schemas.openxmlformats.org/drawingml/2006/main">
                        <a:graphicData uri="http://schemas.microsoft.com/office/word/2010/wordprocessingShape">
                          <wps:wsp>
                            <wps:cNvSpPr txBox="1"/>
                            <wps:spPr>
                              <a:xfrm>
                                <a:off x="0" y="0"/>
                                <a:ext cx="1791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9215" cy="175260"/>
                      <wp:effectExtent l="0" t="0" r="0" b="0"/>
                      <wp:wrapNone/>
                      <wp:docPr id="234" name="Frame23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19710" cy="175260"/>
                      <wp:effectExtent l="0" t="0" r="0" b="0"/>
                      <wp:wrapNone/>
                      <wp:docPr id="235" name="Frame2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56540" cy="175260"/>
                      <wp:effectExtent l="0" t="0" r="0" b="0"/>
                      <wp:wrapNone/>
                      <wp:docPr id="236" name="Frame236"/>
                      <a:graphic xmlns:a="http://schemas.openxmlformats.org/drawingml/2006/main">
                        <a:graphicData uri="http://schemas.microsoft.com/office/word/2010/wordprocessingShape">
                          <wps:wsp>
                            <wps:cNvSpPr txBox="1"/>
                            <wps:spPr>
                              <a:xfrm>
                                <a:off x="0" y="0"/>
                                <a:ext cx="256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95960" cy="175260"/>
                      <wp:effectExtent l="0" t="0" r="0" b="0"/>
                      <wp:wrapNone/>
                      <wp:docPr id="237" name="Frame237"/>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19710" cy="175260"/>
                      <wp:effectExtent l="0" t="0" r="0" b="0"/>
                      <wp:wrapNone/>
                      <wp:docPr id="238" name="Frame2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92405" cy="175260"/>
                      <wp:effectExtent l="0" t="0" r="0" b="0"/>
                      <wp:wrapNone/>
                      <wp:docPr id="239" name="Frame239"/>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521970" cy="175260"/>
                      <wp:effectExtent l="0" t="0" r="0" b="0"/>
                      <wp:wrapNone/>
                      <wp:docPr id="240" name="Frame240"/>
                      <a:graphic xmlns:a="http://schemas.openxmlformats.org/drawingml/2006/main">
                        <a:graphicData uri="http://schemas.microsoft.com/office/word/2010/wordprocessingShape">
                          <wps:wsp>
                            <wps:cNvSpPr txBox="1"/>
                            <wps:spPr>
                              <a:xfrm>
                                <a:off x="0" y="0"/>
                                <a:ext cx="521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97790" cy="175260"/>
                      <wp:effectExtent l="0" t="0" r="0" b="0"/>
                      <wp:wrapNone/>
                      <wp:docPr id="241" name="Frame241"/>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For the three months ended June 30, </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Selling and</w:t>
              <w:br/>
              <w:t>Marketing Expense</w:t>
            </w:r>
          </w:p>
        </w:tc>
        <w:tc>
          <w:tcPr>
            <w:tcW w:w="346" w:type="dxa"/>
            <w:tcBorders/>
            <w:vAlign w:val="center"/>
          </w:tcPr>
          <w:p>
            <w:pPr>
              <w:pStyle w:val="TableContents"/>
              <w:bidi w:val="0"/>
              <w:spacing w:before="0" w:after="0"/>
              <w:ind w:left="0" w:right="0" w:hanging="0"/>
              <w:jc w:val="left"/>
              <w:rPr/>
            </w:pPr>
            <w:r>
              <w:rPr/>
              <w:t>​</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Expense</w:t>
            </w:r>
          </w:p>
        </w:tc>
        <w:tc>
          <w:tcPr>
            <w:tcW w:w="154" w:type="dxa"/>
            <w:tcBorders/>
            <w:vAlign w:val="center"/>
          </w:tcPr>
          <w:p>
            <w:pPr>
              <w:pStyle w:val="TableContents"/>
              <w:bidi w:val="0"/>
              <w:spacing w:before="0" w:after="0"/>
              <w:ind w:left="0" w:right="0" w:hanging="0"/>
              <w:jc w:val="center"/>
              <w:rPr/>
            </w:pPr>
            <w:r>
              <w:rPr/>
              <w:t>​</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w:t>
            </w:r>
          </w:p>
        </w:tc>
        <w:tc>
          <w:tcPr>
            <w:tcW w:w="346" w:type="dxa"/>
            <w:tcBorders/>
            <w:shd w:fill="CCEEFF" w:val="clear"/>
            <w:vAlign w:val="center"/>
          </w:tcPr>
          <w:p>
            <w:pPr>
              <w:pStyle w:val="TableContents"/>
              <w:bidi w:val="0"/>
              <w:spacing w:before="0" w:after="0"/>
              <w:ind w:left="0" w:right="0" w:hanging="0"/>
              <w:jc w:val="left"/>
              <w:rPr/>
            </w:pPr>
            <w:r>
              <w:rPr/>
              <w:t>  ​ ​ ​</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28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571</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571</w:t>
            </w:r>
          </w:p>
        </w:tc>
        <w:tc>
          <w:tcPr>
            <w:tcW w:w="154" w:type="dxa"/>
            <w:tcBorders/>
            <w:vAlign w:val="center"/>
          </w:tcPr>
          <w:p>
            <w:pPr>
              <w:pStyle w:val="TableContents"/>
              <w:bidi w:val="0"/>
              <w:spacing w:before="0" w:after="0"/>
              <w:ind w:left="0" w:right="0" w:hanging="0"/>
              <w:jc w:val="right"/>
              <w:rPr/>
            </w:pPr>
            <w:r>
              <w:rPr/>
              <w:t>​</w:t>
            </w:r>
          </w:p>
        </w:tc>
      </w:tr>
      <w:tr>
        <w:trPr/>
        <w:tc>
          <w:tcPr>
            <w:tcW w:w="282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822"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right"/>
              <w:rPr/>
            </w:pPr>
            <w:r>
              <w:rPr/>
              <w:t>​</w:t>
            </w:r>
          </w:p>
        </w:tc>
      </w:tr>
      <w:tr>
        <w:trPr/>
        <w:tc>
          <w:tcPr>
            <w:tcW w:w="282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822"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right"/>
              <w:rPr/>
            </w:pPr>
            <w:r>
              <w:rPr/>
              <w:t>​</w:t>
            </w:r>
          </w:p>
        </w:tc>
      </w:tr>
      <w:tr>
        <w:trPr/>
        <w:tc>
          <w:tcPr>
            <w:tcW w:w="28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xml:space="preserve">For the six months ended June 30,  </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Selling and</w:t>
              <w:br/>
              <w:t>Marketing Expense</w:t>
            </w:r>
          </w:p>
        </w:tc>
        <w:tc>
          <w:tcPr>
            <w:tcW w:w="346" w:type="dxa"/>
            <w:tcBorders/>
            <w:vAlign w:val="center"/>
          </w:tcPr>
          <w:p>
            <w:pPr>
              <w:pStyle w:val="TableContents"/>
              <w:bidi w:val="0"/>
              <w:spacing w:before="0" w:after="0"/>
              <w:ind w:left="0" w:right="0" w:hanging="0"/>
              <w:jc w:val="left"/>
              <w:rPr/>
            </w:pPr>
            <w:r>
              <w:rPr/>
              <w:t>​</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Expense</w:t>
            </w:r>
          </w:p>
        </w:tc>
        <w:tc>
          <w:tcPr>
            <w:tcW w:w="154" w:type="dxa"/>
            <w:tcBorders/>
            <w:vAlign w:val="center"/>
          </w:tcPr>
          <w:p>
            <w:pPr>
              <w:pStyle w:val="TableContents"/>
              <w:bidi w:val="0"/>
              <w:spacing w:before="0" w:after="0"/>
              <w:ind w:left="0" w:right="0" w:hanging="0"/>
              <w:jc w:val="center"/>
              <w:rPr/>
            </w:pPr>
            <w:r>
              <w:rPr/>
              <w:t>​</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 ​ ​</w:t>
            </w:r>
          </w:p>
        </w:tc>
        <w:tc>
          <w:tcPr>
            <w:tcW w:w="4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1,047</w:t>
            </w:r>
          </w:p>
        </w:tc>
        <w:tc>
          <w:tcPr>
            <w:tcW w:w="346" w:type="dxa"/>
            <w:tcBorders/>
            <w:shd w:fill="CCEEFF" w:val="clear"/>
            <w:vAlign w:val="center"/>
          </w:tcPr>
          <w:p>
            <w:pPr>
              <w:pStyle w:val="TableContents"/>
              <w:bidi w:val="0"/>
              <w:spacing w:before="0" w:after="0"/>
              <w:ind w:left="0" w:right="0" w:hanging="0"/>
              <w:jc w:val="left"/>
              <w:rPr/>
            </w:pPr>
            <w:r>
              <w:rPr/>
              <w:t>  ​ ​ ​</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1,047</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28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1,102</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1,102</w:t>
            </w:r>
          </w:p>
        </w:tc>
        <w:tc>
          <w:tcPr>
            <w:tcW w:w="154" w:type="dxa"/>
            <w:tcBorders/>
            <w:vAlign w:val="center"/>
          </w:tcPr>
          <w:p>
            <w:pPr>
              <w:pStyle w:val="TableContents"/>
              <w:bidi w:val="0"/>
              <w:spacing w:before="0" w:after="0"/>
              <w:ind w:left="0" w:right="0" w:hanging="0"/>
              <w:jc w:val="right"/>
              <w:rPr/>
            </w:pPr>
            <w:r>
              <w:rPr/>
              <w:t>​</w:t>
            </w:r>
          </w:p>
        </w:tc>
      </w:tr>
      <w:tr>
        <w:trPr/>
        <w:tc>
          <w:tcPr>
            <w:tcW w:w="28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822"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766" w:type="dxa"/>
        <w:jc w:val="left"/>
        <w:tblInd w:w="0" w:type="dxa"/>
        <w:tblLayout w:type="fixed"/>
        <w:tblCellMar>
          <w:top w:w="0" w:type="dxa"/>
          <w:left w:w="0" w:type="dxa"/>
          <w:bottom w:w="0" w:type="dxa"/>
          <w:right w:w="0" w:type="dxa"/>
        </w:tblCellMar>
      </w:tblPr>
      <w:tblGrid>
        <w:gridCol w:w="6766"/>
      </w:tblGrid>
      <w:tr>
        <w:trPr/>
        <w:tc>
          <w:tcPr>
            <w:tcW w:w="6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761" w:name="Tc_ExGG0pAXg0-6nmXq1MKpbg_6_13"/>
      <w:bookmarkStart w:id="1762" w:name="Tc_-sc_aCJiDEie2AhyJaNcTg_6_10"/>
      <w:bookmarkStart w:id="1763" w:name="Tc_NIqnPe546k6XF3dZb0PMyA_6_6"/>
      <w:bookmarkStart w:id="1764" w:name="Tc_W5QInclQlUiQjs1j5Ov_aA_6_3"/>
      <w:bookmarkStart w:id="1765" w:name="Tc_15wYwxaN_EGChv3CugFJjg_6_0"/>
      <w:bookmarkStart w:id="1766" w:name="Tc_m7YYbuq2u0OJwRTkTzR3Ag_5_0"/>
      <w:bookmarkStart w:id="1767" w:name="Tc_A2MEJQN8KUqHwlZO2_qBmQ_4_13"/>
      <w:bookmarkStart w:id="1768" w:name="Tc_bQH0zHmQqEC32S0DhyBpUg_4_10"/>
      <w:bookmarkStart w:id="1769" w:name="Tc_qTNfDbUCz0KtX_KnPQdDsg_4_6"/>
      <w:bookmarkStart w:id="1770" w:name="Tc_gmgTNzzNdkKnck_YnVCHPA_4_3"/>
      <w:bookmarkStart w:id="1771" w:name="Tc_0a4M7OMAqEOLeXGY_CgZtw_4_0"/>
      <w:bookmarkStart w:id="1772" w:name="Tc_O4yXq-dRIE-fUir2v3M7Cw_3_10"/>
      <w:bookmarkStart w:id="1773" w:name="Tc_OAYzltr00EmEzahbvfuaUQ_3_4"/>
      <w:bookmarkStart w:id="1774" w:name="Tc_ta-1qYSLU0urZTlfL8c0Ag_2_14"/>
      <w:bookmarkStart w:id="1775" w:name="Tc_NIl6c2Oyi0yxqFYm5u7nvA_2_11"/>
      <w:bookmarkStart w:id="1776" w:name="Tc_beAleE3FQkWfLQLayC788g_2_7"/>
      <w:bookmarkStart w:id="1777" w:name="Tc_sWc9Rpimh0eMCUKmmCHnZQ_2_4"/>
      <w:bookmarkStart w:id="1778" w:name="Tc_I4weufAQ_ESM6vuc-OLc_g_1_10"/>
      <w:bookmarkStart w:id="1779" w:name="Tc_7GDBoZznmEWqee4N47FWOQ_1_3"/>
      <w:bookmarkStart w:id="1780" w:name="Tc_CZ7cjyJVAky3hGcDYAWAHQ_6_17"/>
      <w:bookmarkStart w:id="1781" w:name="Tc_xA2s6uuVx063JWdqBblJWg_6_14"/>
      <w:bookmarkStart w:id="1782" w:name="Tc_7MfqJ4yd2UOH3NVp2pmQxA_6_11"/>
      <w:bookmarkStart w:id="1783" w:name="Tc_auO3s7yua0-a2Yo66oShXg_6_8"/>
      <w:bookmarkStart w:id="1784" w:name="Tc_MLqfB2QaFk6XxsDehRvlAQ_6_5"/>
      <w:bookmarkStart w:id="1785" w:name="Tc_10dQVbI-E0CaPLpiO_3tAQ_6_2"/>
      <w:bookmarkStart w:id="1786" w:name="Tc_8xSa0DuGkUqjfAn2jUPNzQ_6_0"/>
      <w:bookmarkStart w:id="1787" w:name="Tc_IuQrdaxyzk-QrbKNKM9wCw_5_17"/>
      <w:bookmarkStart w:id="1788" w:name="Tc_X10IYdFhiU-jGQgG1DUEIw_5_14"/>
      <w:bookmarkStart w:id="1789" w:name="Tc_qPYh2wkwyUSDSQdoxDf48A_5_11"/>
      <w:bookmarkStart w:id="1790" w:name="Tc_zdu0-4RD00ip_UnkgGRCAw_5_8"/>
      <w:bookmarkStart w:id="1791" w:name="Tc_5v2DZA1WLE-kaRp6caskLg_5_5"/>
      <w:bookmarkStart w:id="1792" w:name="Tc_JDxmTzq5IUqhjEld5JUQ8Q_5_2"/>
      <w:bookmarkStart w:id="1793" w:name="Tc_UlUEqTftOEWgC3Opjzm7wQ_5_0"/>
      <w:bookmarkStart w:id="1794" w:name="Tc_wAUZVxNm9E609g38guyo8g_4_17"/>
      <w:bookmarkStart w:id="1795" w:name="Tc_KNwQMgArTE2GvftpQPh7Tg_4_14"/>
      <w:bookmarkStart w:id="1796" w:name="Tc_acvIgmMyFkOWf-IULloYyA_4_11"/>
      <w:bookmarkStart w:id="1797" w:name="Tc_RFLKo8pLcEW2z1Wocy_nfQ_4_8"/>
      <w:bookmarkStart w:id="1798" w:name="Tc_2WzAGpifxUmPVMQ8I9GyKA_4_5"/>
      <w:bookmarkStart w:id="1799" w:name="Tc_PPoYVyueeEm2IRcRT_QZcQ_4_2"/>
      <w:bookmarkStart w:id="1800" w:name="Tc_WJRqWujBMESIY-7UlEvVFw_3_3"/>
      <w:bookmarkStart w:id="1801" w:name="Tc_93Fw1PoDZ0CVnVA8LPBjxw_2_11"/>
      <w:bookmarkStart w:id="1802" w:name="Tc_qCWy6uaipkG7NbsXwFazgw_2_2"/>
      <w:bookmarkStart w:id="1803" w:name="Tc_y0EIgZVDDkG9GtYhFies-g_1_11"/>
      <w:bookmarkStart w:id="1804" w:name="Tc_s-GFjlvBfEi6Y4r-m931Ew_1_2"/>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r>
        <w:rPr>
          <w:rFonts w:ascii="Times New Roman;Times;serif" w:hAnsi="Times New Roman;Times;serif"/>
          <w:b/>
          <w:i w:val="false"/>
          <w:caps w:val="false"/>
          <w:smallCaps w:val="false"/>
          <w:sz w:val="20"/>
        </w:rPr>
        <w:t>8.</w:t>
      </w:r>
      <w:r>
        <w:rPr>
          <w:rFonts w:ascii="Times New Roman;Times;serif" w:hAnsi="Times New Roman;Times;serif"/>
          <w:b/>
          <w:sz w:val="20"/>
        </w:rPr>
        <w:t>DEBT</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sz w:val="20"/>
        </w:rPr>
        <w:t xml:space="preserve">Credit Agreement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 has a credit agreement (“Credit Agreement”) with a banking syndicate, which currently provides a $300,000 revolving facility (the “Line of Credit”). The Company had no outstanding borrowings under the Credit Agreement at June 30, 2026 or December 31, 2025. </w:t>
      </w:r>
    </w:p>
    <w:p>
      <w:pPr>
        <w:pStyle w:val="TextBody"/>
        <w:bidi w:val="0"/>
        <w:spacing w:before="0" w:after="0"/>
        <w:ind w:left="0" w:right="0" w:firstLine="360"/>
        <w:jc w:val="both"/>
        <w:rPr>
          <w:rFonts w:ascii="Times New Roman;Times;serif" w:hAnsi="Times New Roman;Times;serif"/>
          <w:b/>
          <w:sz w:val="20"/>
        </w:rPr>
      </w:pPr>
      <w:r>
        <w:rPr>
          <w:rFonts w:ascii="Times New Roman;Times;serif" w:hAnsi="Times New Roman;Times;serif"/>
          <w:b/>
          <w:sz w:val="20"/>
        </w:rPr>
        <w:t xml:space="preserve">Indenture and Notes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April 26, 2024, the Company issued $345,000 aggregate principal amount of 0.750% Convertible Senior Notes due 2029 (the “Notes”) to qualified institutional buyers in accordance with Rule 144A under the Securities Act of 1933, as amended. The Notes bear interest at a rate of 0.750% per annum on the principal amount thereof, payable semi-annually in arrears on May 1 and November 1 of each year. The Notes will mature on May 1, 2029, unless earlier repurchased, redeemed or converted in accordance with their terms. </w:t>
      </w:r>
    </w:p>
    <w:p>
      <w:pPr>
        <w:pStyle w:val="TextBody"/>
        <w:bidi w:val="0"/>
        <w:spacing w:before="0" w:after="0"/>
        <w:ind w:left="0" w:right="0" w:firstLine="360"/>
        <w:jc w:val="both"/>
        <w:rPr/>
      </w:pPr>
      <w:r>
        <w:rPr/>
        <w:t>​</w:t>
      </w:r>
    </w:p>
    <w:p>
      <w:pPr>
        <w:pStyle w:val="TextBody"/>
        <w:bidi w:val="0"/>
        <w:spacing w:lineRule="auto" w:line="302" w:before="0" w:after="0"/>
        <w:ind w:left="0" w:right="0" w:firstLine="360"/>
        <w:jc w:val="both"/>
        <w:rPr>
          <w:rFonts w:ascii="Times New Roman;Times;serif" w:hAnsi="Times New Roman;Times;serif"/>
          <w:sz w:val="20"/>
        </w:rPr>
      </w:pPr>
      <w:r>
        <w:rPr>
          <w:rFonts w:ascii="Times New Roman;Times;serif" w:hAnsi="Times New Roman;Times;serif"/>
          <w:sz w:val="20"/>
        </w:rPr>
        <w:t>There have been no changes to the initial conversion price of the Notes since issuance. The Notes are convertible into the Company’s Class A common stock at the option of the holders. As of June 30, 2026, none of the Notes were converted.</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b/>
          <w:sz w:val="20"/>
        </w:rPr>
      </w:pPr>
      <w:r>
        <w:rPr>
          <w:rFonts w:ascii="Times New Roman;Times;serif" w:hAnsi="Times New Roman;Times;serif"/>
          <w:b/>
          <w:sz w:val="20"/>
        </w:rPr>
        <w:t>Capped Call Transactions</w:t>
      </w:r>
    </w:p>
    <w:p>
      <w:pPr>
        <w:pStyle w:val="TextBody"/>
        <w:bidi w:val="0"/>
        <w:spacing w:before="0" w:after="0"/>
        <w:ind w:left="0" w:right="0" w:firstLine="36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connection with the pricing of the Notes on April 23, 2024, the Company entered into privately negotiated capped call transactions (the “Base Capped Call Transactions”) with certain financial institutions (together, the “Option Counterparties”). In connection with the exercise of the option to purchase the additional Notes in full, the Company entered into additional capped call transactions with the Option Counterparties (together with the Base Capped Call Transactions, the “Capped Call Transactions”).</w:t>
      </w:r>
    </w:p>
    <w:p>
      <w:pPr>
        <w:pStyle w:val="TextBody"/>
        <w:bidi w:val="0"/>
        <w:spacing w:before="0" w:after="0"/>
        <w:ind w:left="0" w:right="0" w:firstLine="36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Company’s indebtedness at June 30, 2026 and December 31, 2025 was as follows: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060"/>
        <w:gridCol w:w="406"/>
        <w:gridCol w:w="196"/>
        <w:gridCol w:w="691"/>
        <w:gridCol w:w="406"/>
        <w:gridCol w:w="243"/>
        <w:gridCol w:w="784"/>
        <w:gridCol w:w="406"/>
        <w:gridCol w:w="196"/>
        <w:gridCol w:w="691"/>
        <w:gridCol w:w="406"/>
        <w:gridCol w:w="196"/>
        <w:gridCol w:w="691"/>
        <w:gridCol w:w="406"/>
        <w:gridCol w:w="243"/>
        <w:gridCol w:w="784"/>
        <w:gridCol w:w="406"/>
        <w:gridCol w:w="196"/>
        <w:gridCol w:w="798"/>
      </w:tblGrid>
      <w:tr>
        <w:trPr/>
        <w:tc>
          <w:tcPr>
            <w:tcW w:w="20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308100" cy="175260"/>
                      <wp:effectExtent l="0" t="0" r="0" b="0"/>
                      <wp:wrapNone/>
                      <wp:docPr id="242" name="Frame242"/>
                      <a:graphic xmlns:a="http://schemas.openxmlformats.org/drawingml/2006/main">
                        <a:graphicData uri="http://schemas.microsoft.com/office/word/2010/wordprocessingShape">
                          <wps:wsp>
                            <wps:cNvSpPr txBox="1"/>
                            <wps:spPr>
                              <a:xfrm>
                                <a:off x="0" y="0"/>
                                <a:ext cx="1308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57810" cy="175260"/>
                      <wp:effectExtent l="0" t="0" r="0" b="0"/>
                      <wp:wrapNone/>
                      <wp:docPr id="243" name="Frame243"/>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124460" cy="175260"/>
                      <wp:effectExtent l="0" t="0" r="0" b="0"/>
                      <wp:wrapNone/>
                      <wp:docPr id="244" name="Frame24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438785" cy="175260"/>
                      <wp:effectExtent l="0" t="0" r="0" b="0"/>
                      <wp:wrapNone/>
                      <wp:docPr id="245" name="Frame24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57810" cy="175260"/>
                      <wp:effectExtent l="0" t="0" r="0" b="0"/>
                      <wp:wrapNone/>
                      <wp:docPr id="246" name="Frame246"/>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54305" cy="175260"/>
                      <wp:effectExtent l="0" t="0" r="0" b="0"/>
                      <wp:wrapNone/>
                      <wp:docPr id="247" name="Frame247"/>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497840" cy="175260"/>
                      <wp:effectExtent l="0" t="0" r="0" b="0"/>
                      <wp:wrapNone/>
                      <wp:docPr id="248" name="Frame248"/>
                      <a:graphic xmlns:a="http://schemas.openxmlformats.org/drawingml/2006/main">
                        <a:graphicData uri="http://schemas.microsoft.com/office/word/2010/wordprocessingShape">
                          <wps:wsp>
                            <wps:cNvSpPr txBox="1"/>
                            <wps:spPr>
                              <a:xfrm>
                                <a:off x="0" y="0"/>
                                <a:ext cx="497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57810" cy="175260"/>
                      <wp:effectExtent l="0" t="0" r="0" b="0"/>
                      <wp:wrapNone/>
                      <wp:docPr id="249" name="Frame249"/>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24460" cy="175260"/>
                      <wp:effectExtent l="0" t="0" r="0" b="0"/>
                      <wp:wrapNone/>
                      <wp:docPr id="250" name="Frame25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438785" cy="175260"/>
                      <wp:effectExtent l="0" t="0" r="0" b="0"/>
                      <wp:wrapNone/>
                      <wp:docPr id="251" name="Frame25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57810" cy="175260"/>
                      <wp:effectExtent l="0" t="0" r="0" b="0"/>
                      <wp:wrapNone/>
                      <wp:docPr id="252" name="Frame252"/>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24460" cy="175260"/>
                      <wp:effectExtent l="0" t="0" r="0" b="0"/>
                      <wp:wrapNone/>
                      <wp:docPr id="253" name="Frame25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438785" cy="175260"/>
                      <wp:effectExtent l="0" t="0" r="0" b="0"/>
                      <wp:wrapNone/>
                      <wp:docPr id="254" name="Frame25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57810" cy="175260"/>
                      <wp:effectExtent l="0" t="0" r="0" b="0"/>
                      <wp:wrapNone/>
                      <wp:docPr id="255" name="Frame255"/>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54305" cy="175260"/>
                      <wp:effectExtent l="0" t="0" r="0" b="0"/>
                      <wp:wrapNone/>
                      <wp:docPr id="256" name="Frame256"/>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497840" cy="175260"/>
                      <wp:effectExtent l="0" t="0" r="0" b="0"/>
                      <wp:wrapNone/>
                      <wp:docPr id="257" name="Frame257"/>
                      <a:graphic xmlns:a="http://schemas.openxmlformats.org/drawingml/2006/main">
                        <a:graphicData uri="http://schemas.microsoft.com/office/word/2010/wordprocessingShape">
                          <wps:wsp>
                            <wps:cNvSpPr txBox="1"/>
                            <wps:spPr>
                              <a:xfrm>
                                <a:off x="0" y="0"/>
                                <a:ext cx="497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57810" cy="175260"/>
                      <wp:effectExtent l="0" t="0" r="0" b="0"/>
                      <wp:wrapNone/>
                      <wp:docPr id="258" name="Frame258"/>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24460" cy="175260"/>
                      <wp:effectExtent l="0" t="0" r="0" b="0"/>
                      <wp:wrapNone/>
                      <wp:docPr id="259" name="Frame25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506730" cy="175260"/>
                      <wp:effectExtent l="0" t="0" r="0" b="0"/>
                      <wp:wrapNone/>
                      <wp:docPr id="260" name="Frame260"/>
                      <a:graphic xmlns:a="http://schemas.openxmlformats.org/drawingml/2006/main">
                        <a:graphicData uri="http://schemas.microsoft.com/office/word/2010/wordprocessingShape">
                          <wps:wsp>
                            <wps:cNvSpPr txBox="1"/>
                            <wps:spPr>
                              <a:xfrm>
                                <a:off x="0" y="0"/>
                                <a:ext cx="506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60" w:type="dxa"/>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center"/>
              <w:rPr/>
            </w:pPr>
            <w:r>
              <w:rPr/>
              <w:t>​</w:t>
            </w:r>
          </w:p>
        </w:tc>
        <w:tc>
          <w:tcPr>
            <w:tcW w:w="3613"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w:t>
            </w:r>
          </w:p>
        </w:tc>
        <w:tc>
          <w:tcPr>
            <w:tcW w:w="406" w:type="dxa"/>
            <w:tcBorders/>
            <w:vAlign w:val="center"/>
          </w:tcPr>
          <w:p>
            <w:pPr>
              <w:pStyle w:val="TableContents"/>
              <w:bidi w:val="0"/>
              <w:spacing w:before="0" w:after="0"/>
              <w:ind w:left="0" w:right="0" w:hanging="0"/>
              <w:jc w:val="center"/>
              <w:rPr/>
            </w:pPr>
            <w:r>
              <w:rPr/>
              <w:t>​</w:t>
            </w:r>
          </w:p>
        </w:tc>
        <w:tc>
          <w:tcPr>
            <w:tcW w:w="3720"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As of December 31, </w:t>
            </w:r>
          </w:p>
        </w:tc>
      </w:tr>
      <w:tr>
        <w:trPr/>
        <w:tc>
          <w:tcPr>
            <w:tcW w:w="2060"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61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06" w:type="dxa"/>
            <w:tcBorders/>
            <w:vAlign w:val="center"/>
          </w:tcPr>
          <w:p>
            <w:pPr>
              <w:pStyle w:val="TableContents"/>
              <w:bidi w:val="0"/>
              <w:spacing w:before="0" w:after="0"/>
              <w:ind w:left="0" w:right="0" w:hanging="0"/>
              <w:jc w:val="left"/>
              <w:rPr/>
            </w:pPr>
            <w:r>
              <w:rPr/>
              <w:t>​</w:t>
            </w:r>
          </w:p>
        </w:tc>
        <w:tc>
          <w:tcPr>
            <w:tcW w:w="3720"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060"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417" w:type="dxa"/>
            <w:gridSpan w:val="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4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524" w:type="dxa"/>
            <w:gridSpan w:val="7"/>
            <w:tcBorders/>
            <w:vAlign w:val="center"/>
          </w:tcPr>
          <w:p>
            <w:pPr>
              <w:pStyle w:val="TableContents"/>
              <w:bidi w:val="0"/>
              <w:spacing w:before="0" w:after="0"/>
              <w:ind w:left="0" w:right="0" w:hanging="0"/>
              <w:jc w:val="center"/>
              <w:rPr/>
            </w:pPr>
            <w:r>
              <w:rPr/>
              <w:t>​</w:t>
            </w:r>
          </w:p>
        </w:tc>
      </w:tr>
      <w:tr>
        <w:trPr/>
        <w:tc>
          <w:tcPr>
            <w:tcW w:w="2060"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  ​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Principal </w:t>
              <w:br/>
              <w:t>Amount</w:t>
            </w:r>
          </w:p>
        </w:tc>
        <w:tc>
          <w:tcPr>
            <w:tcW w:w="406" w:type="dxa"/>
            <w:tcBorders/>
            <w:vAlign w:val="center"/>
          </w:tcPr>
          <w:p>
            <w:pPr>
              <w:pStyle w:val="TableContents"/>
              <w:bidi w:val="0"/>
              <w:spacing w:before="0" w:after="0"/>
              <w:ind w:left="0" w:right="0" w:hanging="0"/>
              <w:jc w:val="center"/>
              <w:rPr/>
            </w:pPr>
            <w:r>
              <w:rPr/>
              <w:t>  ​ ​ ​ ​</w:t>
            </w:r>
          </w:p>
        </w:tc>
        <w:tc>
          <w:tcPr>
            <w:tcW w:w="10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Discounts and </w:t>
              <w:br/>
              <w:t xml:space="preserve">Deferred </w:t>
              <w:br/>
              <w:t xml:space="preserve">Financing </w:t>
              <w:br/>
              <w:t xml:space="preserve">Costs </w:t>
            </w:r>
          </w:p>
        </w:tc>
        <w:tc>
          <w:tcPr>
            <w:tcW w:w="406" w:type="dxa"/>
            <w:tcBorders/>
            <w:vAlign w:val="center"/>
          </w:tcPr>
          <w:p>
            <w:pPr>
              <w:pStyle w:val="TableContents"/>
              <w:bidi w:val="0"/>
              <w:spacing w:before="0" w:after="0"/>
              <w:ind w:left="0" w:right="0" w:hanging="0"/>
              <w:jc w:val="center"/>
              <w:rPr/>
            </w:pPr>
            <w:r>
              <w:rPr/>
              <w:t>  ​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Net </w:t>
              <w:br/>
              <w:t xml:space="preserve">Carrying </w:t>
              <w:br/>
              <w:t>Amount</w:t>
            </w:r>
          </w:p>
        </w:tc>
        <w:tc>
          <w:tcPr>
            <w:tcW w:w="406" w:type="dxa"/>
            <w:tcBorders/>
            <w:vAlign w:val="center"/>
          </w:tcPr>
          <w:p>
            <w:pPr>
              <w:pStyle w:val="TableContents"/>
              <w:bidi w:val="0"/>
              <w:spacing w:before="0" w:after="0"/>
              <w:ind w:left="0" w:right="0" w:hanging="0"/>
              <w:jc w:val="center"/>
              <w:rPr/>
            </w:pPr>
            <w:r>
              <w:rPr/>
              <w:t>  ​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Principal </w:t>
              <w:br/>
              <w:t>Amount</w:t>
            </w:r>
          </w:p>
        </w:tc>
        <w:tc>
          <w:tcPr>
            <w:tcW w:w="406" w:type="dxa"/>
            <w:tcBorders/>
            <w:vAlign w:val="center"/>
          </w:tcPr>
          <w:p>
            <w:pPr>
              <w:pStyle w:val="TableContents"/>
              <w:bidi w:val="0"/>
              <w:spacing w:before="0" w:after="0"/>
              <w:ind w:left="0" w:right="0" w:hanging="0"/>
              <w:jc w:val="center"/>
              <w:rPr/>
            </w:pPr>
            <w:r>
              <w:rPr/>
              <w:t>  ​ ​ ​ ​</w:t>
            </w:r>
          </w:p>
        </w:tc>
        <w:tc>
          <w:tcPr>
            <w:tcW w:w="10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Discounts and </w:t>
              <w:br/>
              <w:t xml:space="preserve">Deferred </w:t>
              <w:br/>
              <w:t xml:space="preserve">Financing </w:t>
              <w:br/>
              <w:t xml:space="preserve">Costs </w:t>
            </w:r>
          </w:p>
        </w:tc>
        <w:tc>
          <w:tcPr>
            <w:tcW w:w="406" w:type="dxa"/>
            <w:tcBorders/>
            <w:vAlign w:val="center"/>
          </w:tcPr>
          <w:p>
            <w:pPr>
              <w:pStyle w:val="TableContents"/>
              <w:bidi w:val="0"/>
              <w:spacing w:before="0" w:after="0"/>
              <w:ind w:left="0" w:right="0" w:hanging="0"/>
              <w:jc w:val="center"/>
              <w:rPr/>
            </w:pPr>
            <w:r>
              <w:rPr/>
              <w:t>  ​ ​ ​ ​</w:t>
            </w:r>
          </w:p>
        </w:tc>
        <w:tc>
          <w:tcPr>
            <w:tcW w:w="9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Net </w:t>
              <w:br/>
              <w:t xml:space="preserve">Carrying </w:t>
              <w:br/>
              <w:t>Amount</w:t>
            </w:r>
          </w:p>
        </w:tc>
      </w:tr>
      <w:tr>
        <w:trPr/>
        <w:tc>
          <w:tcPr>
            <w:tcW w:w="206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Convertible senior notes, non-current</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345,000</w:t>
            </w:r>
          </w:p>
        </w:tc>
        <w:tc>
          <w:tcPr>
            <w:tcW w:w="406" w:type="dxa"/>
            <w:tcBorders/>
            <w:shd w:fill="CCEEFF" w:val="clear"/>
            <w:vAlign w:val="center"/>
          </w:tcPr>
          <w:p>
            <w:pPr>
              <w:pStyle w:val="TableContents"/>
              <w:bidi w:val="0"/>
              <w:spacing w:before="0" w:after="0"/>
              <w:ind w:left="0" w:right="0" w:hanging="0"/>
              <w:jc w:val="left"/>
              <w:rPr/>
            </w:pPr>
            <w:r>
              <w:rPr/>
              <w:t>​</w:t>
            </w:r>
          </w:p>
        </w:tc>
        <w:tc>
          <w:tcPr>
            <w:tcW w:w="2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(6,395)</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338,605</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345,000</w:t>
            </w:r>
          </w:p>
        </w:tc>
        <w:tc>
          <w:tcPr>
            <w:tcW w:w="406" w:type="dxa"/>
            <w:tcBorders/>
            <w:shd w:fill="CCEEFF" w:val="clear"/>
            <w:vAlign w:val="center"/>
          </w:tcPr>
          <w:p>
            <w:pPr>
              <w:pStyle w:val="TableContents"/>
              <w:bidi w:val="0"/>
              <w:spacing w:before="0" w:after="0"/>
              <w:ind w:left="0" w:right="0" w:hanging="0"/>
              <w:jc w:val="left"/>
              <w:rPr/>
            </w:pPr>
            <w:r>
              <w:rPr/>
              <w:t>​</w:t>
            </w:r>
          </w:p>
        </w:tc>
        <w:tc>
          <w:tcPr>
            <w:tcW w:w="2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(7,523)</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337,477</w:t>
            </w:r>
          </w:p>
        </w:tc>
      </w:tr>
      <w:tr>
        <w:trPr/>
        <w:tc>
          <w:tcPr>
            <w:tcW w:w="206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debt</w:t>
            </w:r>
            <w:r>
              <w:rPr>
                <w:rFonts w:ascii="Times New Roman;Times;serif" w:hAnsi="Times New Roman;Times;serif"/>
                <w:color w:val="FF0000"/>
                <w:sz w:val="18"/>
              </w:rPr>
              <w:t xml:space="preserve"> </w:t>
            </w:r>
          </w:p>
        </w:tc>
        <w:tc>
          <w:tcPr>
            <w:tcW w:w="40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345,000</w:t>
            </w:r>
          </w:p>
        </w:tc>
        <w:tc>
          <w:tcPr>
            <w:tcW w:w="406" w:type="dxa"/>
            <w:tcBorders/>
            <w:vAlign w:val="center"/>
          </w:tcPr>
          <w:p>
            <w:pPr>
              <w:pStyle w:val="TableContents"/>
              <w:bidi w:val="0"/>
              <w:spacing w:before="0" w:after="0"/>
              <w:ind w:left="0" w:right="0" w:hanging="0"/>
              <w:jc w:val="left"/>
              <w:rPr/>
            </w:pPr>
            <w:r>
              <w:rPr/>
              <w:t>​</w:t>
            </w:r>
          </w:p>
        </w:tc>
        <w:tc>
          <w:tcPr>
            <w:tcW w:w="24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8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(6,395)</w:t>
            </w:r>
          </w:p>
        </w:tc>
        <w:tc>
          <w:tcPr>
            <w:tcW w:w="40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338,605</w:t>
            </w:r>
          </w:p>
        </w:tc>
        <w:tc>
          <w:tcPr>
            <w:tcW w:w="40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345,000</w:t>
            </w:r>
          </w:p>
        </w:tc>
        <w:tc>
          <w:tcPr>
            <w:tcW w:w="406" w:type="dxa"/>
            <w:tcBorders/>
            <w:vAlign w:val="center"/>
          </w:tcPr>
          <w:p>
            <w:pPr>
              <w:pStyle w:val="TableContents"/>
              <w:bidi w:val="0"/>
              <w:spacing w:before="0" w:after="0"/>
              <w:ind w:left="0" w:right="0" w:hanging="0"/>
              <w:jc w:val="left"/>
              <w:rPr/>
            </w:pPr>
            <w:r>
              <w:rPr/>
              <w:t>​</w:t>
            </w:r>
          </w:p>
        </w:tc>
        <w:tc>
          <w:tcPr>
            <w:tcW w:w="24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8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(7,523)</w:t>
            </w:r>
          </w:p>
        </w:tc>
        <w:tc>
          <w:tcPr>
            <w:tcW w:w="40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8"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337,477</w:t>
            </w:r>
          </w:p>
        </w:tc>
      </w:tr>
    </w:tbl>
    <w:p>
      <w:pPr>
        <w:pStyle w:val="TextBody"/>
        <w:bidi w:val="0"/>
        <w:spacing w:before="0" w:after="0"/>
        <w:ind w:left="0" w:right="0" w:hanging="0"/>
        <w:jc w:val="left"/>
        <w:rPr/>
      </w:pPr>
      <w:r>
        <w:rPr/>
        <w:t>​</w:t>
      </w:r>
    </w:p>
    <w:p>
      <w:pPr>
        <w:pStyle w:val="TextBody"/>
        <w:bidi w:val="0"/>
        <w:spacing w:before="0" w:after="0"/>
        <w:ind w:left="58" w:right="58" w:firstLine="324"/>
        <w:jc w:val="both"/>
        <w:rPr/>
      </w:pPr>
      <w:r>
        <w:rPr/>
        <w:t>​</w:t>
      </w:r>
    </w:p>
    <w:p>
      <w:pPr>
        <w:pStyle w:val="TextBody"/>
        <w:bidi w:val="0"/>
        <w:spacing w:before="0" w:after="0"/>
        <w:ind w:left="58" w:right="58" w:firstLine="324"/>
        <w:jc w:val="both"/>
        <w:rPr/>
      </w:pPr>
      <w:r>
        <w:rPr/>
        <w:t>​</w:t>
      </w:r>
    </w:p>
    <w:p>
      <w:pPr>
        <w:pStyle w:val="TextBody"/>
        <w:bidi w:val="0"/>
        <w:spacing w:before="0" w:after="0"/>
        <w:ind w:left="58" w:right="58" w:firstLine="324"/>
        <w:jc w:val="both"/>
        <w:rPr/>
      </w:pPr>
      <w:r>
        <w:rPr/>
        <w:t>​</w:t>
      </w:r>
    </w:p>
    <w:p>
      <w:pPr>
        <w:pStyle w:val="TextBody"/>
        <w:bidi w:val="0"/>
        <w:spacing w:before="0" w:after="0"/>
        <w:ind w:left="58" w:right="58" w:firstLine="324"/>
        <w:jc w:val="both"/>
        <w:rPr/>
      </w:pPr>
      <w:r>
        <w:rPr/>
        <w:t>​</w:t>
      </w:r>
    </w:p>
    <w:p>
      <w:pPr>
        <w:pStyle w:val="TextBody"/>
        <w:bidi w:val="0"/>
        <w:spacing w:before="0" w:after="0"/>
        <w:ind w:left="58" w:right="58" w:firstLine="324"/>
        <w:jc w:val="both"/>
        <w:rPr/>
      </w:pPr>
      <w:r>
        <w:rPr/>
        <w:t>​</w:t>
      </w:r>
    </w:p>
    <w:p>
      <w:pPr>
        <w:pStyle w:val="TextBody"/>
        <w:bidi w:val="0"/>
        <w:spacing w:before="0" w:after="0"/>
        <w:ind w:left="58" w:right="58" w:firstLine="324"/>
        <w:jc w:val="both"/>
        <w:rPr/>
      </w:pPr>
      <w:r>
        <w:rPr/>
        <w:t>​</w:t>
      </w:r>
    </w:p>
    <w:p>
      <w:pPr>
        <w:pStyle w:val="TextBody"/>
        <w:bidi w:val="0"/>
        <w:spacing w:before="0" w:after="0"/>
        <w:ind w:left="58" w:right="58" w:firstLine="324"/>
        <w:jc w:val="both"/>
        <w:rPr/>
      </w:pPr>
      <w:r>
        <w:rPr/>
        <w:t>​</w:t>
      </w:r>
    </w:p>
    <w:p>
      <w:pPr>
        <w:pStyle w:val="TextBody"/>
        <w:bidi w:val="0"/>
        <w:spacing w:before="0" w:after="0"/>
        <w:ind w:left="58" w:right="58" w:firstLine="324"/>
        <w:jc w:val="both"/>
        <w:rPr/>
      </w:pPr>
      <w:r>
        <w:rPr/>
        <w:t>​</w:t>
      </w:r>
    </w:p>
    <w:p>
      <w:pPr>
        <w:pStyle w:val="TextBody"/>
        <w:bidi w:val="0"/>
        <w:spacing w:before="0" w:after="0"/>
        <w:ind w:left="58" w:right="58" w:firstLine="324"/>
        <w:jc w:val="both"/>
        <w:rPr/>
      </w:pPr>
      <w:r>
        <w:rPr/>
        <w:t>​</w:t>
      </w:r>
    </w:p>
    <w:p>
      <w:pPr>
        <w:pStyle w:val="TextBody"/>
        <w:bidi w:val="0"/>
        <w:spacing w:before="0" w:after="0"/>
        <w:ind w:left="58" w:right="58" w:firstLine="324"/>
        <w:jc w:val="both"/>
        <w:rPr/>
      </w:pPr>
      <w:r>
        <w:rPr/>
        <w:t>​</w:t>
      </w:r>
    </w:p>
    <w:p>
      <w:pPr>
        <w:pStyle w:val="TextBody"/>
        <w:bidi w:val="0"/>
        <w:spacing w:before="0" w:after="0"/>
        <w:ind w:left="58" w:right="58" w:firstLine="324"/>
        <w:jc w:val="both"/>
        <w:rPr/>
      </w:pPr>
      <w:r>
        <w:rPr/>
        <w:t>​</w:t>
      </w:r>
    </w:p>
    <w:p>
      <w:pPr>
        <w:pStyle w:val="TextBody"/>
        <w:bidi w:val="0"/>
        <w:spacing w:before="0" w:after="0"/>
        <w:ind w:left="58" w:right="58" w:firstLine="324"/>
        <w:jc w:val="both"/>
        <w:rPr/>
      </w:pPr>
      <w:r>
        <w:rPr/>
        <w:t>​</w:t>
      </w:r>
    </w:p>
    <w:p>
      <w:pPr>
        <w:pStyle w:val="TextBody"/>
        <w:bidi w:val="0"/>
        <w:spacing w:before="0" w:after="0"/>
        <w:ind w:left="58" w:right="58" w:firstLine="324"/>
        <w:jc w:val="both"/>
        <w:rPr>
          <w:rFonts w:ascii="Times New Roman;Times;serif" w:hAnsi="Times New Roman;Times;serif"/>
          <w:sz w:val="20"/>
        </w:rPr>
      </w:pPr>
      <w:r>
        <w:rPr>
          <w:rFonts w:ascii="Times New Roman;Times;serif" w:hAnsi="Times New Roman;Times;serif"/>
          <w:sz w:val="20"/>
        </w:rPr>
        <w:t xml:space="preserve">The Company’s interest expense related to the Notes is as follows: </w:t>
      </w:r>
    </w:p>
    <w:p>
      <w:pPr>
        <w:pStyle w:val="TextBody"/>
        <w:bidi w:val="0"/>
        <w:spacing w:before="0" w:after="0"/>
        <w:ind w:left="58" w:right="58" w:firstLine="324"/>
        <w:jc w:val="both"/>
        <w:rPr/>
      </w:pPr>
      <w:r>
        <w:rPr/>
        <w:t>​</w:t>
      </w:r>
    </w:p>
    <w:p>
      <w:pPr>
        <w:pStyle w:val="TextBody"/>
        <w:bidi w:val="0"/>
        <w:spacing w:before="0" w:after="0"/>
        <w:ind w:left="58" w:right="58" w:firstLine="324"/>
        <w:jc w:val="both"/>
        <w:rPr/>
      </w:pPr>
      <w:r>
        <w:rPr/>
        <w:t>​</w:t>
      </w:r>
    </w:p>
    <w:p>
      <w:pPr>
        <w:pStyle w:val="TextBody"/>
        <w:bidi w:val="0"/>
        <w:spacing w:before="0" w:after="0"/>
        <w:ind w:left="58" w:right="58" w:firstLine="324"/>
        <w:jc w:val="both"/>
        <w:rPr/>
      </w:pPr>
      <w:r>
        <w:rPr/>
        <w:t>​</w:t>
      </w:r>
    </w:p>
    <w:tbl>
      <w:tblPr>
        <w:tblW w:w="9898" w:type="dxa"/>
        <w:jc w:val="left"/>
        <w:tblInd w:w="0" w:type="dxa"/>
        <w:tblLayout w:type="fixed"/>
        <w:tblCellMar>
          <w:top w:w="0" w:type="dxa"/>
          <w:left w:w="0" w:type="dxa"/>
          <w:bottom w:w="0" w:type="dxa"/>
          <w:right w:w="0" w:type="dxa"/>
        </w:tblCellMar>
      </w:tblPr>
      <w:tblGrid>
        <w:gridCol w:w="3946"/>
        <w:gridCol w:w="109"/>
        <w:gridCol w:w="109"/>
        <w:gridCol w:w="353"/>
        <w:gridCol w:w="957"/>
        <w:gridCol w:w="182"/>
        <w:gridCol w:w="353"/>
        <w:gridCol w:w="957"/>
        <w:gridCol w:w="109"/>
        <w:gridCol w:w="109"/>
        <w:gridCol w:w="320"/>
        <w:gridCol w:w="867"/>
        <w:gridCol w:w="165"/>
        <w:gridCol w:w="320"/>
        <w:gridCol w:w="1042"/>
      </w:tblGrid>
      <w:tr>
        <w:trPr/>
        <w:tc>
          <w:tcPr>
            <w:tcW w:w="3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505710" cy="175260"/>
                      <wp:effectExtent l="0" t="0" r="0" b="0"/>
                      <wp:wrapNone/>
                      <wp:docPr id="261" name="Frame261"/>
                      <a:graphic xmlns:a="http://schemas.openxmlformats.org/drawingml/2006/main">
                        <a:graphicData uri="http://schemas.microsoft.com/office/word/2010/wordprocessingShape">
                          <wps:wsp>
                            <wps:cNvSpPr txBox="1"/>
                            <wps:spPr>
                              <a:xfrm>
                                <a:off x="0" y="0"/>
                                <a:ext cx="2505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9215" cy="175260"/>
                      <wp:effectExtent l="0" t="0" r="0" b="0"/>
                      <wp:wrapNone/>
                      <wp:docPr id="262" name="Frame2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9215" cy="175260"/>
                      <wp:effectExtent l="0" t="0" r="0" b="0"/>
                      <wp:wrapNone/>
                      <wp:docPr id="263" name="Frame2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24155" cy="175260"/>
                      <wp:effectExtent l="0" t="0" r="0" b="0"/>
                      <wp:wrapNone/>
                      <wp:docPr id="264" name="Frame264"/>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07695" cy="175260"/>
                      <wp:effectExtent l="0" t="0" r="0" b="0"/>
                      <wp:wrapNone/>
                      <wp:docPr id="265" name="Frame265"/>
                      <a:graphic xmlns:a="http://schemas.openxmlformats.org/drawingml/2006/main">
                        <a:graphicData uri="http://schemas.microsoft.com/office/word/2010/wordprocessingShape">
                          <wps:wsp>
                            <wps:cNvSpPr txBox="1"/>
                            <wps:spPr>
                              <a:xfrm>
                                <a:off x="0" y="0"/>
                                <a:ext cx="607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15570" cy="175260"/>
                      <wp:effectExtent l="0" t="0" r="0" b="0"/>
                      <wp:wrapNone/>
                      <wp:docPr id="266" name="Frame266"/>
                      <a:graphic xmlns:a="http://schemas.openxmlformats.org/drawingml/2006/main">
                        <a:graphicData uri="http://schemas.microsoft.com/office/word/2010/wordprocessingShape">
                          <wps:wsp>
                            <wps:cNvSpPr txBox="1"/>
                            <wps:spPr>
                              <a:xfrm>
                                <a:off x="0" y="0"/>
                                <a:ext cx="115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24155" cy="175260"/>
                      <wp:effectExtent l="0" t="0" r="0" b="0"/>
                      <wp:wrapNone/>
                      <wp:docPr id="267" name="Frame267"/>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07695" cy="175260"/>
                      <wp:effectExtent l="0" t="0" r="0" b="0"/>
                      <wp:wrapNone/>
                      <wp:docPr id="268" name="Frame268"/>
                      <a:graphic xmlns:a="http://schemas.openxmlformats.org/drawingml/2006/main">
                        <a:graphicData uri="http://schemas.microsoft.com/office/word/2010/wordprocessingShape">
                          <wps:wsp>
                            <wps:cNvSpPr txBox="1"/>
                            <wps:spPr>
                              <a:xfrm>
                                <a:off x="0" y="0"/>
                                <a:ext cx="607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9215" cy="175260"/>
                      <wp:effectExtent l="0" t="0" r="0" b="0"/>
                      <wp:wrapNone/>
                      <wp:docPr id="269" name="Frame26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9215" cy="175260"/>
                      <wp:effectExtent l="0" t="0" r="0" b="0"/>
                      <wp:wrapNone/>
                      <wp:docPr id="270" name="Frame2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03200" cy="175260"/>
                      <wp:effectExtent l="0" t="0" r="0" b="0"/>
                      <wp:wrapNone/>
                      <wp:docPr id="271" name="Frame271"/>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550545" cy="175260"/>
                      <wp:effectExtent l="0" t="0" r="0" b="0"/>
                      <wp:wrapNone/>
                      <wp:docPr id="272" name="Frame272"/>
                      <a:graphic xmlns:a="http://schemas.openxmlformats.org/drawingml/2006/main">
                        <a:graphicData uri="http://schemas.microsoft.com/office/word/2010/wordprocessingShape">
                          <wps:wsp>
                            <wps:cNvSpPr txBox="1"/>
                            <wps:spPr>
                              <a:xfrm>
                                <a:off x="0" y="0"/>
                                <a:ext cx="550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104775" cy="175260"/>
                      <wp:effectExtent l="0" t="0" r="0" b="0"/>
                      <wp:wrapNone/>
                      <wp:docPr id="273" name="Frame273"/>
                      <a:graphic xmlns:a="http://schemas.openxmlformats.org/drawingml/2006/main">
                        <a:graphicData uri="http://schemas.microsoft.com/office/word/2010/wordprocessingShape">
                          <wps:wsp>
                            <wps:cNvSpPr txBox="1"/>
                            <wps:spPr>
                              <a:xfrm>
                                <a:off x="0" y="0"/>
                                <a:ext cx="104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03200" cy="175260"/>
                      <wp:effectExtent l="0" t="0" r="0" b="0"/>
                      <wp:wrapNone/>
                      <wp:docPr id="274" name="Frame274"/>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61670" cy="175260"/>
                      <wp:effectExtent l="0" t="0" r="0" b="0"/>
                      <wp:wrapNone/>
                      <wp:docPr id="275" name="Frame275"/>
                      <a:graphic xmlns:a="http://schemas.openxmlformats.org/drawingml/2006/main">
                        <a:graphicData uri="http://schemas.microsoft.com/office/word/2010/wordprocessingShape">
                          <wps:wsp>
                            <wps:cNvSpPr txBox="1"/>
                            <wps:spPr>
                              <a:xfrm>
                                <a:off x="0" y="0"/>
                                <a:ext cx="661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80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June 30, </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1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June 30,  </w:t>
            </w:r>
          </w:p>
        </w:tc>
      </w:tr>
      <w:tr>
        <w:trPr/>
        <w:tc>
          <w:tcPr>
            <w:tcW w:w="39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5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82" w:type="dxa"/>
            <w:tcBorders/>
            <w:vAlign w:val="center"/>
          </w:tcPr>
          <w:p>
            <w:pPr>
              <w:pStyle w:val="TableContents"/>
              <w:bidi w:val="0"/>
              <w:spacing w:before="0" w:after="0"/>
              <w:ind w:left="0" w:right="0" w:hanging="0"/>
              <w:jc w:val="center"/>
              <w:rPr/>
            </w:pPr>
            <w:r>
              <w:rPr/>
              <w:t>​</w:t>
            </w:r>
          </w:p>
        </w:tc>
        <w:tc>
          <w:tcPr>
            <w:tcW w:w="35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86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65"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320"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4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9898" w:type="dxa"/>
            <w:gridSpan w:val="15"/>
            <w:tcBorders/>
            <w:vAlign w:val="center"/>
          </w:tcPr>
          <w:p>
            <w:pPr>
              <w:pStyle w:val="TableContents"/>
              <w:bidi w:val="0"/>
              <w:spacing w:before="0" w:after="283"/>
              <w:ind w:left="0" w:right="0" w:hanging="0"/>
              <w:jc w:val="left"/>
              <w:rPr>
                <w:sz w:val="4"/>
                <w:szCs w:val="4"/>
              </w:rPr>
            </w:pPr>
            <w:r>
              <w:rPr>
                <w:sz w:val="4"/>
                <w:szCs w:val="4"/>
              </w:rPr>
            </w:r>
          </w:p>
        </w:tc>
      </w:tr>
      <w:tr>
        <w:trPr/>
        <w:tc>
          <w:tcPr>
            <w:tcW w:w="39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w:t>
            </w:r>
          </w:p>
        </w:tc>
        <w:tc>
          <w:tcPr>
            <w:tcW w:w="2449"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1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3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Contractual interest expense</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647</w:t>
            </w:r>
          </w:p>
        </w:tc>
        <w:tc>
          <w:tcPr>
            <w:tcW w:w="182"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647</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1,294</w:t>
            </w:r>
          </w:p>
        </w:tc>
        <w:tc>
          <w:tcPr>
            <w:tcW w:w="165"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1,294</w:t>
            </w:r>
          </w:p>
        </w:tc>
      </w:tr>
      <w:tr>
        <w:trPr/>
        <w:tc>
          <w:tcPr>
            <w:tcW w:w="3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issuance costs</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5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564</w:t>
            </w:r>
          </w:p>
        </w:tc>
        <w:tc>
          <w:tcPr>
            <w:tcW w:w="182" w:type="dxa"/>
            <w:tcBorders/>
            <w:vAlign w:val="center"/>
          </w:tcPr>
          <w:p>
            <w:pPr>
              <w:pStyle w:val="TableContents"/>
              <w:bidi w:val="0"/>
              <w:spacing w:before="0" w:after="0"/>
              <w:ind w:left="0" w:right="0" w:hanging="0"/>
              <w:jc w:val="left"/>
              <w:rPr/>
            </w:pPr>
            <w:r>
              <w:rPr/>
              <w:t>​</w:t>
            </w:r>
          </w:p>
        </w:tc>
        <w:tc>
          <w:tcPr>
            <w:tcW w:w="35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564</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1,128</w:t>
            </w:r>
          </w:p>
        </w:tc>
        <w:tc>
          <w:tcPr>
            <w:tcW w:w="165" w:type="dxa"/>
            <w:tcBorders/>
            <w:vAlign w:val="center"/>
          </w:tcPr>
          <w:p>
            <w:pPr>
              <w:pStyle w:val="TableContents"/>
              <w:bidi w:val="0"/>
              <w:spacing w:before="0" w:after="0"/>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1,128</w:t>
            </w:r>
          </w:p>
        </w:tc>
      </w:tr>
      <w:tr>
        <w:trPr/>
        <w:tc>
          <w:tcPr>
            <w:tcW w:w="3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interest expense, convertible senior notes</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5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1,211</w:t>
            </w:r>
          </w:p>
        </w:tc>
        <w:tc>
          <w:tcPr>
            <w:tcW w:w="182" w:type="dxa"/>
            <w:tcBorders/>
            <w:shd w:fill="CCEEFF" w:val="clear"/>
            <w:vAlign w:val="center"/>
          </w:tcPr>
          <w:p>
            <w:pPr>
              <w:pStyle w:val="TableContents"/>
              <w:bidi w:val="0"/>
              <w:spacing w:before="0" w:after="0"/>
              <w:ind w:left="0" w:right="0" w:hanging="0"/>
              <w:jc w:val="left"/>
              <w:rPr/>
            </w:pPr>
            <w:r>
              <w:rPr/>
              <w:t>​</w:t>
            </w:r>
          </w:p>
        </w:tc>
        <w:tc>
          <w:tcPr>
            <w:tcW w:w="35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1,211</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2,422</w:t>
            </w:r>
          </w:p>
        </w:tc>
        <w:tc>
          <w:tcPr>
            <w:tcW w:w="165" w:type="dxa"/>
            <w:tcBorders/>
            <w:shd w:fill="CCEEFF" w:val="clear"/>
            <w:vAlign w:val="center"/>
          </w:tcPr>
          <w:p>
            <w:pPr>
              <w:pStyle w:val="TableContents"/>
              <w:bidi w:val="0"/>
              <w:spacing w:before="0" w:after="0"/>
              <w:ind w:left="0" w:right="0" w:hanging="0"/>
              <w:jc w:val="left"/>
              <w:rPr/>
            </w:pPr>
            <w:r>
              <w:rPr/>
              <w:t>​</w:t>
            </w:r>
          </w:p>
        </w:tc>
        <w:tc>
          <w:tcPr>
            <w:tcW w:w="3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2,422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58" w:right="58" w:firstLine="324"/>
        <w:jc w:val="both"/>
        <w:rPr/>
      </w:pPr>
      <w:r>
        <w:rPr/>
        <w:t>​</w:t>
      </w:r>
    </w:p>
    <w:p>
      <w:pPr>
        <w:pStyle w:val="TextBody"/>
        <w:bidi w:val="0"/>
        <w:spacing w:before="0" w:after="0"/>
        <w:ind w:left="58" w:right="58" w:firstLine="324"/>
        <w:jc w:val="both"/>
        <w:rPr/>
      </w:pPr>
      <w:r>
        <w:rPr/>
        <w:t>​</w:t>
      </w:r>
    </w:p>
    <w:p>
      <w:pPr>
        <w:pStyle w:val="TextBody"/>
        <w:bidi w:val="0"/>
        <w:spacing w:before="0" w:after="0"/>
        <w:ind w:left="58" w:right="58" w:firstLine="324"/>
        <w:jc w:val="both"/>
        <w:rPr/>
      </w:pPr>
      <w:r>
        <w:rPr/>
        <w:t>​</w:t>
      </w:r>
    </w:p>
    <w:p>
      <w:pPr>
        <w:pStyle w:val="TextBody"/>
        <w:bidi w:val="0"/>
        <w:spacing w:before="0" w:after="0"/>
        <w:ind w:left="58" w:right="58" w:firstLine="324"/>
        <w:jc w:val="both"/>
        <w:rPr/>
      </w:pPr>
      <w:r>
        <w:rPr/>
        <w:t>​</w:t>
      </w:r>
    </w:p>
    <w:p>
      <w:pPr>
        <w:pStyle w:val="TextBody"/>
        <w:bidi w:val="0"/>
        <w:spacing w:before="0" w:after="0"/>
        <w:ind w:left="58" w:right="58" w:firstLine="324"/>
        <w:jc w:val="both"/>
        <w:rPr/>
      </w:pPr>
      <w:r>
        <w:rPr/>
        <w:t>​</w:t>
      </w:r>
    </w:p>
    <w:p>
      <w:pPr>
        <w:pStyle w:val="TextBody"/>
        <w:bidi w:val="0"/>
        <w:spacing w:before="0" w:after="0"/>
        <w:ind w:left="58" w:right="58" w:firstLine="324"/>
        <w:jc w:val="both"/>
        <w:rPr/>
      </w:pPr>
      <w:r>
        <w:rPr/>
        <w:t>​</w:t>
      </w:r>
    </w:p>
    <w:p>
      <w:pPr>
        <w:pStyle w:val="TextBody"/>
        <w:bidi w:val="0"/>
        <w:spacing w:before="0" w:after="0"/>
        <w:ind w:left="58" w:right="58" w:firstLine="324"/>
        <w:jc w:val="both"/>
        <w:rPr/>
      </w:pPr>
      <w:r>
        <w:rPr/>
        <w:t>​</w:t>
      </w:r>
    </w:p>
    <w:p>
      <w:pPr>
        <w:pStyle w:val="TextBody"/>
        <w:bidi w:val="0"/>
        <w:spacing w:before="0" w:after="0"/>
        <w:ind w:left="58" w:right="58" w:firstLine="324"/>
        <w:jc w:val="both"/>
        <w:rPr/>
      </w:pPr>
      <w:r>
        <w:rPr/>
        <w:t>​</w:t>
      </w:r>
    </w:p>
    <w:p>
      <w:pPr>
        <w:pStyle w:val="TextBody"/>
        <w:bidi w:val="0"/>
        <w:spacing w:before="0" w:after="0"/>
        <w:ind w:left="58" w:right="58" w:firstLine="324"/>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766" w:type="dxa"/>
        <w:jc w:val="left"/>
        <w:tblInd w:w="0" w:type="dxa"/>
        <w:tblLayout w:type="fixed"/>
        <w:tblCellMar>
          <w:top w:w="0" w:type="dxa"/>
          <w:left w:w="0" w:type="dxa"/>
          <w:bottom w:w="0" w:type="dxa"/>
          <w:right w:w="0" w:type="dxa"/>
        </w:tblCellMar>
      </w:tblPr>
      <w:tblGrid>
        <w:gridCol w:w="6766"/>
      </w:tblGrid>
      <w:tr>
        <w:trPr/>
        <w:tc>
          <w:tcPr>
            <w:tcW w:w="6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9.</w:t>
      </w:r>
      <w:r>
        <w:rPr>
          <w:rFonts w:ascii="Times New Roman;Times;serif" w:hAnsi="Times New Roman;Times;serif"/>
          <w:b/>
          <w:sz w:val="20"/>
        </w:rPr>
        <w:t>STOCKHOLDERS’ EQUITY</w:t>
      </w:r>
      <w:r>
        <w:rPr>
          <w:rFonts w:ascii="Times New Roman;Times;serif" w:hAnsi="Times New Roman;Times;serif"/>
          <w:b/>
          <w:color w:val="FF0000"/>
          <w:sz w:val="20"/>
        </w:rPr>
        <w:t xml:space="preserve"> </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Common Stock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During the three months ended June 30, 2026, the Company issued (i) 269 shares of Class A common stock related to the exercise of options, net of 59 shares returned to the Company in lieu of payment of the exercise price and taxes due on these exercises, and (ii) 84 shares of Class A common stock in connection with the vesting of Restricted Stock Units (“RSUs”), net of 41 shares returned to the Company in lieu of payment of taxes due on the vesting of these RSUs. During the six months ended June 30, 2026, the Company issued (i) 306 shares of Class A common stock related to the exercise of options, net of 59 shares returned to the Company in lieu of payment of the exercise price and taxes due on these exercises, and (ii) 1,025 shares of Class A common stock in connection with the vesting of RSUs, net of 590 shares returned to the Company in lieu of payment of taxes due on the vesting of these RSUs. During the six months ended June 30, 2026, the Company issued 324 shares of its Class A common stock for the Stock Earn-out period ended November 30, 2025. During the three and six months ended June 30, 2026, the Company issued (i) 37 shares of Class A common stock in connection with the vesting of Restricted Stock Awards (“RSAs”), and (ii) 142 shares of Class A common stock in connection with the ESPP.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three months ended June 30, 2025, the Company issued (i) 871 shares of Class A common stock related to the exercise of options, net of five shares returned to the Company in lieu of payment of the exercise price and taxes due on these exercises, and (ii) 52 shares of Class A common stock in connection with the vesting of RSUs, net of 25 shares returned to the Company in lieu of payment of taxes due on the vesting of these RSUs. During the six months ended June 30, 2025, the Company issued (i) 1,245 shares of Class A common stock related to the exercise of options, net of 18 shares returned to the Company in lieu of payment of the exercise price and taxes due on these exercises, and (ii) 915 shares of Class A common stock in connection with the vesting of RSUs, net of 570 shares returned to the Company in lieu of payment of taxes due on the vesting of these RSUs. During the three and six months ended June 30, 2025, the Company issued (i) 34 shares of Class A common stock in connection with the vesting of RSAs, (ii) 53 shares of Class A common stock in connection with the ESPP, and (iii) 4,325 shares of Class A common stock related to a stockholder’s election to convert an equivalent number of shares of Class B common stock.</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Treasury Stock</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The Repurchase Program</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October 30, 2025, the board of directors (the “Board”) authorized a stock repurchase program for up to $150,000 of the Company’s outstanding shares of Class A common stock (the “Repurchase Program”). Under the Repurchase Program, share repurchases may be made from time to time in one or more open market or privately negotiated transactions, and/or through other legally permissible means in accordance with applicable rules and regulations promulgated under the Securities Exchange Act of 1934, as amended (the “Exchange Act”). The timing and amount of any shares repurchased will be determined by the Company’s management based on its evaluation of market conditions and other factors. Repurchases may also be made under a Rule 10b5-1 plan, which would permit shares to be repurchased when the Company might otherwise be precluded from doing so under insider trading laws. Any repurchased shares will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766" w:type="dxa"/>
        <w:jc w:val="left"/>
        <w:tblInd w:w="0" w:type="dxa"/>
        <w:tblLayout w:type="fixed"/>
        <w:tblCellMar>
          <w:top w:w="0" w:type="dxa"/>
          <w:left w:w="0" w:type="dxa"/>
          <w:bottom w:w="0" w:type="dxa"/>
          <w:right w:w="0" w:type="dxa"/>
        </w:tblCellMar>
      </w:tblPr>
      <w:tblGrid>
        <w:gridCol w:w="6766"/>
      </w:tblGrid>
      <w:tr>
        <w:trPr/>
        <w:tc>
          <w:tcPr>
            <w:tcW w:w="6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bookmarkStart w:id="1805" w:name="Tc_JzRN75nzbkGNdzWf4BfK5Q_7_0"/>
      <w:bookmarkStart w:id="1806" w:name="Tc_3mO_V7gPdUmdkrepShwIgg_6_11"/>
      <w:bookmarkStart w:id="1807" w:name="Tc_v4NuldNOiEOBvzHfGFM3Fw_6_10"/>
      <w:bookmarkStart w:id="1808" w:name="Tc_syL5tFmvGEe6YOF5tMfMnw_6_7"/>
      <w:bookmarkStart w:id="1809" w:name="Tc_VaTNeBbWFkKdsIPuEPMTkQ_6_5"/>
      <w:bookmarkStart w:id="1810" w:name="Tc_trrjH4BXJUes9HQ8q_Zyxg_6_4"/>
      <w:bookmarkStart w:id="1811" w:name="Tc__FlxbLLrwkCvS_WFkiWRaw_6_1"/>
      <w:bookmarkStart w:id="1812" w:name="Tc_nnk9SDepDkakfFdQVfA_GQ_6_0"/>
      <w:bookmarkStart w:id="1813" w:name="Tc_1cLuos9VwUqQZDrRTSbYZQ_5_11"/>
      <w:bookmarkStart w:id="1814" w:name="Tc_njixKC7hwku-En4w2i5R5A_5_10"/>
      <w:bookmarkStart w:id="1815" w:name="Tc_823d4lsqKUGgeC79xO72GQ_5_7"/>
      <w:bookmarkStart w:id="1816" w:name="Tc_Mx6ua5MCnkeGvCk747tVCA_5_5"/>
      <w:bookmarkStart w:id="1817" w:name="Tc_ZDm5zbYOWU6ugIdYVVitlw_5_4"/>
      <w:bookmarkStart w:id="1818" w:name="Tc_qGoa9BN87EualKONUWGB0w_5_1"/>
      <w:bookmarkStart w:id="1819" w:name="Tc_uHJ8Kb-tB0CTb5GI9rKZqQ_5_0"/>
      <w:bookmarkStart w:id="1820" w:name="Tc_ZpYnWegjX0GTrCbcl6TxTA_4_11"/>
      <w:bookmarkStart w:id="1821" w:name="Tc_pc2gcec5jUGVE5Rf1B9dew_4_5"/>
      <w:bookmarkStart w:id="1822" w:name="Tc_3IHKjgO84UuUTgPA294lIg_4_0"/>
      <w:bookmarkStart w:id="1823" w:name="Tc_tbCh3uYe9kycJ0sycUyAdQ_3_7"/>
      <w:bookmarkStart w:id="1824" w:name="Tc_5F-B5RrD7kGbWBIVE_7XOg_3_1"/>
      <w:bookmarkStart w:id="1825" w:name="Tc_Z1fl6Kh2l0yyvt7YFvCgoQ_2_10"/>
      <w:bookmarkStart w:id="1826" w:name="Tc_Ee33uiIV-UW7INEZMBxTpA_2_7"/>
      <w:bookmarkStart w:id="1827" w:name="Tc_LYeWHVlWQkuXTvuYEMe_hQ_2_4"/>
      <w:bookmarkStart w:id="1828" w:name="Tc_kQqs6qsHEU2mINlAKNFGzg_2_1"/>
      <w:bookmarkStart w:id="1829" w:name="Tc_AmvgQCKOpkuLclq63m90Wg_1_7"/>
      <w:bookmarkStart w:id="1830" w:name="Tc_xTX-g3iZoU6cL8-EtOfUaA_1_1"/>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r>
        <w:rPr>
          <w:rFonts w:ascii="Times New Roman;Times;serif" w:hAnsi="Times New Roman;Times;serif"/>
          <w:sz w:val="20"/>
        </w:rPr>
        <w:t xml:space="preserve">be available for use in connection with the Company’s stock plans and for other corporate purposes. The Repurchase Program has no termination date and may be modified, suspended or discontinued at any time.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table below sets forth information regarding repurchase of shares under the Repurchase Program (in thousands, except per share data): </w:t>
      </w:r>
    </w:p>
    <w:p>
      <w:pPr>
        <w:pStyle w:val="TextBody"/>
        <w:bidi w:val="0"/>
        <w:spacing w:before="0" w:after="0"/>
        <w:ind w:left="0" w:right="0" w:hanging="0"/>
        <w:jc w:val="left"/>
        <w:rPr/>
      </w:pPr>
      <w:r>
        <w:rPr/>
        <w:t>​</w:t>
      </w:r>
    </w:p>
    <w:tbl>
      <w:tblPr>
        <w:tblW w:w="8612" w:type="dxa"/>
        <w:jc w:val="left"/>
        <w:tblInd w:w="0" w:type="dxa"/>
        <w:tblLayout w:type="fixed"/>
        <w:tblCellMar>
          <w:top w:w="0" w:type="dxa"/>
          <w:left w:w="0" w:type="dxa"/>
          <w:bottom w:w="0" w:type="dxa"/>
          <w:right w:w="0" w:type="dxa"/>
        </w:tblCellMar>
      </w:tblPr>
      <w:tblGrid>
        <w:gridCol w:w="2986"/>
        <w:gridCol w:w="330"/>
        <w:gridCol w:w="1059"/>
        <w:gridCol w:w="542"/>
        <w:gridCol w:w="330"/>
        <w:gridCol w:w="542"/>
        <w:gridCol w:w="109"/>
        <w:gridCol w:w="312"/>
        <w:gridCol w:w="1000"/>
        <w:gridCol w:w="512"/>
        <w:gridCol w:w="312"/>
        <w:gridCol w:w="578"/>
      </w:tblGrid>
      <w:tr>
        <w:trPr/>
        <w:tc>
          <w:tcPr>
            <w:tcW w:w="29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896110" cy="175260"/>
                      <wp:effectExtent l="0" t="0" r="0" b="0"/>
                      <wp:wrapNone/>
                      <wp:docPr id="276" name="Frame276"/>
                      <a:graphic xmlns:a="http://schemas.openxmlformats.org/drawingml/2006/main">
                        <a:graphicData uri="http://schemas.microsoft.com/office/word/2010/wordprocessingShape">
                          <wps:wsp>
                            <wps:cNvSpPr txBox="1"/>
                            <wps:spPr>
                              <a:xfrm>
                                <a:off x="0" y="0"/>
                                <a:ext cx="1896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09550" cy="175260"/>
                      <wp:effectExtent l="0" t="0" r="0" b="0"/>
                      <wp:wrapNone/>
                      <wp:docPr id="277" name="Frame277"/>
                      <a:graphic xmlns:a="http://schemas.openxmlformats.org/drawingml/2006/main">
                        <a:graphicData uri="http://schemas.microsoft.com/office/word/2010/wordprocessingShape">
                          <wps:wsp>
                            <wps:cNvSpPr txBox="1"/>
                            <wps:spPr>
                              <a:xfrm>
                                <a:off x="0" y="0"/>
                                <a:ext cx="209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72465" cy="175260"/>
                      <wp:effectExtent l="0" t="0" r="0" b="0"/>
                      <wp:wrapNone/>
                      <wp:docPr id="278" name="Frame278"/>
                      <a:graphic xmlns:a="http://schemas.openxmlformats.org/drawingml/2006/main">
                        <a:graphicData uri="http://schemas.microsoft.com/office/word/2010/wordprocessingShape">
                          <wps:wsp>
                            <wps:cNvSpPr txBox="1"/>
                            <wps:spPr>
                              <a:xfrm>
                                <a:off x="0" y="0"/>
                                <a:ext cx="672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344170" cy="175260"/>
                      <wp:effectExtent l="0" t="0" r="0" b="0"/>
                      <wp:wrapNone/>
                      <wp:docPr id="279" name="Frame279"/>
                      <a:graphic xmlns:a="http://schemas.openxmlformats.org/drawingml/2006/main">
                        <a:graphicData uri="http://schemas.microsoft.com/office/word/2010/wordprocessingShape">
                          <wps:wsp>
                            <wps:cNvSpPr txBox="1"/>
                            <wps:spPr>
                              <a:xfrm>
                                <a:off x="0" y="0"/>
                                <a:ext cx="344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09550" cy="175260"/>
                      <wp:effectExtent l="0" t="0" r="0" b="0"/>
                      <wp:wrapNone/>
                      <wp:docPr id="280" name="Frame280"/>
                      <a:graphic xmlns:a="http://schemas.openxmlformats.org/drawingml/2006/main">
                        <a:graphicData uri="http://schemas.microsoft.com/office/word/2010/wordprocessingShape">
                          <wps:wsp>
                            <wps:cNvSpPr txBox="1"/>
                            <wps:spPr>
                              <a:xfrm>
                                <a:off x="0" y="0"/>
                                <a:ext cx="209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344170" cy="175260"/>
                      <wp:effectExtent l="0" t="0" r="0" b="0"/>
                      <wp:wrapNone/>
                      <wp:docPr id="281" name="Frame281"/>
                      <a:graphic xmlns:a="http://schemas.openxmlformats.org/drawingml/2006/main">
                        <a:graphicData uri="http://schemas.microsoft.com/office/word/2010/wordprocessingShape">
                          <wps:wsp>
                            <wps:cNvSpPr txBox="1"/>
                            <wps:spPr>
                              <a:xfrm>
                                <a:off x="0" y="0"/>
                                <a:ext cx="344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9215" cy="175260"/>
                      <wp:effectExtent l="0" t="0" r="0" b="0"/>
                      <wp:wrapNone/>
                      <wp:docPr id="282" name="Frame28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198120" cy="175260"/>
                      <wp:effectExtent l="0" t="0" r="0" b="0"/>
                      <wp:wrapNone/>
                      <wp:docPr id="283" name="Frame283"/>
                      <a:graphic xmlns:a="http://schemas.openxmlformats.org/drawingml/2006/main">
                        <a:graphicData uri="http://schemas.microsoft.com/office/word/2010/wordprocessingShape">
                          <wps:wsp>
                            <wps:cNvSpPr txBox="1"/>
                            <wps:spPr>
                              <a:xfrm>
                                <a:off x="0" y="0"/>
                                <a:ext cx="198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35000" cy="175260"/>
                      <wp:effectExtent l="0" t="0" r="0" b="0"/>
                      <wp:wrapNone/>
                      <wp:docPr id="284" name="Frame284"/>
                      <a:graphic xmlns:a="http://schemas.openxmlformats.org/drawingml/2006/main">
                        <a:graphicData uri="http://schemas.microsoft.com/office/word/2010/wordprocessingShape">
                          <wps:wsp>
                            <wps:cNvSpPr txBox="1"/>
                            <wps:spPr>
                              <a:xfrm>
                                <a:off x="0" y="0"/>
                                <a:ext cx="635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325120" cy="175260"/>
                      <wp:effectExtent l="0" t="0" r="0" b="0"/>
                      <wp:wrapNone/>
                      <wp:docPr id="285" name="Frame285"/>
                      <a:graphic xmlns:a="http://schemas.openxmlformats.org/drawingml/2006/main">
                        <a:graphicData uri="http://schemas.microsoft.com/office/word/2010/wordprocessingShape">
                          <wps:wsp>
                            <wps:cNvSpPr txBox="1"/>
                            <wps:spPr>
                              <a:xfrm>
                                <a:off x="0" y="0"/>
                                <a:ext cx="325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198120" cy="175260"/>
                      <wp:effectExtent l="0" t="0" r="0" b="0"/>
                      <wp:wrapNone/>
                      <wp:docPr id="286" name="Frame286"/>
                      <a:graphic xmlns:a="http://schemas.openxmlformats.org/drawingml/2006/main">
                        <a:graphicData uri="http://schemas.microsoft.com/office/word/2010/wordprocessingShape">
                          <wps:wsp>
                            <wps:cNvSpPr txBox="1"/>
                            <wps:spPr>
                              <a:xfrm>
                                <a:off x="0" y="0"/>
                                <a:ext cx="198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367030" cy="175260"/>
                      <wp:effectExtent l="0" t="0" r="0" b="0"/>
                      <wp:wrapNone/>
                      <wp:docPr id="287" name="Frame287"/>
                      <a:graphic xmlns:a="http://schemas.openxmlformats.org/drawingml/2006/main">
                        <a:graphicData uri="http://schemas.microsoft.com/office/word/2010/wordprocessingShape">
                          <wps:wsp>
                            <wps:cNvSpPr txBox="1"/>
                            <wps:spPr>
                              <a:xfrm>
                                <a:off x="0" y="0"/>
                                <a:ext cx="367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86" w:type="dxa"/>
            <w:tcBorders/>
            <w:vAlign w:val="center"/>
          </w:tcPr>
          <w:p>
            <w:pPr>
              <w:pStyle w:val="TableContents"/>
              <w:bidi w:val="0"/>
              <w:spacing w:before="0" w:after="0"/>
              <w:ind w:left="0" w:right="0" w:hanging="0"/>
              <w:jc w:val="left"/>
              <w:rPr/>
            </w:pPr>
            <w:r>
              <w:rPr/>
              <w:t>​</w:t>
            </w:r>
          </w:p>
        </w:tc>
        <w:tc>
          <w:tcPr>
            <w:tcW w:w="280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June 30, </w:t>
            </w:r>
          </w:p>
        </w:tc>
        <w:tc>
          <w:tcPr>
            <w:tcW w:w="109" w:type="dxa"/>
            <w:tcBorders/>
            <w:vAlign w:val="center"/>
          </w:tcPr>
          <w:p>
            <w:pPr>
              <w:pStyle w:val="TableContents"/>
              <w:bidi w:val="0"/>
              <w:spacing w:before="0" w:after="0"/>
              <w:ind w:left="0" w:right="0" w:hanging="0"/>
              <w:jc w:val="left"/>
              <w:rPr/>
            </w:pPr>
            <w:r>
              <w:rPr/>
              <w:t>​</w:t>
            </w:r>
          </w:p>
        </w:tc>
        <w:tc>
          <w:tcPr>
            <w:tcW w:w="271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June 30,  </w:t>
            </w:r>
          </w:p>
        </w:tc>
      </w:tr>
      <w:tr>
        <w:trPr/>
        <w:tc>
          <w:tcPr>
            <w:tcW w:w="2986" w:type="dxa"/>
            <w:tcBorders/>
            <w:vAlign w:val="center"/>
          </w:tcPr>
          <w:p>
            <w:pPr>
              <w:pStyle w:val="TableContents"/>
              <w:bidi w:val="0"/>
              <w:spacing w:before="0" w:after="0"/>
              <w:ind w:left="0" w:right="0" w:hanging="0"/>
              <w:jc w:val="left"/>
              <w:rPr/>
            </w:pPr>
            <w:r>
              <w:rPr/>
              <w:t>​</w:t>
            </w:r>
          </w:p>
        </w:tc>
        <w:tc>
          <w:tcPr>
            <w:tcW w:w="13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542" w:type="dxa"/>
            <w:tcBorders/>
            <w:vAlign w:val="center"/>
          </w:tcPr>
          <w:p>
            <w:pPr>
              <w:pStyle w:val="TableContents"/>
              <w:bidi w:val="0"/>
              <w:spacing w:before="0" w:after="0"/>
              <w:ind w:left="0" w:right="0" w:hanging="0"/>
              <w:jc w:val="left"/>
              <w:rPr/>
            </w:pPr>
            <w:r>
              <w:rPr/>
              <w:t>  ​ ​ ​</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13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512" w:type="dxa"/>
            <w:tcBorders/>
            <w:vAlign w:val="center"/>
          </w:tcPr>
          <w:p>
            <w:pPr>
              <w:pStyle w:val="TableContents"/>
              <w:bidi w:val="0"/>
              <w:spacing w:before="0" w:after="0"/>
              <w:ind w:left="0" w:right="0" w:hanging="0"/>
              <w:jc w:val="left"/>
              <w:rPr/>
            </w:pPr>
            <w:r>
              <w:rPr/>
              <w:t>  ​ ​ ​</w:t>
            </w:r>
          </w:p>
        </w:tc>
        <w:tc>
          <w:tcPr>
            <w:tcW w:w="8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8612"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2986" w:type="dxa"/>
            <w:tcBorders/>
            <w:vAlign w:val="center"/>
          </w:tcPr>
          <w:p>
            <w:pPr>
              <w:pStyle w:val="TableContents"/>
              <w:bidi w:val="0"/>
              <w:spacing w:before="0" w:after="0"/>
              <w:ind w:left="0" w:right="0" w:hanging="0"/>
              <w:jc w:val="left"/>
              <w:rPr/>
            </w:pPr>
            <w:r>
              <w:rPr/>
              <w:t>​</w:t>
            </w:r>
          </w:p>
        </w:tc>
        <w:tc>
          <w:tcPr>
            <w:tcW w:w="280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09" w:type="dxa"/>
            <w:tcBorders/>
            <w:vAlign w:val="center"/>
          </w:tcPr>
          <w:p>
            <w:pPr>
              <w:pStyle w:val="TableContents"/>
              <w:bidi w:val="0"/>
              <w:spacing w:before="0" w:after="0"/>
              <w:ind w:left="0" w:right="0" w:hanging="0"/>
              <w:jc w:val="left"/>
              <w:rPr/>
            </w:pPr>
            <w:r>
              <w:rPr/>
              <w:t>​</w:t>
            </w:r>
          </w:p>
        </w:tc>
        <w:tc>
          <w:tcPr>
            <w:tcW w:w="271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29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number of shares repurchased</w:t>
            </w:r>
          </w:p>
        </w:tc>
        <w:tc>
          <w:tcPr>
            <w:tcW w:w="330" w:type="dxa"/>
            <w:tcBorders/>
            <w:shd w:fill="CCEEFF" w:val="clear"/>
            <w:vAlign w:val="center"/>
          </w:tcPr>
          <w:p>
            <w:pPr>
              <w:pStyle w:val="TableContents"/>
              <w:bidi w:val="0"/>
              <w:spacing w:before="0" w:after="0"/>
              <w:ind w:left="0" w:right="0" w:hanging="0"/>
              <w:jc w:val="left"/>
              <w:rPr/>
            </w:pPr>
            <w:r>
              <w:rPr/>
              <w:t>​</w:t>
            </w:r>
          </w:p>
        </w:tc>
        <w:tc>
          <w:tcPr>
            <w:tcW w:w="10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2,013</w:t>
            </w:r>
          </w:p>
        </w:tc>
        <w:tc>
          <w:tcPr>
            <w:tcW w:w="542" w:type="dxa"/>
            <w:tcBorders/>
            <w:shd w:fill="CCEEFF" w:val="clear"/>
            <w:vAlign w:val="center"/>
          </w:tcPr>
          <w:p>
            <w:pPr>
              <w:pStyle w:val="TableContents"/>
              <w:bidi w:val="0"/>
              <w:spacing w:before="0" w:after="0"/>
              <w:ind w:left="0" w:right="0" w:hanging="0"/>
              <w:jc w:val="left"/>
              <w:rPr/>
            </w:pPr>
            <w:r>
              <w:rPr/>
              <w:t>​</w:t>
            </w:r>
          </w:p>
        </w:tc>
        <w:tc>
          <w:tcPr>
            <w:tcW w:w="330" w:type="dxa"/>
            <w:tcBorders/>
            <w:shd w:fill="CCEEFF" w:val="clear"/>
            <w:vAlign w:val="center"/>
          </w:tcPr>
          <w:p>
            <w:pPr>
              <w:pStyle w:val="TableContents"/>
              <w:bidi w:val="0"/>
              <w:spacing w:before="0" w:after="0"/>
              <w:ind w:left="0" w:right="0" w:hanging="0"/>
              <w:jc w:val="left"/>
              <w:rPr/>
            </w:pPr>
            <w:r>
              <w:rPr/>
              <w:t>​</w:t>
            </w:r>
          </w:p>
        </w:tc>
        <w:tc>
          <w:tcPr>
            <w:tcW w:w="54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pPr>
            <w:r>
              <w:rPr/>
              <w:t>​</w:t>
            </w:r>
          </w:p>
        </w:tc>
        <w:tc>
          <w:tcPr>
            <w:tcW w:w="10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3,384</w:t>
            </w:r>
          </w:p>
        </w:tc>
        <w:tc>
          <w:tcPr>
            <w:tcW w:w="512"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pPr>
            <w:r>
              <w:rPr/>
              <w:t>​</w:t>
            </w:r>
          </w:p>
        </w:tc>
        <w:tc>
          <w:tcPr>
            <w:tcW w:w="578" w:type="dxa"/>
            <w:tcBorders/>
            <w:shd w:fill="CCEEFF" w:val="clear"/>
            <w:vAlign w:val="center"/>
          </w:tcPr>
          <w:p>
            <w:pPr>
              <w:pStyle w:val="TableContents"/>
              <w:bidi w:val="0"/>
              <w:spacing w:before="0" w:after="0"/>
              <w:ind w:left="0" w:right="0" w:hanging="0"/>
              <w:jc w:val="right"/>
              <w:rPr/>
            </w:pPr>
            <w:r>
              <w:rPr/>
              <w:t>—</w:t>
            </w:r>
          </w:p>
        </w:tc>
      </w:tr>
      <w:tr>
        <w:trPr/>
        <w:tc>
          <w:tcPr>
            <w:tcW w:w="298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Average price paid per share </w:t>
            </w:r>
            <w:r>
              <w:rPr>
                <w:rFonts w:ascii="Times New Roman;Times;serif" w:hAnsi="Times New Roman;Times;serif"/>
                <w:sz w:val="15"/>
              </w:rPr>
              <w:t>(1)</w:t>
            </w:r>
          </w:p>
        </w:tc>
        <w:tc>
          <w:tcPr>
            <w:tcW w:w="3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13.17</w:t>
            </w:r>
          </w:p>
        </w:tc>
        <w:tc>
          <w:tcPr>
            <w:tcW w:w="542" w:type="dxa"/>
            <w:tcBorders/>
            <w:vAlign w:val="center"/>
          </w:tcPr>
          <w:p>
            <w:pPr>
              <w:pStyle w:val="TableContents"/>
              <w:bidi w:val="0"/>
              <w:spacing w:before="0" w:after="0"/>
              <w:ind w:left="0" w:right="0" w:hanging="0"/>
              <w:jc w:val="left"/>
              <w:rPr/>
            </w:pPr>
            <w:r>
              <w:rPr/>
              <w:t>​</w:t>
            </w:r>
          </w:p>
        </w:tc>
        <w:tc>
          <w:tcPr>
            <w:tcW w:w="3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13.74</w:t>
            </w:r>
          </w:p>
        </w:tc>
        <w:tc>
          <w:tcPr>
            <w:tcW w:w="512"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8" w:type="dxa"/>
            <w:tcBorders/>
            <w:vAlign w:val="center"/>
          </w:tcPr>
          <w:p>
            <w:pPr>
              <w:pStyle w:val="TableContents"/>
              <w:bidi w:val="0"/>
              <w:spacing w:before="0" w:after="0"/>
              <w:ind w:left="0" w:right="0" w:hanging="0"/>
              <w:jc w:val="right"/>
              <w:rPr/>
            </w:pPr>
            <w:r>
              <w:rPr/>
              <w:t>—</w:t>
            </w:r>
          </w:p>
        </w:tc>
      </w:tr>
      <w:tr>
        <w:trPr/>
        <w:tc>
          <w:tcPr>
            <w:tcW w:w="298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Amount repurchased </w:t>
            </w:r>
            <w:r>
              <w:rPr>
                <w:rFonts w:ascii="Times New Roman;Times;serif" w:hAnsi="Times New Roman;Times;serif"/>
                <w:sz w:val="15"/>
              </w:rPr>
              <w:t>(1)</w:t>
            </w:r>
          </w:p>
        </w:tc>
        <w:tc>
          <w:tcPr>
            <w:tcW w:w="3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26,500</w:t>
            </w:r>
          </w:p>
        </w:tc>
        <w:tc>
          <w:tcPr>
            <w:tcW w:w="542" w:type="dxa"/>
            <w:tcBorders/>
            <w:shd w:fill="CCEEFF" w:val="clear"/>
            <w:vAlign w:val="center"/>
          </w:tcPr>
          <w:p>
            <w:pPr>
              <w:pStyle w:val="TableContents"/>
              <w:bidi w:val="0"/>
              <w:spacing w:before="0" w:after="0"/>
              <w:ind w:left="0" w:right="0" w:hanging="0"/>
              <w:jc w:val="left"/>
              <w:rPr/>
            </w:pPr>
            <w:r>
              <w:rPr/>
              <w:t>​</w:t>
            </w:r>
          </w:p>
        </w:tc>
        <w:tc>
          <w:tcPr>
            <w:tcW w:w="3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46,500</w:t>
            </w:r>
          </w:p>
        </w:tc>
        <w:tc>
          <w:tcPr>
            <w:tcW w:w="512"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8" w:type="dxa"/>
            <w:tcBorders/>
            <w:shd w:fill="CCEEFF" w:val="clear"/>
            <w:vAlign w:val="center"/>
          </w:tcPr>
          <w:p>
            <w:pPr>
              <w:pStyle w:val="TableContents"/>
              <w:bidi w:val="0"/>
              <w:spacing w:before="0" w:after="0"/>
              <w:ind w:left="0" w:right="0" w:hanging="0"/>
              <w:jc w:val="right"/>
              <w:rPr/>
            </w:pPr>
            <w:r>
              <w:rPr/>
              <w:t>—</w:t>
            </w:r>
          </w:p>
        </w:tc>
      </w:tr>
      <w:tr>
        <w:trPr/>
        <w:tc>
          <w:tcPr>
            <w:tcW w:w="8612" w:type="dxa"/>
            <w:gridSpan w:val="12"/>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4"/>
              </w:rPr>
              <w:t>(1)</w:t>
            </w:r>
            <w:r>
              <w:rPr>
                <w:rFonts w:ascii="Times New Roman;Times;serif" w:hAnsi="Times New Roman;Times;serif"/>
                <w:sz w:val="18"/>
              </w:rPr>
              <w:t xml:space="preserve"> Amount excludes excise tax and commissions.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766" w:type="dxa"/>
        <w:jc w:val="left"/>
        <w:tblInd w:w="0" w:type="dxa"/>
        <w:tblLayout w:type="fixed"/>
        <w:tblCellMar>
          <w:top w:w="0" w:type="dxa"/>
          <w:left w:w="0" w:type="dxa"/>
          <w:bottom w:w="0" w:type="dxa"/>
          <w:right w:w="0" w:type="dxa"/>
        </w:tblCellMar>
      </w:tblPr>
      <w:tblGrid>
        <w:gridCol w:w="6766"/>
      </w:tblGrid>
      <w:tr>
        <w:trPr/>
        <w:tc>
          <w:tcPr>
            <w:tcW w:w="6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bookmarkStart w:id="1831" w:name="Tc_0Dh0im2T7Um2yhVoUp033A_9_0"/>
      <w:bookmarkStart w:id="1832" w:name="Tc_h2Gr4PxvvkCd_bM6d4lFhw_8_9"/>
      <w:bookmarkStart w:id="1833" w:name="Tc_rkouyi7jkkqIesDZhBJFEA_8_6"/>
      <w:bookmarkStart w:id="1834" w:name="Tc_q6NcYBIyJk6oSw-JXz374A_8_1"/>
      <w:bookmarkStart w:id="1835" w:name="Tc_HFWd49GicUeWgnyLzsgFTw_8_0"/>
      <w:bookmarkStart w:id="1836" w:name="Tc_-cBfewl180iprUfNn2Zhyw_7_9"/>
      <w:bookmarkStart w:id="1837" w:name="Tc_QZEMSOjYYUSg479-3Vx3hw_7_6"/>
      <w:bookmarkStart w:id="1838" w:name="Tc_FjRKAoI--0a5BXsAaxPA9g_7_1"/>
      <w:bookmarkStart w:id="1839" w:name="Tc_nQWWb3ucWUiFEVfILOtbdA_7_0"/>
      <w:bookmarkStart w:id="1840" w:name="Tc_dYUOJoyHy0KEdbZsDYzMPw_6_9"/>
      <w:bookmarkStart w:id="1841" w:name="Tc_36iTEzAIpkS1tswUs7JXow_6_6"/>
      <w:bookmarkStart w:id="1842" w:name="Tc_dlsPng1B-UiKE663qptf0A_6_1"/>
      <w:bookmarkStart w:id="1843" w:name="Tc_M1qwm-nll0yyXecOmFNmRw_6_0"/>
      <w:bookmarkStart w:id="1844" w:name="Tc_tMVoPwbHqUijNULuzCfP5A_5_4"/>
      <w:bookmarkStart w:id="1845" w:name="Tc_fb2lA0gSjkuVzmfMAqoSXw_5_0"/>
      <w:bookmarkStart w:id="1846" w:name="Tc_y908dpeTLU6PYwoLRVZFIw_4_9"/>
      <w:bookmarkStart w:id="1847" w:name="Tc_k77UZ6dWXkGpR-oPcYAT4Q_4_6"/>
      <w:bookmarkStart w:id="1848" w:name="Tc_36hF_mOUJESyhsi1o3x9tQ_4_1"/>
      <w:bookmarkStart w:id="1849" w:name="Tc_1pdCP5fouEiA-UC4F_SsCA_4_0"/>
      <w:bookmarkStart w:id="1850" w:name="Tc___Z8n_ubOkOaCU9jDZOhUA_3_6"/>
      <w:bookmarkStart w:id="1851" w:name="Tc_h72-NnJbs0WJW4XMssEFUw_3_1"/>
      <w:bookmarkStart w:id="1852" w:name="Tc_rzbAOi7xpkS1pTUMI3inEA_2_9"/>
      <w:bookmarkStart w:id="1853" w:name="Tc_Tf8YKhdNk0-TJV7PcRFsgw_2_6"/>
      <w:bookmarkStart w:id="1854" w:name="Tc_IqbnpURcSUa02lBg1HzGag_2_4"/>
      <w:bookmarkStart w:id="1855" w:name="Tc_jiQTX12fV0iKqCVGwL5lYg_2_1"/>
      <w:bookmarkStart w:id="1856" w:name="Tc_T_z7DYouT063sl3yg9UPTA_1_6"/>
      <w:bookmarkStart w:id="1857" w:name="Tc_Pxj_CHoozECCbX--wPUZ2g_1_1"/>
      <w:bookmarkStart w:id="1858" w:name="Tc_30OikTRpLEa6Nt4GZMoPQw_21_0"/>
      <w:bookmarkStart w:id="1859" w:name="Tc__CGsqXo_4ku1JoCjlCu5bg_20_22"/>
      <w:bookmarkStart w:id="1860" w:name="Tc_rhjwqZtIBk25JquTaIH7-g_20_19"/>
      <w:bookmarkStart w:id="1861" w:name="Tc_S_3_CR5TFUGXQstO0AuimQ_20_16"/>
      <w:bookmarkStart w:id="1862" w:name="Tc_iPKYXDghS0eDX1pIAXUn0Q_20_13"/>
      <w:bookmarkStart w:id="1863" w:name="Tc__z95ucuAfUGEHiJqv3RSxg_20_10"/>
      <w:bookmarkStart w:id="1864" w:name="Tc_mJTkWzuqekG1gjITowHbow_20_7"/>
      <w:bookmarkStart w:id="1865" w:name="Tc_kCXYmJeQ-Eqro66tUA-KBA_20_4"/>
      <w:bookmarkStart w:id="1866" w:name="Tc_1yOeqPxfnUOZCrcPZ0hRBg_20_1"/>
      <w:bookmarkStart w:id="1867" w:name="Tc_K696vYDCZE-cAAPZIge80g_20_0"/>
      <w:bookmarkStart w:id="1868" w:name="Tc_iO6qLLLdT0SCo-0BNwcFgQ_19_0"/>
      <w:bookmarkStart w:id="1869" w:name="Tc_J-15WFUXHUadn62zFRxg0Q_18_23"/>
      <w:bookmarkStart w:id="1870" w:name="Tc_NmEVWTode0iFUuxFs-QK9w_18_17"/>
      <w:bookmarkStart w:id="1871" w:name="Tc_rya6n2_jZUmJ6JGBNbXl0g_18_11"/>
      <w:bookmarkStart w:id="1872" w:name="Tc_8J1xpS6urEqbCM99_1gOMQ_18_8"/>
      <w:bookmarkStart w:id="1873" w:name="Tc_HoeLnB9mX0yGF1ZrzrJLEA_18_5"/>
      <w:bookmarkStart w:id="1874" w:name="Tc_xaNqpRMzpU-PVg3Mqci2sQ_18_0"/>
      <w:bookmarkStart w:id="1875" w:name="Tc_iWNkgYnLbEiqP9j6Ev-wFg_17_0"/>
      <w:bookmarkStart w:id="1876" w:name="Tc_yoZu-kyukkiHxcCZ1cFTNg_16_0"/>
      <w:bookmarkStart w:id="1877" w:name="Tc_YGa8Zp0bJE-HvlacQpqfgg_15_22"/>
      <w:bookmarkStart w:id="1878" w:name="Tc_NTmwym0M4kehA2iA4UBFCw_15_19"/>
      <w:bookmarkStart w:id="1879" w:name="Tc_WNA5gmna90uNIHdO947Rfw_15_16"/>
      <w:bookmarkStart w:id="1880" w:name="Tc_Z79y-CWl3U-MyMdyKlW9aw_15_13"/>
      <w:bookmarkStart w:id="1881" w:name="Tc_cBY9eWhJhU2X9j3K0_rAtQ_15_10"/>
      <w:bookmarkStart w:id="1882" w:name="Tc_Vs5ue1bKdk6cmmZU7e1u2w_15_7"/>
      <w:bookmarkStart w:id="1883" w:name="Tc_xPBc270m5EWavpxOjJp7iQ_15_4"/>
      <w:bookmarkStart w:id="1884" w:name="Tc_3yGxyZ9H_0qA9oMKMUNFVA_15_1"/>
      <w:bookmarkStart w:id="1885" w:name="Tc_cyOhgr7Ar0mQ5bDw9r8KfQ_15_0"/>
      <w:bookmarkStart w:id="1886" w:name="Tc_sbwUtVX5ek25xpY0YqQVsA_14_22"/>
      <w:bookmarkStart w:id="1887" w:name="Tc_hJ5oC6bEEUWZRh65F1KarQ_14_19"/>
      <w:bookmarkStart w:id="1888" w:name="Tc_M8X1cLJQnkSDfD4VgIiE7w_14_13"/>
      <w:bookmarkStart w:id="1889" w:name="Tc_xmARgHXXUkOn6NRLPCS9mw_14_10"/>
      <w:bookmarkStart w:id="1890" w:name="Tc_sK2gGd9cREKm759Mk0-Pnw_14_7"/>
      <w:bookmarkStart w:id="1891" w:name="Tc_gQnrYtDdmUG3beArhafU-A_14_4"/>
      <w:bookmarkStart w:id="1892" w:name="Tc_0KT5GaP9JEayTP5Bn27rBg_14_1"/>
      <w:bookmarkStart w:id="1893" w:name="Tc_0GqaPulIPE685Ff1Bv6RcQ_14_0"/>
      <w:bookmarkStart w:id="1894" w:name="Tc_WIRRx6JwWU-SjKYeDuScrw_13_0"/>
      <w:bookmarkStart w:id="1895" w:name="Tc_RjE7DHeoh0aNffyVO_TCHQ_12_0"/>
      <w:bookmarkStart w:id="1896" w:name="Tc_lSVunGtdjkWfPwelPwyQqw_10_22"/>
      <w:bookmarkStart w:id="1897" w:name="Tc_Aa7sXf6Ft0mOWxVXPL9i5w_10_19"/>
      <w:bookmarkStart w:id="1898" w:name="Tc_mGFXhsLA7UGEdYnb6zufig_10_16"/>
      <w:bookmarkStart w:id="1899" w:name="Tc_kHCFqABY5kCnHc0j02aGCg_10_13"/>
      <w:bookmarkStart w:id="1900" w:name="Tc_1Xasc1lzs02qMUf0LKWVdA_10_10"/>
      <w:bookmarkStart w:id="1901" w:name="Tc_IQIBIbfZrk6yOxXpKBL6hQ_10_7"/>
      <w:bookmarkStart w:id="1902" w:name="Tc_8fd0a2zou0aS3FrlerqjMg_10_4"/>
      <w:bookmarkStart w:id="1903" w:name="Tc_epDKQKr2V0-8BnyKy7qNuA_10_1"/>
      <w:bookmarkStart w:id="1904" w:name="Tc_cQ8zaJIZa0i-BSnbuQIZ5g_10_0"/>
      <w:bookmarkStart w:id="1905" w:name="Tc_8NkrehOZv0K3cRLhLlpjnA_9_0"/>
      <w:bookmarkStart w:id="1906" w:name="Tc_CL3Py2MFHkCgJO50ERMeFA_8_0"/>
      <w:bookmarkStart w:id="1907" w:name="Tc_aqRYIH8clESM_-1CxUw49w_7_22"/>
      <w:bookmarkStart w:id="1908" w:name="Tc_IN7_Aam3gkyt26rTUAd4Yg_7_19"/>
      <w:bookmarkStart w:id="1909" w:name="Tc_nYW3IpYJrU-EmOL8PxgCDg_7_13"/>
      <w:bookmarkStart w:id="1910" w:name="Tc_WvN5VgSdeEi5qVS8m4W3sg_7_10"/>
      <w:bookmarkStart w:id="1911" w:name="Tc_GXsUcYv0Uk2UHcgBuuUiIA_7_7"/>
      <w:bookmarkStart w:id="1912" w:name="Tc_3-CYcaggpE6upTugvF6aUQ_7_4"/>
      <w:bookmarkStart w:id="1913" w:name="Tc_61NxhUcNW0-rsENQU99jvw_7_1"/>
      <w:bookmarkStart w:id="1914" w:name="Tc_Y0lK6mJ7qUOqupIZAfhFgQ_7_0"/>
      <w:bookmarkStart w:id="1915" w:name="Tc_YFqwxbClZ0e9uIOoZsOPvA_6_0"/>
      <w:bookmarkStart w:id="1916" w:name="Tc_IGQ0iiEJf0aTQe3qcqAk0g_5_0"/>
      <w:bookmarkStart w:id="1917" w:name="Tc_0ScefZh1n0aaDu_oTRFgFg_4_13"/>
      <w:bookmarkStart w:id="1918" w:name="Tc_YKuka3F9JkqGuUGobJjl0w_4_1"/>
      <w:bookmarkStart w:id="1919" w:name="Tc_fBClX3GRE0aGNgjNih5dkw_3_23"/>
      <w:bookmarkStart w:id="1920" w:name="Tc_L_l54LC5gkCtEIT9bYOt-Q_3_20"/>
      <w:bookmarkStart w:id="1921" w:name="Tc_PkPcKJEnqEWL8zEAyvH57A_3_17"/>
      <w:bookmarkStart w:id="1922" w:name="Tc_rd877WCwhUeXsneZIMB8cw_3_14"/>
      <w:bookmarkStart w:id="1923" w:name="Tc_79j5wTKBDkazkY_uvEhhXQ_3_11"/>
      <w:bookmarkStart w:id="1924" w:name="Tc_6LrKpXS0OEGAzE5AlQ827A_3_8"/>
      <w:bookmarkStart w:id="1925" w:name="Tc_j9wAKFJYNESPv3X322o8BA_3_5"/>
      <w:bookmarkStart w:id="1926" w:name="Tc_eX8dcBO7Nk2JuaCcIwIQKQ_3_2"/>
      <w:bookmarkStart w:id="1927" w:name="Tc_AmKpJEK6W0CotaJDwwpI7Q_2_19"/>
      <w:bookmarkStart w:id="1928" w:name="Tc_x4T3Hm59vkWD4rnB9mUHBg_2_13"/>
      <w:bookmarkStart w:id="1929" w:name="Tc_CJc5euaKuECQgMgD8fKgbQ_2_7"/>
      <w:bookmarkStart w:id="1930" w:name="Tc_9O2W2cUNfEmD6b7_BKdbVw_2_1"/>
      <w:bookmarkStart w:id="1931" w:name="Tc_mg_89FVl1UmLIi0qwTe5sg_1_13"/>
      <w:bookmarkStart w:id="1932" w:name="Tc_fVY0Hpz5J0K8Zye4woUbtA_1_1"/>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r>
        <w:rPr>
          <w:rFonts w:ascii="Times New Roman;Times;serif" w:hAnsi="Times New Roman;Times;serif"/>
          <w:b/>
          <w:sz w:val="20"/>
        </w:rPr>
        <w:t>10.    EARNINGS PER SHARE</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tables below illustrate the calculation of basic and diluted net income per common share for the Class A common stock and Class B common stock for the periods reflected below.</w:t>
      </w:r>
      <w:r>
        <w:rPr>
          <w:rFonts w:ascii="Times New Roman;Times;serif" w:hAnsi="Times New Roman;Times;serif"/>
          <w:color w:val="FF0000"/>
          <w:sz w:val="20"/>
        </w:rPr>
        <w:t xml:space="preserve">  </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744"/>
        <w:gridCol w:w="196"/>
        <w:gridCol w:w="626"/>
        <w:gridCol w:w="109"/>
        <w:gridCol w:w="196"/>
        <w:gridCol w:w="644"/>
        <w:gridCol w:w="109"/>
        <w:gridCol w:w="196"/>
        <w:gridCol w:w="626"/>
        <w:gridCol w:w="109"/>
        <w:gridCol w:w="196"/>
        <w:gridCol w:w="644"/>
        <w:gridCol w:w="109"/>
        <w:gridCol w:w="196"/>
        <w:gridCol w:w="626"/>
        <w:gridCol w:w="109"/>
        <w:gridCol w:w="196"/>
        <w:gridCol w:w="644"/>
        <w:gridCol w:w="109"/>
        <w:gridCol w:w="196"/>
        <w:gridCol w:w="626"/>
        <w:gridCol w:w="109"/>
        <w:gridCol w:w="196"/>
        <w:gridCol w:w="694"/>
      </w:tblGrid>
      <w:tr>
        <w:trPr/>
        <w:tc>
          <w:tcPr>
            <w:tcW w:w="27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1742440" cy="175260"/>
                      <wp:effectExtent l="0" t="0" r="0" b="0"/>
                      <wp:wrapNone/>
                      <wp:docPr id="288" name="Frame288"/>
                      <a:graphic xmlns:a="http://schemas.openxmlformats.org/drawingml/2006/main">
                        <a:graphicData uri="http://schemas.microsoft.com/office/word/2010/wordprocessingShape">
                          <wps:wsp>
                            <wps:cNvSpPr txBox="1"/>
                            <wps:spPr>
                              <a:xfrm>
                                <a:off x="0" y="0"/>
                                <a:ext cx="1742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124460" cy="175260"/>
                      <wp:effectExtent l="0" t="0" r="0" b="0"/>
                      <wp:wrapNone/>
                      <wp:docPr id="289" name="Frame28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397510" cy="175260"/>
                      <wp:effectExtent l="0" t="0" r="0" b="0"/>
                      <wp:wrapNone/>
                      <wp:docPr id="290" name="Frame290"/>
                      <a:graphic xmlns:a="http://schemas.openxmlformats.org/drawingml/2006/main">
                        <a:graphicData uri="http://schemas.microsoft.com/office/word/2010/wordprocessingShape">
                          <wps:wsp>
                            <wps:cNvSpPr txBox="1"/>
                            <wps:spPr>
                              <a:xfrm>
                                <a:off x="0" y="0"/>
                                <a:ext cx="397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9215" cy="175260"/>
                      <wp:effectExtent l="0" t="0" r="0" b="0"/>
                      <wp:wrapNone/>
                      <wp:docPr id="291" name="Frame2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124460" cy="175260"/>
                      <wp:effectExtent l="0" t="0" r="0" b="0"/>
                      <wp:wrapNone/>
                      <wp:docPr id="292" name="Frame29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408940" cy="175260"/>
                      <wp:effectExtent l="0" t="0" r="0" b="0"/>
                      <wp:wrapNone/>
                      <wp:docPr id="293" name="Frame293"/>
                      <a:graphic xmlns:a="http://schemas.openxmlformats.org/drawingml/2006/main">
                        <a:graphicData uri="http://schemas.microsoft.com/office/word/2010/wordprocessingShape">
                          <wps:wsp>
                            <wps:cNvSpPr txBox="1"/>
                            <wps:spPr>
                              <a:xfrm>
                                <a:off x="0" y="0"/>
                                <a:ext cx="408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9215" cy="175260"/>
                      <wp:effectExtent l="0" t="0" r="0" b="0"/>
                      <wp:wrapNone/>
                      <wp:docPr id="294" name="Frame2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124460" cy="175260"/>
                      <wp:effectExtent l="0" t="0" r="0" b="0"/>
                      <wp:wrapNone/>
                      <wp:docPr id="295" name="Frame29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397510" cy="175260"/>
                      <wp:effectExtent l="0" t="0" r="0" b="0"/>
                      <wp:wrapNone/>
                      <wp:docPr id="296" name="Frame296"/>
                      <a:graphic xmlns:a="http://schemas.openxmlformats.org/drawingml/2006/main">
                        <a:graphicData uri="http://schemas.microsoft.com/office/word/2010/wordprocessingShape">
                          <wps:wsp>
                            <wps:cNvSpPr txBox="1"/>
                            <wps:spPr>
                              <a:xfrm>
                                <a:off x="0" y="0"/>
                                <a:ext cx="397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9215" cy="175260"/>
                      <wp:effectExtent l="0" t="0" r="0" b="0"/>
                      <wp:wrapNone/>
                      <wp:docPr id="297" name="Frame2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124460" cy="175260"/>
                      <wp:effectExtent l="0" t="0" r="0" b="0"/>
                      <wp:wrapNone/>
                      <wp:docPr id="298" name="Frame29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408940" cy="175260"/>
                      <wp:effectExtent l="0" t="0" r="0" b="0"/>
                      <wp:wrapNone/>
                      <wp:docPr id="299" name="Frame299"/>
                      <a:graphic xmlns:a="http://schemas.openxmlformats.org/drawingml/2006/main">
                        <a:graphicData uri="http://schemas.microsoft.com/office/word/2010/wordprocessingShape">
                          <wps:wsp>
                            <wps:cNvSpPr txBox="1"/>
                            <wps:spPr>
                              <a:xfrm>
                                <a:off x="0" y="0"/>
                                <a:ext cx="408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9215" cy="175260"/>
                      <wp:effectExtent l="0" t="0" r="0" b="0"/>
                      <wp:wrapNone/>
                      <wp:docPr id="300" name="Frame30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124460" cy="175260"/>
                      <wp:effectExtent l="0" t="0" r="0" b="0"/>
                      <wp:wrapNone/>
                      <wp:docPr id="301" name="Frame30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397510" cy="175260"/>
                      <wp:effectExtent l="0" t="0" r="0" b="0"/>
                      <wp:wrapNone/>
                      <wp:docPr id="302" name="Frame302"/>
                      <a:graphic xmlns:a="http://schemas.openxmlformats.org/drawingml/2006/main">
                        <a:graphicData uri="http://schemas.microsoft.com/office/word/2010/wordprocessingShape">
                          <wps:wsp>
                            <wps:cNvSpPr txBox="1"/>
                            <wps:spPr>
                              <a:xfrm>
                                <a:off x="0" y="0"/>
                                <a:ext cx="397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9215" cy="175260"/>
                      <wp:effectExtent l="0" t="0" r="0" b="0"/>
                      <wp:wrapNone/>
                      <wp:docPr id="303" name="Frame30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124460" cy="175260"/>
                      <wp:effectExtent l="0" t="0" r="0" b="0"/>
                      <wp:wrapNone/>
                      <wp:docPr id="304" name="Frame30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408940" cy="175260"/>
                      <wp:effectExtent l="0" t="0" r="0" b="0"/>
                      <wp:wrapNone/>
                      <wp:docPr id="305" name="Frame305"/>
                      <a:graphic xmlns:a="http://schemas.openxmlformats.org/drawingml/2006/main">
                        <a:graphicData uri="http://schemas.microsoft.com/office/word/2010/wordprocessingShape">
                          <wps:wsp>
                            <wps:cNvSpPr txBox="1"/>
                            <wps:spPr>
                              <a:xfrm>
                                <a:off x="0" y="0"/>
                                <a:ext cx="408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9215" cy="175260"/>
                      <wp:effectExtent l="0" t="0" r="0" b="0"/>
                      <wp:wrapNone/>
                      <wp:docPr id="306" name="Frame30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124460" cy="175260"/>
                      <wp:effectExtent l="0" t="0" r="0" b="0"/>
                      <wp:wrapNone/>
                      <wp:docPr id="307" name="Frame30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397510" cy="175260"/>
                      <wp:effectExtent l="0" t="0" r="0" b="0"/>
                      <wp:wrapNone/>
                      <wp:docPr id="308" name="Frame308"/>
                      <a:graphic xmlns:a="http://schemas.openxmlformats.org/drawingml/2006/main">
                        <a:graphicData uri="http://schemas.microsoft.com/office/word/2010/wordprocessingShape">
                          <wps:wsp>
                            <wps:cNvSpPr txBox="1"/>
                            <wps:spPr>
                              <a:xfrm>
                                <a:off x="0" y="0"/>
                                <a:ext cx="397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9215" cy="175260"/>
                      <wp:effectExtent l="0" t="0" r="0" b="0"/>
                      <wp:wrapNone/>
                      <wp:docPr id="309" name="Frame30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124460" cy="175260"/>
                      <wp:effectExtent l="0" t="0" r="0" b="0"/>
                      <wp:wrapNone/>
                      <wp:docPr id="310" name="Frame31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440690" cy="175260"/>
                      <wp:effectExtent l="0" t="0" r="0" b="0"/>
                      <wp:wrapNone/>
                      <wp:docPr id="311" name="Frame311"/>
                      <a:graphic xmlns:a="http://schemas.openxmlformats.org/drawingml/2006/main">
                        <a:graphicData uri="http://schemas.microsoft.com/office/word/2010/wordprocessingShape">
                          <wps:wsp>
                            <wps:cNvSpPr txBox="1"/>
                            <wps:spPr>
                              <a:xfrm>
                                <a:off x="0" y="0"/>
                                <a:ext cx="440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44" w:type="dxa"/>
            <w:tcBorders/>
            <w:vAlign w:val="center"/>
          </w:tcPr>
          <w:p>
            <w:pPr>
              <w:pStyle w:val="TableContents"/>
              <w:bidi w:val="0"/>
              <w:spacing w:before="0" w:after="0"/>
              <w:ind w:left="0" w:right="0" w:hanging="0"/>
              <w:jc w:val="left"/>
              <w:rPr/>
            </w:pPr>
            <w:r>
              <w:rPr/>
              <w:t>​</w:t>
            </w:r>
          </w:p>
        </w:tc>
        <w:tc>
          <w:tcPr>
            <w:tcW w:w="3651"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June 30, </w:t>
            </w:r>
          </w:p>
        </w:tc>
        <w:tc>
          <w:tcPr>
            <w:tcW w:w="109" w:type="dxa"/>
            <w:tcBorders/>
            <w:vAlign w:val="center"/>
          </w:tcPr>
          <w:p>
            <w:pPr>
              <w:pStyle w:val="TableContents"/>
              <w:bidi w:val="0"/>
              <w:spacing w:before="0" w:after="0"/>
              <w:ind w:left="0" w:right="0" w:hanging="0"/>
              <w:jc w:val="center"/>
              <w:rPr/>
            </w:pPr>
            <w:r>
              <w:rPr/>
              <w:t>​</w:t>
            </w:r>
          </w:p>
        </w:tc>
        <w:tc>
          <w:tcPr>
            <w:tcW w:w="3701"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June 30,  </w:t>
            </w:r>
          </w:p>
        </w:tc>
      </w:tr>
      <w:tr>
        <w:trPr/>
        <w:tc>
          <w:tcPr>
            <w:tcW w:w="2744" w:type="dxa"/>
            <w:tcBorders/>
            <w:vAlign w:val="center"/>
          </w:tcPr>
          <w:p>
            <w:pPr>
              <w:pStyle w:val="TableContents"/>
              <w:bidi w:val="0"/>
              <w:spacing w:before="0" w:after="0"/>
              <w:ind w:left="0" w:right="0" w:hanging="0"/>
              <w:jc w:val="left"/>
              <w:rPr/>
            </w:pPr>
            <w:r>
              <w:rPr/>
              <w:t>​</w:t>
            </w:r>
          </w:p>
        </w:tc>
        <w:tc>
          <w:tcPr>
            <w:tcW w:w="177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center"/>
              <w:rPr/>
            </w:pPr>
            <w:r>
              <w:rPr/>
              <w:t>​</w:t>
            </w:r>
          </w:p>
        </w:tc>
        <w:tc>
          <w:tcPr>
            <w:tcW w:w="177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rPr/>
            </w:pPr>
            <w:r>
              <w:rPr/>
              <w:t>​</w:t>
            </w:r>
          </w:p>
        </w:tc>
        <w:tc>
          <w:tcPr>
            <w:tcW w:w="177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center"/>
              <w:rPr/>
            </w:pPr>
            <w:r>
              <w:rPr/>
              <w:t>​</w:t>
            </w:r>
          </w:p>
        </w:tc>
        <w:tc>
          <w:tcPr>
            <w:tcW w:w="182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744"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A</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4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Class B </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A</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4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Class B </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Class A</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4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 xml:space="preserve">Class B </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Class A</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9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 xml:space="preserve">Class B </w:t>
            </w:r>
          </w:p>
        </w:tc>
      </w:tr>
      <w:tr>
        <w:trPr/>
        <w:tc>
          <w:tcPr>
            <w:tcW w:w="10205" w:type="dxa"/>
            <w:gridSpan w:val="24"/>
            <w:tcBorders/>
            <w:vAlign w:val="center"/>
          </w:tcPr>
          <w:p>
            <w:pPr>
              <w:pStyle w:val="TableContents"/>
              <w:bidi w:val="0"/>
              <w:spacing w:before="0" w:after="283"/>
              <w:ind w:left="0" w:right="0" w:hanging="0"/>
              <w:jc w:val="left"/>
              <w:rPr>
                <w:sz w:val="4"/>
                <w:szCs w:val="4"/>
              </w:rPr>
            </w:pPr>
            <w:r>
              <w:rPr>
                <w:sz w:val="4"/>
                <w:szCs w:val="4"/>
              </w:rPr>
            </w:r>
          </w:p>
        </w:tc>
      </w:tr>
      <w:tr>
        <w:trPr/>
        <w:tc>
          <w:tcPr>
            <w:tcW w:w="2744" w:type="dxa"/>
            <w:tcBorders/>
            <w:vAlign w:val="center"/>
          </w:tcPr>
          <w:p>
            <w:pPr>
              <w:pStyle w:val="TableContents"/>
              <w:bidi w:val="0"/>
              <w:spacing w:before="0" w:after="0"/>
              <w:ind w:left="0" w:right="0" w:hanging="0"/>
              <w:jc w:val="left"/>
              <w:rPr/>
            </w:pPr>
            <w:r>
              <w:rPr/>
              <w:t>​</w:t>
            </w:r>
          </w:p>
        </w:tc>
        <w:tc>
          <w:tcPr>
            <w:tcW w:w="3651" w:type="dxa"/>
            <w:gridSpan w:val="11"/>
            <w:tcBorders/>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(unaudited)</w:t>
            </w:r>
          </w:p>
        </w:tc>
        <w:tc>
          <w:tcPr>
            <w:tcW w:w="109" w:type="dxa"/>
            <w:tcBorders/>
            <w:vAlign w:val="center"/>
          </w:tcPr>
          <w:p>
            <w:pPr>
              <w:pStyle w:val="TableContents"/>
              <w:bidi w:val="0"/>
              <w:spacing w:before="0" w:after="0"/>
              <w:ind w:left="0" w:right="0" w:hanging="0"/>
              <w:jc w:val="center"/>
              <w:rPr/>
            </w:pPr>
            <w:r>
              <w:rPr/>
              <w:t>​</w:t>
            </w:r>
          </w:p>
        </w:tc>
        <w:tc>
          <w:tcPr>
            <w:tcW w:w="3701" w:type="dxa"/>
            <w:gridSpan w:val="11"/>
            <w:tcBorders/>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(unaudited)</w:t>
            </w:r>
          </w:p>
        </w:tc>
      </w:tr>
      <w:tr>
        <w:trPr/>
        <w:tc>
          <w:tcPr>
            <w:tcW w:w="2744" w:type="dxa"/>
            <w:tcBorders/>
            <w:shd w:fill="CCEEFF" w:val="clear"/>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Basic net income (loss) per share:</w:t>
            </w:r>
          </w:p>
        </w:tc>
        <w:tc>
          <w:tcPr>
            <w:tcW w:w="196" w:type="dxa"/>
            <w:tcBorders/>
            <w:shd w:fill="CCEEFF" w:val="clear"/>
            <w:vAlign w:val="center"/>
          </w:tcPr>
          <w:p>
            <w:pPr>
              <w:pStyle w:val="TableContents"/>
              <w:bidi w:val="0"/>
              <w:spacing w:before="0" w:after="0"/>
              <w:ind w:left="0" w:right="0" w:hanging="0"/>
              <w:jc w:val="left"/>
              <w:rPr/>
            </w:pPr>
            <w:r>
              <w:rPr/>
              <w:t>​</w:t>
            </w:r>
          </w:p>
        </w:tc>
        <w:tc>
          <w:tcPr>
            <w:tcW w:w="6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2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2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44"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2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94" w:type="dxa"/>
            <w:tcBorders/>
            <w:shd w:fill="CCEEFF" w:val="clear"/>
            <w:vAlign w:val="center"/>
          </w:tcPr>
          <w:p>
            <w:pPr>
              <w:pStyle w:val="TableContents"/>
              <w:bidi w:val="0"/>
              <w:spacing w:before="0" w:after="0"/>
              <w:ind w:left="0" w:right="0" w:hanging="0"/>
              <w:jc w:val="center"/>
              <w:rPr/>
            </w:pPr>
            <w:r>
              <w:rPr/>
              <w:t>​</w:t>
            </w:r>
          </w:p>
        </w:tc>
      </w:tr>
      <w:tr>
        <w:trPr/>
        <w:tc>
          <w:tcPr>
            <w:tcW w:w="2744"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Numerator</w:t>
            </w:r>
          </w:p>
        </w:tc>
        <w:tc>
          <w:tcPr>
            <w:tcW w:w="196" w:type="dxa"/>
            <w:tcBorders/>
            <w:vAlign w:val="center"/>
          </w:tcPr>
          <w:p>
            <w:pPr>
              <w:pStyle w:val="TableContents"/>
              <w:bidi w:val="0"/>
              <w:spacing w:before="0" w:after="0"/>
              <w:ind w:left="0" w:right="0" w:hanging="0"/>
              <w:jc w:val="left"/>
              <w:rPr/>
            </w:pPr>
            <w:r>
              <w:rPr/>
              <w:t>​</w:t>
            </w:r>
          </w:p>
        </w:tc>
        <w:tc>
          <w:tcPr>
            <w:tcW w:w="6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4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94" w:type="dxa"/>
            <w:tcBorders/>
            <w:vAlign w:val="center"/>
          </w:tcPr>
          <w:p>
            <w:pPr>
              <w:pStyle w:val="TableContents"/>
              <w:bidi w:val="0"/>
              <w:spacing w:before="0" w:after="0"/>
              <w:ind w:left="0" w:right="0" w:hanging="0"/>
              <w:jc w:val="left"/>
              <w:rPr/>
            </w:pPr>
            <w:r>
              <w:rPr/>
              <w:t>​</w:t>
            </w:r>
          </w:p>
        </w:tc>
      </w:tr>
      <w:tr>
        <w:trPr/>
        <w:tc>
          <w:tcPr>
            <w:tcW w:w="2744"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7"/>
              </w:rPr>
              <w:t xml:space="preserve">Allocation of net income (loss) </w:t>
            </w:r>
            <w:r>
              <w:rPr>
                <w:rFonts w:ascii="Times New Roman;Times;serif" w:hAnsi="Times New Roman;Times;serif"/>
                <w:sz w:val="13"/>
              </w:rPr>
              <w:t>(1)</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2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4,438</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44"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4,605</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2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(446)</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44"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(515)</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w:t>
            </w:r>
          </w:p>
        </w:tc>
        <w:tc>
          <w:tcPr>
            <w:tcW w:w="62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3,197</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44"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3,336</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w:t>
            </w:r>
          </w:p>
        </w:tc>
        <w:tc>
          <w:tcPr>
            <w:tcW w:w="62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4,656</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w:t>
            </w:r>
          </w:p>
        </w:tc>
        <w:tc>
          <w:tcPr>
            <w:tcW w:w="694"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5,513</w:t>
            </w:r>
          </w:p>
        </w:tc>
      </w:tr>
      <w:tr>
        <w:trPr/>
        <w:tc>
          <w:tcPr>
            <w:tcW w:w="2744"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Denominator</w:t>
            </w:r>
          </w:p>
        </w:tc>
        <w:tc>
          <w:tcPr>
            <w:tcW w:w="196" w:type="dxa"/>
            <w:tcBorders/>
            <w:vAlign w:val="center"/>
          </w:tcPr>
          <w:p>
            <w:pPr>
              <w:pStyle w:val="TableContents"/>
              <w:bidi w:val="0"/>
              <w:spacing w:before="0" w:after="0"/>
              <w:ind w:left="0" w:right="0" w:hanging="0"/>
              <w:jc w:val="left"/>
              <w:rPr/>
            </w:pPr>
            <w:r>
              <w:rPr/>
              <w:t>​</w:t>
            </w:r>
          </w:p>
        </w:tc>
        <w:tc>
          <w:tcPr>
            <w:tcW w:w="6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pPr>
            <w:r>
              <w:rPr/>
              <w:t>​</w:t>
            </w:r>
          </w:p>
        </w:tc>
        <w:tc>
          <w:tcPr>
            <w:tcW w:w="6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pPr>
            <w:r>
              <w:rPr/>
              <w:t>​</w:t>
            </w:r>
          </w:p>
        </w:tc>
        <w:tc>
          <w:tcPr>
            <w:tcW w:w="64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pPr>
            <w:r>
              <w:rPr/>
              <w:t>​</w:t>
            </w:r>
          </w:p>
        </w:tc>
        <w:tc>
          <w:tcPr>
            <w:tcW w:w="6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pPr>
            <w:r>
              <w:rPr/>
              <w:t>​</w:t>
            </w:r>
          </w:p>
        </w:tc>
        <w:tc>
          <w:tcPr>
            <w:tcW w:w="694" w:type="dxa"/>
            <w:tcBorders/>
            <w:vAlign w:val="center"/>
          </w:tcPr>
          <w:p>
            <w:pPr>
              <w:pStyle w:val="TableContents"/>
              <w:bidi w:val="0"/>
              <w:spacing w:before="0" w:after="0"/>
              <w:ind w:left="0" w:right="0" w:hanging="0"/>
              <w:jc w:val="right"/>
              <w:rPr/>
            </w:pPr>
            <w:r>
              <w:rPr/>
              <w:t>​</w:t>
            </w:r>
          </w:p>
        </w:tc>
      </w:tr>
      <w:tr>
        <w:trPr/>
        <w:tc>
          <w:tcPr>
            <w:tcW w:w="2744"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 xml:space="preserve">Total shares used in per share computation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79,188</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82,156</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73,727</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85,195</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6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78,715</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82,156</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6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72,507</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85,838</w:t>
            </w:r>
          </w:p>
        </w:tc>
      </w:tr>
      <w:tr>
        <w:trPr/>
        <w:tc>
          <w:tcPr>
            <w:tcW w:w="2744" w:type="dxa"/>
            <w:tcBorders/>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Basic net income (loss) per share:</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0.06</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4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0.06</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(0.01)</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4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(0.01)</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w:t>
            </w:r>
          </w:p>
        </w:tc>
        <w:tc>
          <w:tcPr>
            <w:tcW w:w="6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0.04</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w:t>
            </w:r>
          </w:p>
        </w:tc>
        <w:tc>
          <w:tcPr>
            <w:tcW w:w="64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0.04</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w:t>
            </w:r>
          </w:p>
        </w:tc>
        <w:tc>
          <w:tcPr>
            <w:tcW w:w="6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0.06</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w:t>
            </w:r>
          </w:p>
        </w:tc>
        <w:tc>
          <w:tcPr>
            <w:tcW w:w="69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0.06</w:t>
            </w:r>
          </w:p>
        </w:tc>
      </w:tr>
      <w:tr>
        <w:trPr/>
        <w:tc>
          <w:tcPr>
            <w:tcW w:w="2744"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pPr>
            <w:r>
              <w:rPr/>
              <w:t>​</w:t>
            </w:r>
          </w:p>
        </w:tc>
        <w:tc>
          <w:tcPr>
            <w:tcW w:w="6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pPr>
            <w:r>
              <w:rPr/>
              <w:t>​</w:t>
            </w:r>
          </w:p>
        </w:tc>
        <w:tc>
          <w:tcPr>
            <w:tcW w:w="64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pPr>
            <w:r>
              <w:rPr/>
              <w:t>​</w:t>
            </w:r>
          </w:p>
        </w:tc>
        <w:tc>
          <w:tcPr>
            <w:tcW w:w="6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pPr>
            <w:r>
              <w:rPr/>
              <w:t>​</w:t>
            </w:r>
          </w:p>
        </w:tc>
        <w:tc>
          <w:tcPr>
            <w:tcW w:w="694" w:type="dxa"/>
            <w:tcBorders/>
            <w:vAlign w:val="center"/>
          </w:tcPr>
          <w:p>
            <w:pPr>
              <w:pStyle w:val="TableContents"/>
              <w:bidi w:val="0"/>
              <w:spacing w:before="0" w:after="0"/>
              <w:ind w:left="0" w:right="0" w:hanging="0"/>
              <w:jc w:val="right"/>
              <w:rPr/>
            </w:pPr>
            <w:r>
              <w:rPr/>
              <w:t>​</w:t>
            </w:r>
          </w:p>
        </w:tc>
      </w:tr>
      <w:tr>
        <w:trPr/>
        <w:tc>
          <w:tcPr>
            <w:tcW w:w="2744" w:type="dxa"/>
            <w:tcBorders/>
            <w:shd w:fill="CCEEFF" w:val="clear"/>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Diluted net income (loss) per share:</w:t>
            </w:r>
          </w:p>
        </w:tc>
        <w:tc>
          <w:tcPr>
            <w:tcW w:w="196" w:type="dxa"/>
            <w:tcBorders/>
            <w:shd w:fill="CCEEFF" w:val="clear"/>
            <w:vAlign w:val="center"/>
          </w:tcPr>
          <w:p>
            <w:pPr>
              <w:pStyle w:val="TableContents"/>
              <w:bidi w:val="0"/>
              <w:spacing w:before="0" w:after="0"/>
              <w:ind w:left="0" w:right="0" w:hanging="0"/>
              <w:jc w:val="left"/>
              <w:rPr/>
            </w:pPr>
            <w:r>
              <w:rPr/>
              <w:t>​</w:t>
            </w:r>
          </w:p>
        </w:tc>
        <w:tc>
          <w:tcPr>
            <w:tcW w:w="6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4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94" w:type="dxa"/>
            <w:tcBorders/>
            <w:shd w:fill="CCEEFF" w:val="clear"/>
            <w:vAlign w:val="center"/>
          </w:tcPr>
          <w:p>
            <w:pPr>
              <w:pStyle w:val="TableContents"/>
              <w:bidi w:val="0"/>
              <w:spacing w:before="0" w:after="0"/>
              <w:ind w:left="0" w:right="0" w:hanging="0"/>
              <w:jc w:val="right"/>
              <w:rPr/>
            </w:pPr>
            <w:r>
              <w:rPr/>
              <w:t>​</w:t>
            </w:r>
          </w:p>
        </w:tc>
      </w:tr>
      <w:tr>
        <w:trPr/>
        <w:tc>
          <w:tcPr>
            <w:tcW w:w="2744"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Numerator</w:t>
            </w:r>
          </w:p>
        </w:tc>
        <w:tc>
          <w:tcPr>
            <w:tcW w:w="196" w:type="dxa"/>
            <w:tcBorders/>
            <w:vAlign w:val="center"/>
          </w:tcPr>
          <w:p>
            <w:pPr>
              <w:pStyle w:val="TableContents"/>
              <w:bidi w:val="0"/>
              <w:spacing w:before="0" w:after="0"/>
              <w:ind w:left="0" w:right="0" w:hanging="0"/>
              <w:jc w:val="left"/>
              <w:rPr/>
            </w:pPr>
            <w:r>
              <w:rPr/>
              <w:t>​</w:t>
            </w:r>
          </w:p>
        </w:tc>
        <w:tc>
          <w:tcPr>
            <w:tcW w:w="6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pPr>
            <w:r>
              <w:rPr/>
              <w:t>​</w:t>
            </w:r>
          </w:p>
        </w:tc>
        <w:tc>
          <w:tcPr>
            <w:tcW w:w="6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pPr>
            <w:r>
              <w:rPr/>
              <w:t>​</w:t>
            </w:r>
          </w:p>
        </w:tc>
        <w:tc>
          <w:tcPr>
            <w:tcW w:w="64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pPr>
            <w:r>
              <w:rPr/>
              <w:t>​</w:t>
            </w:r>
          </w:p>
        </w:tc>
        <w:tc>
          <w:tcPr>
            <w:tcW w:w="6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pPr>
            <w:r>
              <w:rPr/>
              <w:t>​</w:t>
            </w:r>
          </w:p>
        </w:tc>
        <w:tc>
          <w:tcPr>
            <w:tcW w:w="694" w:type="dxa"/>
            <w:tcBorders/>
            <w:vAlign w:val="center"/>
          </w:tcPr>
          <w:p>
            <w:pPr>
              <w:pStyle w:val="TableContents"/>
              <w:bidi w:val="0"/>
              <w:spacing w:before="0" w:after="0"/>
              <w:ind w:left="0" w:right="0" w:hanging="0"/>
              <w:jc w:val="right"/>
              <w:rPr/>
            </w:pPr>
            <w:r>
              <w:rPr/>
              <w:t>​</w:t>
            </w:r>
          </w:p>
        </w:tc>
      </w:tr>
      <w:tr>
        <w:trPr/>
        <w:tc>
          <w:tcPr>
            <w:tcW w:w="2744"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7"/>
              </w:rPr>
              <w:t xml:space="preserve">Allocation of net income (loss) </w:t>
            </w:r>
            <w:r>
              <w:rPr>
                <w:rFonts w:ascii="Times New Roman;Times;serif" w:hAnsi="Times New Roman;Times;serif"/>
                <w:sz w:val="13"/>
              </w:rPr>
              <w:t>(1)</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4,440</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4,603</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(446)</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(515)</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w:t>
            </w:r>
          </w:p>
        </w:tc>
        <w:tc>
          <w:tcPr>
            <w:tcW w:w="6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3,206</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3,327</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w:t>
            </w:r>
          </w:p>
        </w:tc>
        <w:tc>
          <w:tcPr>
            <w:tcW w:w="6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4,741</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w:t>
            </w:r>
          </w:p>
        </w:tc>
        <w:tc>
          <w:tcPr>
            <w:tcW w:w="6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5,428</w:t>
            </w:r>
          </w:p>
        </w:tc>
      </w:tr>
      <w:tr>
        <w:trPr/>
        <w:tc>
          <w:tcPr>
            <w:tcW w:w="2744"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 xml:space="preserve">Total net income (loss) used in per diluted computation </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4,440</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4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4,603</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(446)</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4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(515)</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w:t>
            </w:r>
          </w:p>
        </w:tc>
        <w:tc>
          <w:tcPr>
            <w:tcW w:w="6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3,206</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w:t>
            </w:r>
          </w:p>
        </w:tc>
        <w:tc>
          <w:tcPr>
            <w:tcW w:w="64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3,327</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w:t>
            </w:r>
          </w:p>
        </w:tc>
        <w:tc>
          <w:tcPr>
            <w:tcW w:w="6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4,741</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w:t>
            </w:r>
          </w:p>
        </w:tc>
        <w:tc>
          <w:tcPr>
            <w:tcW w:w="69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5,428</w:t>
            </w:r>
          </w:p>
        </w:tc>
      </w:tr>
      <w:tr>
        <w:trPr/>
        <w:tc>
          <w:tcPr>
            <w:tcW w:w="2744"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Denominator</w:t>
            </w:r>
          </w:p>
        </w:tc>
        <w:tc>
          <w:tcPr>
            <w:tcW w:w="196" w:type="dxa"/>
            <w:tcBorders/>
            <w:shd w:fill="CCEEFF" w:val="clear"/>
            <w:vAlign w:val="center"/>
          </w:tcPr>
          <w:p>
            <w:pPr>
              <w:pStyle w:val="TableContents"/>
              <w:bidi w:val="0"/>
              <w:spacing w:before="0" w:after="0"/>
              <w:ind w:left="0" w:right="0" w:hanging="0"/>
              <w:jc w:val="left"/>
              <w:rPr/>
            </w:pPr>
            <w:r>
              <w:rPr/>
              <w:t>​</w:t>
            </w:r>
          </w:p>
        </w:tc>
        <w:tc>
          <w:tcPr>
            <w:tcW w:w="6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4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94" w:type="dxa"/>
            <w:tcBorders/>
            <w:shd w:fill="CCEEFF" w:val="clear"/>
            <w:vAlign w:val="center"/>
          </w:tcPr>
          <w:p>
            <w:pPr>
              <w:pStyle w:val="TableContents"/>
              <w:bidi w:val="0"/>
              <w:spacing w:before="0" w:after="0"/>
              <w:ind w:left="0" w:right="0" w:hanging="0"/>
              <w:jc w:val="right"/>
              <w:rPr/>
            </w:pPr>
            <w:r>
              <w:rPr/>
              <w:t>​</w:t>
            </w:r>
          </w:p>
        </w:tc>
      </w:tr>
      <w:tr>
        <w:trPr/>
        <w:tc>
          <w:tcPr>
            <w:tcW w:w="2744"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 xml:space="preserve">Number of shares used in basic per share computation </w:t>
            </w:r>
          </w:p>
        </w:tc>
        <w:tc>
          <w:tcPr>
            <w:tcW w:w="196" w:type="dxa"/>
            <w:tcBorders/>
            <w:vAlign w:val="center"/>
          </w:tcPr>
          <w:p>
            <w:pPr>
              <w:pStyle w:val="TableContents"/>
              <w:bidi w:val="0"/>
              <w:spacing w:before="0" w:after="0"/>
              <w:ind w:left="0" w:right="0" w:hanging="0"/>
              <w:jc w:val="left"/>
              <w:rPr/>
            </w:pPr>
            <w:r>
              <w:rPr/>
              <w:t>​</w:t>
            </w:r>
          </w:p>
        </w:tc>
        <w:tc>
          <w:tcPr>
            <w:tcW w:w="62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79,188</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 </w:t>
            </w:r>
          </w:p>
        </w:tc>
        <w:tc>
          <w:tcPr>
            <w:tcW w:w="644"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82,156</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2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73,727</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 </w:t>
            </w:r>
          </w:p>
        </w:tc>
        <w:tc>
          <w:tcPr>
            <w:tcW w:w="644"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85,195</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pPr>
            <w:r>
              <w:rPr/>
              <w:t> </w:t>
            </w:r>
          </w:p>
        </w:tc>
        <w:tc>
          <w:tcPr>
            <w:tcW w:w="62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78,715</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pPr>
            <w:r>
              <w:rPr/>
              <w:t> </w:t>
            </w:r>
          </w:p>
        </w:tc>
        <w:tc>
          <w:tcPr>
            <w:tcW w:w="644"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82,156</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pPr>
            <w:r>
              <w:rPr/>
              <w:t>​</w:t>
            </w:r>
          </w:p>
        </w:tc>
        <w:tc>
          <w:tcPr>
            <w:tcW w:w="62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72,507</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center"/>
              <w:rPr/>
            </w:pPr>
            <w:r>
              <w:rPr/>
              <w:t> </w:t>
            </w:r>
          </w:p>
        </w:tc>
        <w:tc>
          <w:tcPr>
            <w:tcW w:w="694"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85,838</w:t>
            </w:r>
          </w:p>
        </w:tc>
      </w:tr>
      <w:tr>
        <w:trPr/>
        <w:tc>
          <w:tcPr>
            <w:tcW w:w="2744"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Dilutive effect of common stock equivalents</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48</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6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467</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2,478</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6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744"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Total shares used in per share computation</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79,236</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82,156</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73,727</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85,195</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79,182</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82,156</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74,985</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85,838</w:t>
            </w:r>
          </w:p>
        </w:tc>
      </w:tr>
      <w:tr>
        <w:trPr/>
        <w:tc>
          <w:tcPr>
            <w:tcW w:w="2744" w:type="dxa"/>
            <w:tcBorders/>
            <w:shd w:fill="CCEEFF" w:val="clear"/>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Dilutive net income (loss) per share:</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0.06</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4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0.06</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(0.01)</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4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(0.01)</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w:t>
            </w:r>
          </w:p>
        </w:tc>
        <w:tc>
          <w:tcPr>
            <w:tcW w:w="6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0.04</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w:t>
            </w:r>
          </w:p>
        </w:tc>
        <w:tc>
          <w:tcPr>
            <w:tcW w:w="64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0.04</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w:t>
            </w:r>
          </w:p>
        </w:tc>
        <w:tc>
          <w:tcPr>
            <w:tcW w:w="6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0.06</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w:t>
            </w:r>
          </w:p>
        </w:tc>
        <w:tc>
          <w:tcPr>
            <w:tcW w:w="69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0.06</w:t>
            </w:r>
          </w:p>
        </w:tc>
      </w:tr>
      <w:tr>
        <w:trPr/>
        <w:tc>
          <w:tcPr>
            <w:tcW w:w="10205" w:type="dxa"/>
            <w:gridSpan w:val="24"/>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2"/>
              </w:rPr>
              <w:t>(1)</w:t>
            </w:r>
            <w:r>
              <w:rPr>
                <w:rFonts w:ascii="Times New Roman;Times;serif" w:hAnsi="Times New Roman;Times;serif"/>
                <w:sz w:val="16"/>
              </w:rPr>
              <w:t xml:space="preserve"> Allocation of net income (loss) is based on the percentage of shares outstanding.</w:t>
            </w:r>
          </w:p>
        </w:tc>
      </w:tr>
    </w:tbl>
    <w:p>
      <w:pPr>
        <w:pStyle w:val="TextBody"/>
        <w:bidi w:val="0"/>
        <w:spacing w:before="0" w:after="0"/>
        <w:ind w:left="450" w:right="0" w:hanging="0"/>
        <w:jc w:val="left"/>
        <w:rPr>
          <w:color w:val="FF0000"/>
        </w:rPr>
      </w:pPr>
      <w:r>
        <w:rPr>
          <w:color w:val="FF0000"/>
        </w:rPr>
        <w:t>​</w:t>
      </w:r>
    </w:p>
    <w:p>
      <w:pPr>
        <w:pStyle w:val="TextBody"/>
        <w:bidi w:val="0"/>
        <w:spacing w:before="0" w:after="0"/>
        <w:ind w:left="0" w:right="0" w:hanging="0"/>
        <w:jc w:val="left"/>
        <w:rPr>
          <w:color w:val="FF0000"/>
        </w:rPr>
      </w:pPr>
      <w:r>
        <w:rPr>
          <w:color w:val="FF0000"/>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weighted-average outstanding shares of Class A common stock equivalents by award type were excluded from the computation of diluted net loss per share attributable to Class A common stock stockholders, as the impact of including them would have been anti-dilutive.</w:t>
      </w:r>
    </w:p>
    <w:p>
      <w:pPr>
        <w:pStyle w:val="TextBody"/>
        <w:bidi w:val="0"/>
        <w:spacing w:before="0" w:after="0"/>
        <w:ind w:left="0" w:right="0" w:hanging="0"/>
        <w:jc w:val="left"/>
        <w:rPr/>
      </w:pPr>
      <w:r>
        <w:rPr/>
        <w:t>​</w:t>
      </w:r>
    </w:p>
    <w:tbl>
      <w:tblPr>
        <w:tblW w:w="8418" w:type="dxa"/>
        <w:jc w:val="left"/>
        <w:tblInd w:w="0" w:type="dxa"/>
        <w:tblLayout w:type="fixed"/>
        <w:tblCellMar>
          <w:top w:w="0" w:type="dxa"/>
          <w:left w:w="0" w:type="dxa"/>
          <w:bottom w:w="0" w:type="dxa"/>
          <w:right w:w="0" w:type="dxa"/>
        </w:tblCellMar>
      </w:tblPr>
      <w:tblGrid>
        <w:gridCol w:w="2791"/>
        <w:gridCol w:w="1178"/>
        <w:gridCol w:w="224"/>
        <w:gridCol w:w="224"/>
        <w:gridCol w:w="1178"/>
        <w:gridCol w:w="109"/>
        <w:gridCol w:w="1051"/>
        <w:gridCol w:w="200"/>
        <w:gridCol w:w="200"/>
        <w:gridCol w:w="1263"/>
      </w:tblGrid>
      <w:tr>
        <w:trPr/>
        <w:tc>
          <w:tcPr>
            <w:tcW w:w="2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1772285" cy="175260"/>
                      <wp:effectExtent l="0" t="0" r="0" b="0"/>
                      <wp:wrapNone/>
                      <wp:docPr id="312" name="Frame312"/>
                      <a:graphic xmlns:a="http://schemas.openxmlformats.org/drawingml/2006/main">
                        <a:graphicData uri="http://schemas.microsoft.com/office/word/2010/wordprocessingShape">
                          <wps:wsp>
                            <wps:cNvSpPr txBox="1"/>
                            <wps:spPr>
                              <a:xfrm>
                                <a:off x="0" y="0"/>
                                <a:ext cx="177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748030" cy="175260"/>
                      <wp:effectExtent l="0" t="0" r="0" b="0"/>
                      <wp:wrapNone/>
                      <wp:docPr id="313" name="Frame313"/>
                      <a:graphic xmlns:a="http://schemas.openxmlformats.org/drawingml/2006/main">
                        <a:graphicData uri="http://schemas.microsoft.com/office/word/2010/wordprocessingShape">
                          <wps:wsp>
                            <wps:cNvSpPr txBox="1"/>
                            <wps:spPr>
                              <a:xfrm>
                                <a:off x="0" y="0"/>
                                <a:ext cx="748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142240" cy="175260"/>
                      <wp:effectExtent l="0" t="0" r="0" b="0"/>
                      <wp:wrapNone/>
                      <wp:docPr id="314" name="Frame314"/>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142240" cy="175260"/>
                      <wp:effectExtent l="0" t="0" r="0" b="0"/>
                      <wp:wrapNone/>
                      <wp:docPr id="315" name="Frame315"/>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748030" cy="175260"/>
                      <wp:effectExtent l="0" t="0" r="0" b="0"/>
                      <wp:wrapNone/>
                      <wp:docPr id="316" name="Frame316"/>
                      <a:graphic xmlns:a="http://schemas.openxmlformats.org/drawingml/2006/main">
                        <a:graphicData uri="http://schemas.microsoft.com/office/word/2010/wordprocessingShape">
                          <wps:wsp>
                            <wps:cNvSpPr txBox="1"/>
                            <wps:spPr>
                              <a:xfrm>
                                <a:off x="0" y="0"/>
                                <a:ext cx="748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9215" cy="175260"/>
                      <wp:effectExtent l="0" t="0" r="0" b="0"/>
                      <wp:wrapNone/>
                      <wp:docPr id="317" name="Frame3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67385" cy="175260"/>
                      <wp:effectExtent l="0" t="0" r="0" b="0"/>
                      <wp:wrapNone/>
                      <wp:docPr id="318" name="Frame318"/>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127000" cy="175260"/>
                      <wp:effectExtent l="0" t="0" r="0" b="0"/>
                      <wp:wrapNone/>
                      <wp:docPr id="319" name="Frame319"/>
                      <a:graphic xmlns:a="http://schemas.openxmlformats.org/drawingml/2006/main">
                        <a:graphicData uri="http://schemas.microsoft.com/office/word/2010/wordprocessingShape">
                          <wps:wsp>
                            <wps:cNvSpPr txBox="1"/>
                            <wps:spPr>
                              <a:xfrm>
                                <a:off x="0" y="0"/>
                                <a:ext cx="127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127000" cy="175260"/>
                      <wp:effectExtent l="0" t="0" r="0" b="0"/>
                      <wp:wrapNone/>
                      <wp:docPr id="320" name="Frame320"/>
                      <a:graphic xmlns:a="http://schemas.openxmlformats.org/drawingml/2006/main">
                        <a:graphicData uri="http://schemas.microsoft.com/office/word/2010/wordprocessingShape">
                          <wps:wsp>
                            <wps:cNvSpPr txBox="1"/>
                            <wps:spPr>
                              <a:xfrm>
                                <a:off x="0" y="0"/>
                                <a:ext cx="127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802005" cy="175260"/>
                      <wp:effectExtent l="0" t="0" r="0" b="0"/>
                      <wp:wrapNone/>
                      <wp:docPr id="321" name="Frame321"/>
                      <a:graphic xmlns:a="http://schemas.openxmlformats.org/drawingml/2006/main">
                        <a:graphicData uri="http://schemas.microsoft.com/office/word/2010/wordprocessingShape">
                          <wps:wsp>
                            <wps:cNvSpPr txBox="1"/>
                            <wps:spPr>
                              <a:xfrm>
                                <a:off x="0" y="0"/>
                                <a:ext cx="802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91" w:type="dxa"/>
            <w:tcBorders/>
            <w:vAlign w:val="center"/>
          </w:tcPr>
          <w:p>
            <w:pPr>
              <w:pStyle w:val="TableContents"/>
              <w:bidi w:val="0"/>
              <w:spacing w:before="0" w:after="0"/>
              <w:ind w:left="0" w:right="0" w:hanging="0"/>
              <w:jc w:val="left"/>
              <w:rPr/>
            </w:pPr>
            <w:r>
              <w:rPr/>
              <w:t>​</w:t>
            </w:r>
          </w:p>
        </w:tc>
        <w:tc>
          <w:tcPr>
            <w:tcW w:w="280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June 30, </w:t>
            </w:r>
          </w:p>
        </w:tc>
        <w:tc>
          <w:tcPr>
            <w:tcW w:w="109" w:type="dxa"/>
            <w:tcBorders/>
            <w:vAlign w:val="center"/>
          </w:tcPr>
          <w:p>
            <w:pPr>
              <w:pStyle w:val="TableContents"/>
              <w:bidi w:val="0"/>
              <w:spacing w:before="0" w:after="0"/>
              <w:ind w:left="0" w:right="0" w:hanging="0"/>
              <w:jc w:val="center"/>
              <w:rPr/>
            </w:pPr>
            <w:r>
              <w:rPr/>
              <w:t>​</w:t>
            </w:r>
          </w:p>
        </w:tc>
        <w:tc>
          <w:tcPr>
            <w:tcW w:w="271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June 30,  </w:t>
            </w:r>
          </w:p>
        </w:tc>
      </w:tr>
      <w:tr>
        <w:trPr/>
        <w:tc>
          <w:tcPr>
            <w:tcW w:w="2791" w:type="dxa"/>
            <w:tcBorders/>
            <w:vAlign w:val="center"/>
          </w:tcPr>
          <w:p>
            <w:pPr>
              <w:pStyle w:val="TableContents"/>
              <w:bidi w:val="0"/>
              <w:spacing w:before="0" w:after="0"/>
              <w:ind w:left="0" w:right="0" w:hanging="0"/>
              <w:jc w:val="left"/>
              <w:rPr/>
            </w:pPr>
            <w:r>
              <w:rPr/>
              <w:t>​</w:t>
            </w:r>
          </w:p>
        </w:tc>
        <w:tc>
          <w:tcPr>
            <w:tcW w:w="117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24" w:type="dxa"/>
            <w:tcBorders/>
            <w:vAlign w:val="center"/>
          </w:tcPr>
          <w:p>
            <w:pPr>
              <w:pStyle w:val="TableContents"/>
              <w:bidi w:val="0"/>
              <w:spacing w:before="0" w:after="0"/>
              <w:ind w:left="0" w:right="0" w:hanging="0"/>
              <w:jc w:val="center"/>
              <w:rPr/>
            </w:pPr>
            <w:r>
              <w:rPr/>
              <w:t>​</w:t>
            </w:r>
          </w:p>
        </w:tc>
        <w:tc>
          <w:tcPr>
            <w:tcW w:w="224" w:type="dxa"/>
            <w:tcBorders/>
            <w:vAlign w:val="center"/>
          </w:tcPr>
          <w:p>
            <w:pPr>
              <w:pStyle w:val="TableContents"/>
              <w:bidi w:val="0"/>
              <w:spacing w:before="0" w:after="0"/>
              <w:ind w:left="0" w:right="0" w:hanging="0"/>
              <w:jc w:val="left"/>
              <w:rPr/>
            </w:pPr>
            <w:r>
              <w:rPr/>
              <w:t>​</w:t>
            </w:r>
          </w:p>
        </w:tc>
        <w:tc>
          <w:tcPr>
            <w:tcW w:w="117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00"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center"/>
              <w:rPr/>
            </w:pPr>
            <w:r>
              <w:rPr/>
              <w:t>​</w:t>
            </w:r>
          </w:p>
        </w:tc>
        <w:tc>
          <w:tcPr>
            <w:tcW w:w="126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8418"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2791" w:type="dxa"/>
            <w:tcBorders/>
            <w:vAlign w:val="center"/>
          </w:tcPr>
          <w:p>
            <w:pPr>
              <w:pStyle w:val="TableContents"/>
              <w:bidi w:val="0"/>
              <w:spacing w:before="0" w:after="0"/>
              <w:ind w:left="0" w:right="0" w:hanging="0"/>
              <w:jc w:val="left"/>
              <w:rPr/>
            </w:pPr>
            <w:r>
              <w:rPr/>
              <w:t>​</w:t>
            </w:r>
          </w:p>
        </w:tc>
        <w:tc>
          <w:tcPr>
            <w:tcW w:w="2804"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09" w:type="dxa"/>
            <w:tcBorders/>
            <w:vAlign w:val="center"/>
          </w:tcPr>
          <w:p>
            <w:pPr>
              <w:pStyle w:val="TableContents"/>
              <w:bidi w:val="0"/>
              <w:spacing w:before="0" w:after="0"/>
              <w:ind w:left="0" w:right="0" w:hanging="0"/>
              <w:jc w:val="center"/>
              <w:rPr/>
            </w:pPr>
            <w:r>
              <w:rPr/>
              <w:t>​</w:t>
            </w:r>
          </w:p>
        </w:tc>
        <w:tc>
          <w:tcPr>
            <w:tcW w:w="2714"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279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Stock Options </w:t>
            </w:r>
          </w:p>
        </w:tc>
        <w:tc>
          <w:tcPr>
            <w:tcW w:w="117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117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2,112</w:t>
            </w:r>
          </w:p>
        </w:tc>
        <w:tc>
          <w:tcPr>
            <w:tcW w:w="109" w:type="dxa"/>
            <w:tcBorders/>
            <w:shd w:fill="CCEEFF" w:val="clear"/>
            <w:vAlign w:val="center"/>
          </w:tcPr>
          <w:p>
            <w:pPr>
              <w:pStyle w:val="TableContents"/>
              <w:bidi w:val="0"/>
              <w:spacing w:before="0" w:after="0"/>
              <w:ind w:left="0" w:right="0" w:hanging="0"/>
              <w:jc w:val="left"/>
              <w:rPr/>
            </w:pPr>
            <w:r>
              <w:rPr/>
              <w:t>​</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126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Out-of-the Money Stock Options</w:t>
            </w:r>
          </w:p>
        </w:tc>
        <w:tc>
          <w:tcPr>
            <w:tcW w:w="117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w:t>
            </w:r>
          </w:p>
        </w:tc>
        <w:tc>
          <w:tcPr>
            <w:tcW w:w="224"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1178"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0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w:t>
            </w:r>
          </w:p>
        </w:tc>
        <w:tc>
          <w:tcPr>
            <w:tcW w:w="200"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126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RSAs</w:t>
            </w:r>
          </w:p>
        </w:tc>
        <w:tc>
          <w:tcPr>
            <w:tcW w:w="117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117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109" w:type="dxa"/>
            <w:tcBorders/>
            <w:shd w:fill="CCEEFF" w:val="clear"/>
            <w:vAlign w:val="center"/>
          </w:tcPr>
          <w:p>
            <w:pPr>
              <w:pStyle w:val="TableContents"/>
              <w:bidi w:val="0"/>
              <w:spacing w:before="0" w:after="0"/>
              <w:ind w:left="0" w:right="0" w:hanging="0"/>
              <w:jc w:val="left"/>
              <w:rPr/>
            </w:pPr>
            <w:r>
              <w:rPr/>
              <w:t>​</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126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RSUs</w:t>
            </w:r>
          </w:p>
        </w:tc>
        <w:tc>
          <w:tcPr>
            <w:tcW w:w="1178"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224"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117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4,177</w:t>
            </w:r>
          </w:p>
        </w:tc>
        <w:tc>
          <w:tcPr>
            <w:tcW w:w="109" w:type="dxa"/>
            <w:tcBorders/>
            <w:vAlign w:val="center"/>
          </w:tcPr>
          <w:p>
            <w:pPr>
              <w:pStyle w:val="TableContents"/>
              <w:bidi w:val="0"/>
              <w:spacing w:before="0" w:after="0"/>
              <w:ind w:left="0" w:right="0" w:hanging="0"/>
              <w:jc w:val="left"/>
              <w:rPr/>
            </w:pPr>
            <w:r>
              <w:rPr/>
              <w:t>​</w:t>
            </w:r>
          </w:p>
        </w:tc>
        <w:tc>
          <w:tcPr>
            <w:tcW w:w="105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200"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1263"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ESPP</w:t>
            </w:r>
          </w:p>
        </w:tc>
        <w:tc>
          <w:tcPr>
            <w:tcW w:w="117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117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109" w:type="dxa"/>
            <w:tcBorders/>
            <w:shd w:fill="CCEEFF" w:val="clear"/>
            <w:vAlign w:val="center"/>
          </w:tcPr>
          <w:p>
            <w:pPr>
              <w:pStyle w:val="TableContents"/>
              <w:bidi w:val="0"/>
              <w:spacing w:before="0" w:after="0"/>
              <w:ind w:left="0" w:right="0" w:hanging="0"/>
              <w:jc w:val="left"/>
              <w:rPr/>
            </w:pPr>
            <w:r>
              <w:rPr/>
              <w:t>​</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126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Convertible Senior Notes </w:t>
            </w:r>
          </w:p>
        </w:tc>
        <w:tc>
          <w:tcPr>
            <w:tcW w:w="117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9,498</w:t>
            </w:r>
          </w:p>
        </w:tc>
        <w:tc>
          <w:tcPr>
            <w:tcW w:w="224"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117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9,498</w:t>
            </w:r>
          </w:p>
        </w:tc>
        <w:tc>
          <w:tcPr>
            <w:tcW w:w="109" w:type="dxa"/>
            <w:tcBorders/>
            <w:vAlign w:val="center"/>
          </w:tcPr>
          <w:p>
            <w:pPr>
              <w:pStyle w:val="TableContents"/>
              <w:bidi w:val="0"/>
              <w:spacing w:before="0" w:after="0"/>
              <w:ind w:left="0" w:right="0" w:hanging="0"/>
              <w:jc w:val="left"/>
              <w:rPr/>
            </w:pPr>
            <w:r>
              <w:rPr/>
              <w:t>​</w:t>
            </w:r>
          </w:p>
        </w:tc>
        <w:tc>
          <w:tcPr>
            <w:tcW w:w="10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9,498</w:t>
            </w:r>
          </w:p>
        </w:tc>
        <w:tc>
          <w:tcPr>
            <w:tcW w:w="200"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1263"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9,498</w:t>
            </w:r>
          </w:p>
        </w:tc>
      </w:tr>
    </w:tbl>
    <w:p>
      <w:pPr>
        <w:pStyle w:val="TextBody"/>
        <w:bidi w:val="0"/>
        <w:spacing w:before="0" w:after="0"/>
        <w:ind w:left="0" w:right="0" w:firstLine="360"/>
        <w:jc w:val="both"/>
        <w:rPr/>
      </w:pPr>
      <w:r>
        <w:rPr/>
        <w:t>​</w:t>
      </w:r>
    </w:p>
    <w:p>
      <w:pPr>
        <w:pStyle w:val="TextBody"/>
        <w:bidi w:val="0"/>
        <w:spacing w:before="0" w:after="240"/>
        <w:ind w:left="0" w:right="0" w:firstLine="360"/>
        <w:jc w:val="both"/>
        <w:rPr/>
      </w:pPr>
      <w:r>
        <w:rPr/>
        <w:t>​</w:t>
      </w:r>
    </w:p>
    <w:p>
      <w:pPr>
        <w:pStyle w:val="TextBody"/>
        <w:bidi w:val="0"/>
        <w:spacing w:before="0" w:after="0"/>
        <w:ind w:left="450" w:right="0" w:hanging="0"/>
        <w:jc w:val="left"/>
        <w:rPr>
          <w:color w:val="FF0000"/>
        </w:rPr>
      </w:pPr>
      <w:r>
        <w:rPr>
          <w:color w:val="FF0000"/>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lineRule="atLeast" w:line="142"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11.    STOCK-BASED AWARD PLANS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2020 Incentive Award Plan (the “2020 Plan”) provides the ability to grant cash and equity-based incentive awards to eligible employees, directors and service providers in order to attract, retain and motivate those that make important contributions to the Company. The Company issued stock options, RSAs, RSUs, and PSUs (as defined in Note 11) under the 2020 Plan. As of June 30, 2026, 14,867 shares of Class A common stock were available for issuance under the 2020 Plan. </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766" w:type="dxa"/>
        <w:jc w:val="left"/>
        <w:tblInd w:w="0" w:type="dxa"/>
        <w:tblLayout w:type="fixed"/>
        <w:tblCellMar>
          <w:top w:w="0" w:type="dxa"/>
          <w:left w:w="0" w:type="dxa"/>
          <w:bottom w:w="0" w:type="dxa"/>
          <w:right w:w="0" w:type="dxa"/>
        </w:tblCellMar>
      </w:tblPr>
      <w:tblGrid>
        <w:gridCol w:w="6766"/>
      </w:tblGrid>
      <w:tr>
        <w:trPr/>
        <w:tc>
          <w:tcPr>
            <w:tcW w:w="6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i/>
          <w:sz w:val="20"/>
        </w:rPr>
      </w:pPr>
      <w:bookmarkStart w:id="1933" w:name="Tc_MtKPvLV3LUW54N-d7UdxzA_15_0"/>
      <w:bookmarkStart w:id="1934" w:name="Tc_0n8KCmCpAkabsA9B_lt_Ng_7_0"/>
      <w:bookmarkStart w:id="1935" w:name="Tc_2aFNhpW3m0CiFcnNcXgLVQ_6_2"/>
      <w:bookmarkStart w:id="1936" w:name="Tc_vfeZbJEDM0qbLGF6cKyhnw_5_8"/>
      <w:bookmarkStart w:id="1937" w:name="Tc_eVRWfmZLsE2T2L2WQTT1Ug_5_6"/>
      <w:bookmarkStart w:id="1938" w:name="Tc_o75TI8qrk0SFzGChc0lfEg_5_4"/>
      <w:bookmarkStart w:id="1939" w:name="Tc_F2gFlrBjOk6cVCIiVgAvAA_5_2"/>
      <w:bookmarkStart w:id="1940" w:name="Tc_9nIsWGYPaku40mb8cKku8A_5_0"/>
      <w:bookmarkStart w:id="1941" w:name="Tc_yNFRxivb1UKrSH3cXPSOoQ_4_8"/>
      <w:bookmarkStart w:id="1942" w:name="Tc_Ru2f70IyA0mcnqUKsgHWkw_4_4"/>
      <w:bookmarkStart w:id="1943" w:name="Tc_9tl5zvoYj0iitVzRcl1_Hw_3_8"/>
      <w:bookmarkStart w:id="1944" w:name="Tc_KdO5c5FgNUedPL8PjNwfjA_3_4"/>
      <w:bookmarkStart w:id="1945" w:name="Tc_0hZ6z-GRfEGkhKuIu4ZHHw_2_6"/>
      <w:bookmarkStart w:id="1946" w:name="Tc_rEKFjmu45E-c95P1wgGTEA_2_2"/>
      <w:bookmarkStart w:id="1947" w:name="Tc_Lm3O-op2jEmmr55IUiosXQ_11_9"/>
      <w:bookmarkStart w:id="1948" w:name="Tc_goTOIz9y00SY8zezohmsEQ_11_4"/>
      <w:bookmarkStart w:id="1949" w:name="Tc_KQam5K8evEecfZEYPtRhlQ_11_0"/>
      <w:bookmarkStart w:id="1950" w:name="Tc_EYgt7wndXkK0wJT-gRyqEg_10_9"/>
      <w:bookmarkStart w:id="1951" w:name="Tc_CNOkdtYNpkiZpY6D8siAZg_10_4"/>
      <w:bookmarkStart w:id="1952" w:name="Tc_fwyVtVNSpUOdwVrQdhz_gQ_10_0"/>
      <w:bookmarkStart w:id="1953" w:name="Tc_pM-xSKGtqEK37XyTQBsHfQ_9_0"/>
      <w:bookmarkStart w:id="1954" w:name="Tc_703MA5kM4EicdqUbUo0V6Q_8_0"/>
      <w:bookmarkStart w:id="1955" w:name="Tc_AVHC-r21hk29lJy0ngReSA_7_9"/>
      <w:bookmarkStart w:id="1956" w:name="Tc_tCT-1p-WLES53WFrb7eCZA_7_4"/>
      <w:bookmarkStart w:id="1957" w:name="Tc_S2pBff_3UEyAPGeCaAgOlg_7_0"/>
      <w:bookmarkStart w:id="1958" w:name="Tc_qdJjrofNo0i-875N0DtC-A_6_2"/>
      <w:bookmarkStart w:id="1959" w:name="Tc_zf0Z1Nk4eE2aBTC37XqTOg_5_9"/>
      <w:bookmarkStart w:id="1960" w:name="Tc_5JIHWT6r1kOU01HMi9Ng5g_5_7"/>
      <w:bookmarkStart w:id="1961" w:name="Tc_MA9CZoghGEOMROq1IKuiaQ_5_5"/>
      <w:bookmarkStart w:id="1962" w:name="Tc_nFfCdmSZo0axL7F67ir1kg_5_2"/>
      <w:bookmarkStart w:id="1963" w:name="Tc_b3sbxn5UlUCOw4wX8P66CA_5_0"/>
      <w:bookmarkStart w:id="1964" w:name="Tc_buWwNqPvf0aim-maagI5Sw_4_9"/>
      <w:bookmarkStart w:id="1965" w:name="Tc_EWActCMa_kCWpeWQCupWsg_4_7"/>
      <w:bookmarkStart w:id="1966" w:name="Tc_CdX0HMo1JUGVdut0XOUyWQ_4_5"/>
      <w:bookmarkStart w:id="1967" w:name="Tc_3pHtW9NEdEOM8AZMYQkzrQ_3_9"/>
      <w:bookmarkStart w:id="1968" w:name="Tc_OXvzrGDM30S2KH1SUJZswQ_3_7"/>
      <w:bookmarkStart w:id="1969" w:name="Tc_e2dQVxaeCk-F6p3dpGzEpw_3_5"/>
      <w:bookmarkStart w:id="1970" w:name="Tc_WLjZAtNZUUCCFmzO13WFiQ_2_7"/>
      <w:bookmarkStart w:id="1971" w:name="Tc_BSNDL_ZIE0ONMT3yr9yCDg_2_5"/>
      <w:bookmarkStart w:id="1972" w:name="Tc_e2BgBv9K9EuBMgjtRjRVcA_1_7"/>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r>
        <w:rPr>
          <w:rFonts w:ascii="Times New Roman;Times;serif" w:hAnsi="Times New Roman;Times;serif"/>
          <w:i/>
          <w:sz w:val="20"/>
        </w:rPr>
        <w:t xml:space="preserve">Options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summarizes activity for options outstanding under the 2020 Plan for the six months ended June 30, 2026:</w:t>
      </w:r>
    </w:p>
    <w:p>
      <w:pPr>
        <w:pStyle w:val="TextBody"/>
        <w:bidi w:val="0"/>
        <w:spacing w:before="0" w:after="0"/>
        <w:ind w:left="0" w:right="0" w:hanging="0"/>
        <w:jc w:val="left"/>
        <w:rPr/>
      </w:pPr>
      <w:r>
        <w:rPr/>
        <w:t>​</w:t>
      </w:r>
    </w:p>
    <w:tbl>
      <w:tblPr>
        <w:tblW w:w="8017" w:type="dxa"/>
        <w:jc w:val="left"/>
        <w:tblInd w:w="0" w:type="dxa"/>
        <w:tblLayout w:type="fixed"/>
        <w:tblCellMar>
          <w:top w:w="0" w:type="dxa"/>
          <w:left w:w="0" w:type="dxa"/>
          <w:bottom w:w="0" w:type="dxa"/>
          <w:right w:w="0" w:type="dxa"/>
        </w:tblCellMar>
      </w:tblPr>
      <w:tblGrid>
        <w:gridCol w:w="4006"/>
        <w:gridCol w:w="146"/>
        <w:gridCol w:w="571"/>
        <w:gridCol w:w="109"/>
        <w:gridCol w:w="211"/>
        <w:gridCol w:w="796"/>
        <w:gridCol w:w="146"/>
        <w:gridCol w:w="991"/>
        <w:gridCol w:w="109"/>
        <w:gridCol w:w="211"/>
        <w:gridCol w:w="721"/>
      </w:tblGrid>
      <w:tr>
        <w:trPr/>
        <w:tc>
          <w:tcPr>
            <w:tcW w:w="4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543810" cy="175260"/>
                      <wp:effectExtent l="0" t="0" r="0" b="0"/>
                      <wp:wrapNone/>
                      <wp:docPr id="322" name="Frame322"/>
                      <a:graphic xmlns:a="http://schemas.openxmlformats.org/drawingml/2006/main">
                        <a:graphicData uri="http://schemas.microsoft.com/office/word/2010/wordprocessingShape">
                          <wps:wsp>
                            <wps:cNvSpPr txBox="1"/>
                            <wps:spPr>
                              <a:xfrm>
                                <a:off x="0" y="0"/>
                                <a:ext cx="2543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92710" cy="175260"/>
                      <wp:effectExtent l="0" t="0" r="0" b="0"/>
                      <wp:wrapNone/>
                      <wp:docPr id="323" name="Frame32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362585" cy="175260"/>
                      <wp:effectExtent l="0" t="0" r="0" b="0"/>
                      <wp:wrapNone/>
                      <wp:docPr id="324" name="Frame32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69215" cy="175260"/>
                      <wp:effectExtent l="0" t="0" r="0" b="0"/>
                      <wp:wrapNone/>
                      <wp:docPr id="325" name="Frame3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133985" cy="175260"/>
                      <wp:effectExtent l="0" t="0" r="0" b="0"/>
                      <wp:wrapNone/>
                      <wp:docPr id="326" name="Frame3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505460" cy="175260"/>
                      <wp:effectExtent l="0" t="0" r="0" b="0"/>
                      <wp:wrapNone/>
                      <wp:docPr id="327" name="Frame32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92710" cy="175260"/>
                      <wp:effectExtent l="0" t="0" r="0" b="0"/>
                      <wp:wrapNone/>
                      <wp:docPr id="328" name="Frame32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629285" cy="175260"/>
                      <wp:effectExtent l="0" t="0" r="0" b="0"/>
                      <wp:wrapNone/>
                      <wp:docPr id="329" name="Frame329"/>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69215" cy="175260"/>
                      <wp:effectExtent l="0" t="0" r="0" b="0"/>
                      <wp:wrapNone/>
                      <wp:docPr id="330" name="Frame3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133985" cy="175260"/>
                      <wp:effectExtent l="0" t="0" r="0" b="0"/>
                      <wp:wrapNone/>
                      <wp:docPr id="331" name="Frame3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457835" cy="175260"/>
                      <wp:effectExtent l="0" t="0" r="0" b="0"/>
                      <wp:wrapNone/>
                      <wp:docPr id="332" name="Frame332"/>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0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r>
      <w:tr>
        <w:trPr/>
        <w:tc>
          <w:tcPr>
            <w:tcW w:w="400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1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109" w:type="dxa"/>
            <w:tcBorders/>
            <w:vAlign w:val="center"/>
          </w:tcPr>
          <w:p>
            <w:pPr>
              <w:pStyle w:val="TableContents"/>
              <w:bidi w:val="0"/>
              <w:spacing w:before="0" w:after="0"/>
              <w:ind w:left="0" w:right="0" w:hanging="0"/>
              <w:jc w:val="left"/>
              <w:rPr/>
            </w:pPr>
            <w:r>
              <w:rPr/>
              <w:t>​</w:t>
            </w:r>
          </w:p>
        </w:tc>
        <w:tc>
          <w:tcPr>
            <w:tcW w:w="932" w:type="dxa"/>
            <w:gridSpan w:val="2"/>
            <w:tcBorders/>
            <w:vAlign w:val="center"/>
          </w:tcPr>
          <w:p>
            <w:pPr>
              <w:pStyle w:val="TableContents"/>
              <w:bidi w:val="0"/>
              <w:spacing w:before="0" w:after="0"/>
              <w:ind w:left="0" w:right="0" w:hanging="0"/>
              <w:jc w:val="center"/>
              <w:rPr/>
            </w:pPr>
            <w:r>
              <w:rPr/>
              <w:t>​</w:t>
            </w:r>
          </w:p>
        </w:tc>
      </w:tr>
      <w:tr>
        <w:trPr/>
        <w:tc>
          <w:tcPr>
            <w:tcW w:w="400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1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109" w:type="dxa"/>
            <w:tcBorders/>
            <w:vAlign w:val="center"/>
          </w:tcPr>
          <w:p>
            <w:pPr>
              <w:pStyle w:val="TableContents"/>
              <w:bidi w:val="0"/>
              <w:spacing w:before="0" w:after="0"/>
              <w:ind w:left="0" w:right="0" w:hanging="0"/>
              <w:jc w:val="left"/>
              <w:rPr/>
            </w:pPr>
            <w:r>
              <w:rPr/>
              <w:t>​</w:t>
            </w:r>
          </w:p>
        </w:tc>
        <w:tc>
          <w:tcPr>
            <w:tcW w:w="93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400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1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109" w:type="dxa"/>
            <w:tcBorders/>
            <w:vAlign w:val="center"/>
          </w:tcPr>
          <w:p>
            <w:pPr>
              <w:pStyle w:val="TableContents"/>
              <w:bidi w:val="0"/>
              <w:spacing w:before="0" w:after="0"/>
              <w:ind w:left="0" w:right="0" w:hanging="0"/>
              <w:jc w:val="left"/>
              <w:rPr/>
            </w:pPr>
            <w:r>
              <w:rPr/>
              <w:t>​</w:t>
            </w:r>
          </w:p>
        </w:tc>
        <w:tc>
          <w:tcPr>
            <w:tcW w:w="93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2020 Plan Option Activity</w:t>
            </w:r>
          </w:p>
        </w:tc>
        <w:tc>
          <w:tcPr>
            <w:tcW w:w="146" w:type="dxa"/>
            <w:tcBorders/>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Units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146" w:type="dxa"/>
            <w:tcBorders/>
            <w:vAlign w:val="center"/>
          </w:tcPr>
          <w:p>
            <w:pPr>
              <w:pStyle w:val="TableContents"/>
              <w:bidi w:val="0"/>
              <w:spacing w:before="0" w:after="0"/>
              <w:ind w:left="0" w:right="0" w:hanging="0"/>
              <w:jc w:val="righ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Life (Years)</w:t>
            </w:r>
          </w:p>
        </w:tc>
        <w:tc>
          <w:tcPr>
            <w:tcW w:w="109" w:type="dxa"/>
            <w:tcBorders/>
            <w:vAlign w:val="center"/>
          </w:tcPr>
          <w:p>
            <w:pPr>
              <w:pStyle w:val="TableContents"/>
              <w:bidi w:val="0"/>
              <w:spacing w:before="0" w:after="0"/>
              <w:ind w:left="0" w:right="0" w:hanging="0"/>
              <w:jc w:val="right"/>
              <w:rPr/>
            </w:pPr>
            <w:r>
              <w:rPr/>
              <w:t>​</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8017" w:type="dxa"/>
            <w:gridSpan w:val="11"/>
            <w:tcBorders/>
            <w:vAlign w:val="center"/>
          </w:tcPr>
          <w:p>
            <w:pPr>
              <w:pStyle w:val="TableContents"/>
              <w:bidi w:val="0"/>
              <w:spacing w:before="0" w:after="283"/>
              <w:ind w:left="0" w:right="0" w:hanging="0"/>
              <w:jc w:val="left"/>
              <w:rPr>
                <w:sz w:val="4"/>
                <w:szCs w:val="4"/>
              </w:rPr>
            </w:pPr>
            <w:r>
              <w:rPr>
                <w:sz w:val="4"/>
                <w:szCs w:val="4"/>
              </w:rPr>
            </w:r>
          </w:p>
        </w:tc>
      </w:tr>
      <w:tr>
        <w:trPr/>
        <w:tc>
          <w:tcPr>
            <w:tcW w:w="400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3865" w:type="dxa"/>
            <w:gridSpan w:val="9"/>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January 1, 2026</w:t>
            </w:r>
          </w:p>
        </w:tc>
        <w:tc>
          <w:tcPr>
            <w:tcW w:w="1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7.32</w:t>
            </w:r>
          </w:p>
        </w:tc>
        <w:tc>
          <w:tcPr>
            <w:tcW w:w="1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22,526</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1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w:t>
            </w:r>
          </w:p>
        </w:tc>
        <w:tc>
          <w:tcPr>
            <w:tcW w:w="1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146" w:type="dxa"/>
            <w:tcBorders/>
            <w:shd w:fill="CCEEFF" w:val="cle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19.73</w:t>
            </w:r>
          </w:p>
        </w:tc>
        <w:tc>
          <w:tcPr>
            <w:tcW w:w="1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2020 Plan options outstanding at June 30, 2026</w:t>
            </w:r>
          </w:p>
        </w:tc>
        <w:tc>
          <w:tcPr>
            <w:tcW w:w="146" w:type="dxa"/>
            <w:tcBorders/>
            <w:vAlign w:val="center"/>
          </w:tcPr>
          <w:p>
            <w:pPr>
              <w:pStyle w:val="TableContents"/>
              <w:bidi w:val="0"/>
              <w:spacing w:before="0" w:after="0"/>
              <w:ind w:left="0" w:right="0" w:hanging="0"/>
              <w:jc w:val="left"/>
              <w:rPr/>
            </w:pPr>
            <w:r>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8.06</w:t>
            </w:r>
          </w:p>
        </w:tc>
        <w:tc>
          <w:tcPr>
            <w:tcW w:w="1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7,654</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2020 Plan options exercisable at June 30, 2026</w:t>
            </w:r>
          </w:p>
        </w:tc>
        <w:tc>
          <w:tcPr>
            <w:tcW w:w="146" w:type="dxa"/>
            <w:tcBorders/>
            <w:shd w:fill="CCEEFF" w:val="clear"/>
            <w:vAlign w:val="center"/>
          </w:tcPr>
          <w:p>
            <w:pPr>
              <w:pStyle w:val="TableContents"/>
              <w:bidi w:val="0"/>
              <w:spacing w:before="0" w:after="0"/>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8.06</w:t>
            </w:r>
          </w:p>
        </w:tc>
        <w:tc>
          <w:tcPr>
            <w:tcW w:w="1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7,654</w:t>
            </w:r>
          </w:p>
        </w:tc>
      </w:tr>
    </w:tbl>
    <w:p>
      <w:pPr>
        <w:pStyle w:val="TextBody"/>
        <w:shd w:fill="FFFFFF" w:val="clea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details of options outstanding, vested, and exercisable under the 2020 Plan as of June 30, 2026 are as follows:</w:t>
      </w:r>
    </w:p>
    <w:p>
      <w:pPr>
        <w:pStyle w:val="TextBody"/>
        <w:bidi w:val="0"/>
        <w:spacing w:before="0" w:after="0"/>
        <w:ind w:left="0" w:right="0" w:hanging="0"/>
        <w:jc w:val="left"/>
        <w:rPr/>
      </w:pPr>
      <w:r>
        <w:rPr/>
        <w:t>​</w:t>
      </w:r>
    </w:p>
    <w:tbl>
      <w:tblPr>
        <w:tblW w:w="8481" w:type="dxa"/>
        <w:jc w:val="left"/>
        <w:tblInd w:w="0" w:type="dxa"/>
        <w:tblLayout w:type="fixed"/>
        <w:tblCellMar>
          <w:top w:w="0" w:type="dxa"/>
          <w:left w:w="0" w:type="dxa"/>
          <w:bottom w:w="0" w:type="dxa"/>
          <w:right w:w="0" w:type="dxa"/>
        </w:tblCellMar>
      </w:tblPr>
      <w:tblGrid>
        <w:gridCol w:w="3466"/>
        <w:gridCol w:w="346"/>
        <w:gridCol w:w="571"/>
        <w:gridCol w:w="346"/>
        <w:gridCol w:w="976"/>
        <w:gridCol w:w="346"/>
        <w:gridCol w:w="716"/>
        <w:gridCol w:w="434"/>
        <w:gridCol w:w="1280"/>
      </w:tblGrid>
      <w:tr>
        <w:trPr/>
        <w:tc>
          <w:tcPr>
            <w:tcW w:w="3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2200910" cy="175260"/>
                      <wp:effectExtent l="0" t="0" r="0" b="0"/>
                      <wp:wrapNone/>
                      <wp:docPr id="333" name="Frame333"/>
                      <a:graphic xmlns:a="http://schemas.openxmlformats.org/drawingml/2006/main">
                        <a:graphicData uri="http://schemas.microsoft.com/office/word/2010/wordprocessingShape">
                          <wps:wsp>
                            <wps:cNvSpPr txBox="1"/>
                            <wps:spPr>
                              <a:xfrm>
                                <a:off x="0" y="0"/>
                                <a:ext cx="2200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19710" cy="175260"/>
                      <wp:effectExtent l="0" t="0" r="0" b="0"/>
                      <wp:wrapNone/>
                      <wp:docPr id="334" name="Frame3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362585" cy="175260"/>
                      <wp:effectExtent l="0" t="0" r="0" b="0"/>
                      <wp:wrapNone/>
                      <wp:docPr id="335" name="Frame33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219710" cy="175260"/>
                      <wp:effectExtent l="0" t="0" r="0" b="0"/>
                      <wp:wrapNone/>
                      <wp:docPr id="336" name="Frame3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619760" cy="175260"/>
                      <wp:effectExtent l="0" t="0" r="0" b="0"/>
                      <wp:wrapNone/>
                      <wp:docPr id="337" name="Frame337"/>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19710" cy="175260"/>
                      <wp:effectExtent l="0" t="0" r="0" b="0"/>
                      <wp:wrapNone/>
                      <wp:docPr id="338" name="Frame3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454660" cy="175260"/>
                      <wp:effectExtent l="0" t="0" r="0" b="0"/>
                      <wp:wrapNone/>
                      <wp:docPr id="339" name="Frame339"/>
                      <a:graphic xmlns:a="http://schemas.openxmlformats.org/drawingml/2006/main">
                        <a:graphicData uri="http://schemas.microsoft.com/office/word/2010/wordprocessingShape">
                          <wps:wsp>
                            <wps:cNvSpPr txBox="1"/>
                            <wps:spPr>
                              <a:xfrm>
                                <a:off x="0" y="0"/>
                                <a:ext cx="454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75590" cy="175260"/>
                      <wp:effectExtent l="0" t="0" r="0" b="0"/>
                      <wp:wrapNone/>
                      <wp:docPr id="340" name="Frame340"/>
                      <a:graphic xmlns:a="http://schemas.openxmlformats.org/drawingml/2006/main">
                        <a:graphicData uri="http://schemas.microsoft.com/office/word/2010/wordprocessingShape">
                          <wps:wsp>
                            <wps:cNvSpPr txBox="1"/>
                            <wps:spPr>
                              <a:xfrm>
                                <a:off x="0" y="0"/>
                                <a:ext cx="275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812800" cy="175260"/>
                      <wp:effectExtent l="0" t="0" r="0" b="0"/>
                      <wp:wrapNone/>
                      <wp:docPr id="341" name="Frame341"/>
                      <a:graphic xmlns:a="http://schemas.openxmlformats.org/drawingml/2006/main">
                        <a:graphicData uri="http://schemas.microsoft.com/office/word/2010/wordprocessingShape">
                          <wps:wsp>
                            <wps:cNvSpPr txBox="1"/>
                            <wps:spPr>
                              <a:xfrm>
                                <a:off x="0" y="0"/>
                                <a:ext cx="812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16" w:type="dxa"/>
            <w:tcBorders/>
            <w:vAlign w:val="center"/>
          </w:tcPr>
          <w:p>
            <w:pPr>
              <w:pStyle w:val="TableContents"/>
              <w:bidi w:val="0"/>
              <w:spacing w:before="0" w:after="0"/>
              <w:ind w:left="0" w:right="0" w:hanging="0"/>
              <w:jc w:val="center"/>
              <w:rPr/>
            </w:pPr>
            <w:r>
              <w:rPr/>
              <w:t>​</w:t>
            </w:r>
          </w:p>
        </w:tc>
        <w:tc>
          <w:tcPr>
            <w:tcW w:w="434" w:type="dxa"/>
            <w:tcBorders/>
            <w:vAlign w:val="center"/>
          </w:tcPr>
          <w:p>
            <w:pPr>
              <w:pStyle w:val="TableContents"/>
              <w:bidi w:val="0"/>
              <w:spacing w:before="0" w:after="0"/>
              <w:ind w:left="0" w:right="0" w:hanging="0"/>
              <w:jc w:val="left"/>
              <w:rPr/>
            </w:pPr>
            <w:r>
              <w:rPr/>
              <w:t>​</w:t>
            </w:r>
          </w:p>
        </w:tc>
        <w:tc>
          <w:tcPr>
            <w:tcW w:w="1280" w:type="dxa"/>
            <w:tcBorders/>
            <w:vAlign w:val="center"/>
          </w:tcPr>
          <w:p>
            <w:pPr>
              <w:pStyle w:val="TableContents"/>
              <w:bidi w:val="0"/>
              <w:spacing w:before="0" w:after="0"/>
              <w:ind w:left="0" w:right="0" w:hanging="0"/>
              <w:jc w:val="center"/>
              <w:rPr/>
            </w:pPr>
            <w:r>
              <w:rPr/>
              <w:t>​</w:t>
            </w:r>
          </w:p>
        </w:tc>
      </w:tr>
      <w:tr>
        <w:trPr/>
        <w:tc>
          <w:tcPr>
            <w:tcW w:w="3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9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 Outstanding</w:t>
            </w:r>
          </w:p>
        </w:tc>
        <w:tc>
          <w:tcPr>
            <w:tcW w:w="346" w:type="dxa"/>
            <w:tcBorders/>
            <w:vAlign w:val="center"/>
          </w:tcPr>
          <w:p>
            <w:pPr>
              <w:pStyle w:val="TableContents"/>
              <w:bidi w:val="0"/>
              <w:spacing w:before="0" w:after="0"/>
              <w:ind w:left="0" w:right="0" w:hanging="0"/>
              <w:jc w:val="left"/>
              <w:rPr/>
            </w:pPr>
            <w:r>
              <w:rPr/>
              <w:t>​</w:t>
            </w:r>
          </w:p>
        </w:tc>
        <w:tc>
          <w:tcPr>
            <w:tcW w:w="243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 Vested and Exercisable</w:t>
            </w:r>
          </w:p>
        </w:tc>
      </w:tr>
      <w:tr>
        <w:trPr/>
        <w:tc>
          <w:tcPr>
            <w:tcW w:w="3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0"/>
              <w:ind w:left="0" w:right="0" w:hanging="0"/>
              <w:jc w:val="left"/>
              <w:rPr/>
            </w:pPr>
            <w:r>
              <w:rPr/>
              <w:t>  ​ ​ ​</w:t>
            </w:r>
          </w:p>
        </w:tc>
        <w:tc>
          <w:tcPr>
            <w:tcW w:w="716" w:type="dxa"/>
            <w:tcBorders/>
            <w:vAlign w:val="center"/>
          </w:tcPr>
          <w:p>
            <w:pPr>
              <w:pStyle w:val="TableContents"/>
              <w:bidi w:val="0"/>
              <w:spacing w:before="0" w:after="0"/>
              <w:ind w:left="0" w:right="0" w:hanging="0"/>
              <w:jc w:val="center"/>
              <w:rPr/>
            </w:pPr>
            <w:r>
              <w:rPr/>
              <w:t>​</w:t>
            </w:r>
          </w:p>
        </w:tc>
        <w:tc>
          <w:tcPr>
            <w:tcW w:w="434" w:type="dxa"/>
            <w:tcBorders/>
            <w:vAlign w:val="center"/>
          </w:tcPr>
          <w:p>
            <w:pPr>
              <w:pStyle w:val="TableContents"/>
              <w:bidi w:val="0"/>
              <w:spacing w:before="0" w:after="0"/>
              <w:ind w:left="0" w:right="0" w:hanging="0"/>
              <w:jc w:val="left"/>
              <w:rPr/>
            </w:pPr>
            <w:r>
              <w:rPr/>
              <w:t>  ​ ​ ​</w:t>
            </w:r>
          </w:p>
        </w:tc>
        <w:tc>
          <w:tcPr>
            <w:tcW w:w="1280"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34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0"/>
              <w:ind w:left="0" w:right="0" w:hanging="0"/>
              <w:jc w:val="left"/>
              <w:rPr/>
            </w:pPr>
            <w:r>
              <w:rPr/>
              <w:t>​</w:t>
            </w:r>
          </w:p>
        </w:tc>
        <w:tc>
          <w:tcPr>
            <w:tcW w:w="716" w:type="dxa"/>
            <w:tcBorders/>
            <w:vAlign w:val="center"/>
          </w:tcPr>
          <w:p>
            <w:pPr>
              <w:pStyle w:val="TableContents"/>
              <w:bidi w:val="0"/>
              <w:spacing w:before="0" w:after="0"/>
              <w:ind w:left="0" w:right="0" w:hanging="0"/>
              <w:jc w:val="center"/>
              <w:rPr/>
            </w:pPr>
            <w:r>
              <w:rPr/>
              <w:t>​</w:t>
            </w:r>
          </w:p>
        </w:tc>
        <w:tc>
          <w:tcPr>
            <w:tcW w:w="434" w:type="dxa"/>
            <w:tcBorders/>
            <w:vAlign w:val="center"/>
          </w:tcPr>
          <w:p>
            <w:pPr>
              <w:pStyle w:val="TableContents"/>
              <w:bidi w:val="0"/>
              <w:spacing w:before="0" w:after="0"/>
              <w:ind w:left="0" w:right="0" w:hanging="0"/>
              <w:jc w:val="left"/>
              <w:rPr/>
            </w:pPr>
            <w:r>
              <w:rPr/>
              <w:t>​</w:t>
            </w:r>
          </w:p>
        </w:tc>
        <w:tc>
          <w:tcPr>
            <w:tcW w:w="1280"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34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Exercise Prices</w:t>
            </w:r>
          </w:p>
        </w:tc>
        <w:tc>
          <w:tcPr>
            <w:tcW w:w="346" w:type="dxa"/>
            <w:tcBorders/>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Units</w:t>
            </w:r>
          </w:p>
        </w:tc>
        <w:tc>
          <w:tcPr>
            <w:tcW w:w="346" w:type="dxa"/>
            <w:tcBorders/>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Life (Years)</w:t>
            </w:r>
          </w:p>
        </w:tc>
        <w:tc>
          <w:tcPr>
            <w:tcW w:w="346" w:type="dxa"/>
            <w:tcBorders/>
            <w:vAlign w:val="center"/>
          </w:tcPr>
          <w:p>
            <w:pPr>
              <w:pStyle w:val="TableContents"/>
              <w:bidi w:val="0"/>
              <w:spacing w:before="0" w:after="0"/>
              <w:ind w:left="0" w:right="0" w:hanging="0"/>
              <w:jc w:val="left"/>
              <w:rPr/>
            </w:pPr>
            <w:r>
              <w:rPr/>
              <w:t>​</w:t>
            </w:r>
          </w:p>
        </w:tc>
        <w:tc>
          <w:tcPr>
            <w:tcW w:w="7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Units</w:t>
            </w:r>
          </w:p>
        </w:tc>
        <w:tc>
          <w:tcPr>
            <w:tcW w:w="434" w:type="dxa"/>
            <w:tcBorders/>
            <w:vAlign w:val="center"/>
          </w:tcPr>
          <w:p>
            <w:pPr>
              <w:pStyle w:val="TableContents"/>
              <w:bidi w:val="0"/>
              <w:spacing w:before="0" w:after="0"/>
              <w:ind w:left="0" w:right="0" w:hanging="0"/>
              <w:jc w:val="left"/>
              <w:rPr/>
            </w:pPr>
            <w:r>
              <w:rPr/>
              <w:t>​</w:t>
            </w:r>
          </w:p>
        </w:tc>
        <w:tc>
          <w:tcPr>
            <w:tcW w:w="128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Life (Years)</w:t>
            </w:r>
          </w:p>
        </w:tc>
      </w:tr>
      <w:tr>
        <w:trPr/>
        <w:tc>
          <w:tcPr>
            <w:tcW w:w="8481" w:type="dxa"/>
            <w:gridSpan w:val="9"/>
            <w:tcBorders/>
            <w:vAlign w:val="center"/>
          </w:tcPr>
          <w:p>
            <w:pPr>
              <w:pStyle w:val="TableContents"/>
              <w:bidi w:val="0"/>
              <w:spacing w:before="0" w:after="283"/>
              <w:ind w:left="0" w:right="0" w:hanging="0"/>
              <w:jc w:val="left"/>
              <w:rPr>
                <w:sz w:val="4"/>
                <w:szCs w:val="4"/>
              </w:rPr>
            </w:pPr>
            <w:r>
              <w:rPr>
                <w:sz w:val="4"/>
                <w:szCs w:val="4"/>
              </w:rPr>
            </w:r>
          </w:p>
        </w:tc>
      </w:tr>
      <w:tr>
        <w:trPr/>
        <w:tc>
          <w:tcPr>
            <w:tcW w:w="3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669" w:type="dxa"/>
            <w:gridSpan w:val="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$0.15 to $0.71</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w:t>
            </w:r>
          </w:p>
        </w:tc>
        <w:tc>
          <w:tcPr>
            <w:tcW w:w="434" w:type="dxa"/>
            <w:tcBorders/>
            <w:shd w:fill="CCEEFF" w:val="clear"/>
            <w:vAlign w:val="center"/>
          </w:tcPr>
          <w:p>
            <w:pPr>
              <w:pStyle w:val="TableContents"/>
              <w:bidi w:val="0"/>
              <w:spacing w:before="0" w:after="0"/>
              <w:ind w:left="0" w:right="0" w:hanging="0"/>
              <w:jc w:val="left"/>
              <w:rPr/>
            </w:pPr>
            <w:r>
              <w:rPr/>
              <w:t>​</w:t>
            </w:r>
          </w:p>
        </w:tc>
        <w:tc>
          <w:tcPr>
            <w:tcW w:w="1280"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$3.17 </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46" w:type="dxa"/>
            <w:tcBorders/>
            <w:vAlign w:val="center"/>
          </w:tcPr>
          <w:p>
            <w:pPr>
              <w:pStyle w:val="TableContents"/>
              <w:bidi w:val="0"/>
              <w:spacing w:before="0" w:after="0"/>
              <w:ind w:left="0" w:right="0" w:hanging="0"/>
              <w:jc w:val="left"/>
              <w:rPr/>
            </w:pPr>
            <w:r>
              <w:rPr/>
              <w:t>​</w:t>
            </w:r>
          </w:p>
        </w:tc>
        <w:tc>
          <w:tcPr>
            <w:tcW w:w="7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434" w:type="dxa"/>
            <w:tcBorders/>
            <w:vAlign w:val="center"/>
          </w:tcPr>
          <w:p>
            <w:pPr>
              <w:pStyle w:val="TableContents"/>
              <w:bidi w:val="0"/>
              <w:spacing w:before="0" w:after="0"/>
              <w:ind w:left="0" w:right="0" w:hanging="0"/>
              <w:jc w:val="left"/>
              <w:rPr/>
            </w:pPr>
            <w:r>
              <w:rPr/>
              <w:t>​</w:t>
            </w:r>
          </w:p>
        </w:tc>
        <w:tc>
          <w:tcPr>
            <w:tcW w:w="12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$3.73 </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46" w:type="dxa"/>
            <w:tcBorders/>
            <w:shd w:fill="CCEEFF" w:val="clear"/>
            <w:vAlign w:val="center"/>
          </w:tcPr>
          <w:p>
            <w:pPr>
              <w:pStyle w:val="TableContents"/>
              <w:bidi w:val="0"/>
              <w:spacing w:before="0" w:after="0"/>
              <w:ind w:left="0" w:right="0" w:hanging="0"/>
              <w:jc w:val="left"/>
              <w:rPr/>
            </w:pPr>
            <w:r>
              <w:rPr/>
              <w:t>​</w:t>
            </w:r>
          </w:p>
        </w:tc>
        <w:tc>
          <w:tcPr>
            <w:tcW w:w="7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w:t>
            </w:r>
          </w:p>
        </w:tc>
        <w:tc>
          <w:tcPr>
            <w:tcW w:w="434" w:type="dxa"/>
            <w:tcBorders/>
            <w:shd w:fill="CCEEFF" w:val="clear"/>
            <w:vAlign w:val="center"/>
          </w:tcPr>
          <w:p>
            <w:pPr>
              <w:pStyle w:val="TableContents"/>
              <w:bidi w:val="0"/>
              <w:spacing w:before="0" w:after="0"/>
              <w:ind w:left="0" w:right="0" w:hanging="0"/>
              <w:jc w:val="left"/>
              <w:rPr/>
            </w:pPr>
            <w:r>
              <w:rPr/>
              <w:t>​</w:t>
            </w:r>
          </w:p>
        </w:tc>
        <w:tc>
          <w:tcPr>
            <w:tcW w:w="12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$4.70 </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46" w:type="dxa"/>
            <w:tcBorders/>
            <w:vAlign w:val="center"/>
          </w:tcPr>
          <w:p>
            <w:pPr>
              <w:pStyle w:val="TableContents"/>
              <w:bidi w:val="0"/>
              <w:spacing w:before="0" w:after="0"/>
              <w:ind w:left="0" w:right="0" w:hanging="0"/>
              <w:jc w:val="left"/>
              <w:rPr/>
            </w:pPr>
            <w:r>
              <w:rPr/>
              <w:t>​</w:t>
            </w:r>
          </w:p>
        </w:tc>
        <w:tc>
          <w:tcPr>
            <w:tcW w:w="7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w:t>
            </w:r>
          </w:p>
        </w:tc>
        <w:tc>
          <w:tcPr>
            <w:tcW w:w="434" w:type="dxa"/>
            <w:tcBorders/>
            <w:vAlign w:val="center"/>
          </w:tcPr>
          <w:p>
            <w:pPr>
              <w:pStyle w:val="TableContents"/>
              <w:bidi w:val="0"/>
              <w:spacing w:before="0" w:after="0"/>
              <w:ind w:left="0" w:right="0" w:hanging="0"/>
              <w:jc w:val="left"/>
              <w:rPr/>
            </w:pPr>
            <w:r>
              <w:rPr/>
              <w:t>​</w:t>
            </w:r>
          </w:p>
        </w:tc>
        <w:tc>
          <w:tcPr>
            <w:tcW w:w="12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$18.47 </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346" w:type="dxa"/>
            <w:tcBorders/>
            <w:shd w:fill="CCEEFF" w:val="clear"/>
            <w:vAlign w:val="center"/>
          </w:tcPr>
          <w:p>
            <w:pPr>
              <w:pStyle w:val="TableContents"/>
              <w:bidi w:val="0"/>
              <w:spacing w:before="0" w:after="0"/>
              <w:ind w:left="0" w:right="0" w:hanging="0"/>
              <w:jc w:val="left"/>
              <w:rPr/>
            </w:pPr>
            <w:r>
              <w:rPr/>
              <w:t>​</w:t>
            </w:r>
          </w:p>
        </w:tc>
        <w:tc>
          <w:tcPr>
            <w:tcW w:w="7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w:t>
            </w:r>
          </w:p>
        </w:tc>
        <w:tc>
          <w:tcPr>
            <w:tcW w:w="434" w:type="dxa"/>
            <w:tcBorders/>
            <w:shd w:fill="CCEEFF" w:val="clear"/>
            <w:vAlign w:val="center"/>
          </w:tcPr>
          <w:p>
            <w:pPr>
              <w:pStyle w:val="TableContents"/>
              <w:bidi w:val="0"/>
              <w:spacing w:before="0" w:after="0"/>
              <w:ind w:left="0" w:right="0" w:hanging="0"/>
              <w:jc w:val="left"/>
              <w:rPr/>
            </w:pPr>
            <w:r>
              <w:rPr/>
              <w:t>​</w:t>
            </w:r>
          </w:p>
        </w:tc>
        <w:tc>
          <w:tcPr>
            <w:tcW w:w="12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$19.00 </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346" w:type="dxa"/>
            <w:tcBorders/>
            <w:vAlign w:val="center"/>
          </w:tcPr>
          <w:p>
            <w:pPr>
              <w:pStyle w:val="TableContents"/>
              <w:bidi w:val="0"/>
              <w:spacing w:before="0" w:after="0"/>
              <w:ind w:left="0" w:right="0" w:hanging="0"/>
              <w:jc w:val="left"/>
              <w:rPr/>
            </w:pPr>
            <w:r>
              <w:rPr/>
              <w:t>​</w:t>
            </w:r>
          </w:p>
        </w:tc>
        <w:tc>
          <w:tcPr>
            <w:tcW w:w="7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434" w:type="dxa"/>
            <w:tcBorders/>
            <w:vAlign w:val="center"/>
          </w:tcPr>
          <w:p>
            <w:pPr>
              <w:pStyle w:val="TableContents"/>
              <w:bidi w:val="0"/>
              <w:spacing w:before="0" w:after="0"/>
              <w:ind w:left="0" w:right="0" w:hanging="0"/>
              <w:jc w:val="left"/>
              <w:rPr/>
            </w:pPr>
            <w:r>
              <w:rPr/>
              <w:t>​</w:t>
            </w:r>
          </w:p>
        </w:tc>
        <w:tc>
          <w:tcPr>
            <w:tcW w:w="12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$32.16 </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46" w:type="dxa"/>
            <w:tcBorders/>
            <w:shd w:fill="CCEEFF" w:val="clear"/>
            <w:vAlign w:val="center"/>
          </w:tcPr>
          <w:p>
            <w:pPr>
              <w:pStyle w:val="TableContents"/>
              <w:bidi w:val="0"/>
              <w:spacing w:before="0" w:after="0"/>
              <w:ind w:left="0" w:right="0" w:hanging="0"/>
              <w:jc w:val="left"/>
              <w:rPr/>
            </w:pPr>
            <w:r>
              <w:rPr/>
              <w:t>​</w:t>
            </w:r>
          </w:p>
        </w:tc>
        <w:tc>
          <w:tcPr>
            <w:tcW w:w="7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434" w:type="dxa"/>
            <w:tcBorders/>
            <w:shd w:fill="CCEEFF" w:val="clear"/>
            <w:vAlign w:val="center"/>
          </w:tcPr>
          <w:p>
            <w:pPr>
              <w:pStyle w:val="TableContents"/>
              <w:bidi w:val="0"/>
              <w:spacing w:before="0" w:after="0"/>
              <w:ind w:left="0" w:right="0" w:hanging="0"/>
              <w:jc w:val="left"/>
              <w:rPr/>
            </w:pPr>
            <w:r>
              <w:rPr/>
              <w:t>​</w:t>
            </w:r>
          </w:p>
        </w:tc>
        <w:tc>
          <w:tcPr>
            <w:tcW w:w="12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3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1,271</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7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1,271</w:t>
            </w:r>
          </w:p>
        </w:tc>
        <w:tc>
          <w:tcPr>
            <w:tcW w:w="434" w:type="dxa"/>
            <w:tcBorders/>
            <w:vAlign w:val="center"/>
          </w:tcPr>
          <w:p>
            <w:pPr>
              <w:pStyle w:val="TableContents"/>
              <w:bidi w:val="0"/>
              <w:spacing w:before="0" w:after="0"/>
              <w:ind w:left="0" w:right="0" w:hanging="0"/>
              <w:jc w:val="left"/>
              <w:rPr/>
            </w:pPr>
            <w:r>
              <w:rPr/>
              <w:t>​</w:t>
            </w:r>
          </w:p>
        </w:tc>
        <w:tc>
          <w:tcPr>
            <w:tcW w:w="1280" w:type="dxa"/>
            <w:tcBorders/>
            <w:vAlign w:val="center"/>
          </w:tcPr>
          <w:p>
            <w:pPr>
              <w:pStyle w:val="TableContents"/>
              <w:bidi w:val="0"/>
              <w:spacing w:before="0" w:after="0"/>
              <w:ind w:left="0" w:right="0" w:hanging="0"/>
              <w:jc w:val="left"/>
              <w:rPr/>
            </w:pPr>
            <w:r>
              <w:rPr/>
              <w:t>​</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*These options have indefinite contractual lives.</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16" w:type="dxa"/>
            <w:tcBorders/>
            <w:vAlign w:val="center"/>
          </w:tcPr>
          <w:p>
            <w:pPr>
              <w:pStyle w:val="TableContents"/>
              <w:bidi w:val="0"/>
              <w:spacing w:before="0" w:after="0"/>
              <w:ind w:left="0" w:right="0" w:hanging="0"/>
              <w:jc w:val="left"/>
              <w:rPr/>
            </w:pPr>
            <w:r>
              <w:rPr/>
              <w:t>​</w:t>
            </w:r>
          </w:p>
        </w:tc>
        <w:tc>
          <w:tcPr>
            <w:tcW w:w="434" w:type="dxa"/>
            <w:tcBorders/>
            <w:vAlign w:val="center"/>
          </w:tcPr>
          <w:p>
            <w:pPr>
              <w:pStyle w:val="TableContents"/>
              <w:bidi w:val="0"/>
              <w:spacing w:before="0" w:after="0"/>
              <w:ind w:left="0" w:right="0" w:hanging="0"/>
              <w:jc w:val="left"/>
              <w:rPr/>
            </w:pPr>
            <w:r>
              <w:rPr/>
              <w:t>​</w:t>
            </w:r>
          </w:p>
        </w:tc>
        <w:tc>
          <w:tcPr>
            <w:tcW w:w="1280"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Board intends all options granted to be exercisable at a price per share not less than the per share fair market value of the Company’s Class A common stock underlying the options on the date of grant. Compensation expense for option awards are measured based on the grant date fair value of the awards and recognized in the condensed consolidated statements of comprehensive income (loss) over the period during which the participant is required to perform the requisite services. The vesting period is generally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four years. The grant date fair value of options is estimated using the Black-Scholes model.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766" w:type="dxa"/>
        <w:jc w:val="left"/>
        <w:tblInd w:w="0" w:type="dxa"/>
        <w:tblLayout w:type="fixed"/>
        <w:tblCellMar>
          <w:top w:w="0" w:type="dxa"/>
          <w:left w:w="0" w:type="dxa"/>
          <w:bottom w:w="0" w:type="dxa"/>
          <w:right w:w="0" w:type="dxa"/>
        </w:tblCellMar>
      </w:tblPr>
      <w:tblGrid>
        <w:gridCol w:w="6766"/>
      </w:tblGrid>
      <w:tr>
        <w:trPr/>
        <w:tc>
          <w:tcPr>
            <w:tcW w:w="6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bookmarkStart w:id="1973" w:name="Tc_kw7lwctrmUqYwW-B6eCJ7g_10_4"/>
      <w:bookmarkStart w:id="1974" w:name="Tc_73fnxDKM8k2q4dZ1flIDNQ_10_0"/>
      <w:bookmarkStart w:id="1975" w:name="Tc_l2W_gj1GAEmNunmjvXu_Mg_9_0"/>
      <w:bookmarkStart w:id="1976" w:name="Tc_q7r94JhfU0-9ImkkmGZNdw_8_0"/>
      <w:bookmarkStart w:id="1977" w:name="Tc_fyqUp82JKk-6oG2gKKJiDQ_7_4"/>
      <w:bookmarkStart w:id="1978" w:name="Tc_lnUqvXP-8ESGK2dDMphYVg_7_0"/>
      <w:bookmarkStart w:id="1979" w:name="Tc_XOLFij9quk6lwec9mYkm-Q_6_4"/>
      <w:bookmarkStart w:id="1980" w:name="Tc_pmAiM0X8skKplrXp0JVC-w_5_4"/>
      <w:bookmarkStart w:id="1981" w:name="Tc_IjgTNMDMF0y05iYKjqT_AQ_5_2"/>
      <w:bookmarkStart w:id="1982" w:name="Tc_n9gGJSAE5kaGOBJXSqn0og_4_4"/>
      <w:bookmarkStart w:id="1983" w:name="Tc_Bcr3w44iXUyEqpDp3Fy3Ew_3_4"/>
      <w:bookmarkStart w:id="1984" w:name="Tc_Ut1_yy2fv02W4xo-xPT1wA_2_4"/>
      <w:bookmarkStart w:id="1985" w:name="Tc_ARBsmFdEvEqG39v32W9iYA_10_4"/>
      <w:bookmarkStart w:id="1986" w:name="Tc_xnNVwGgl0Uy1Sk9qSKrB9g_10_0"/>
      <w:bookmarkStart w:id="1987" w:name="Tc_rUGG27WAck6PZCNILqWy3Q_9_0"/>
      <w:bookmarkStart w:id="1988" w:name="Tc_cl0Ue0GMIEiHOl4Uqw6yNQ_8_0"/>
      <w:bookmarkStart w:id="1989" w:name="Tc_MYs19JgCbESKqJPyNfQNUg_7_0"/>
      <w:bookmarkStart w:id="1990" w:name="Tc_CROX8-i2lkOF1ci6PGuNvA_6_4"/>
      <w:bookmarkStart w:id="1991" w:name="Tc_z81B9SB4WESIQ1S0T3tZUw_6_0"/>
      <w:bookmarkStart w:id="1992" w:name="Tc_VuolGKH5Pkeu9UVCLqciPg_5_4"/>
      <w:bookmarkStart w:id="1993" w:name="Tc_JypMDX2SU0GE0d1iaexa2Q_4_4"/>
      <w:bookmarkStart w:id="1994" w:name="Tc_wVewDF-EfEGvkW6jqmd5_g_4_2"/>
      <w:bookmarkStart w:id="1995" w:name="Tc_XZJ4TgkNtkSVN8y22uy6rg_3_4"/>
      <w:bookmarkStart w:id="1996" w:name="Tc_BRMzYAIA5k2R_OvQefK9WA_2_4"/>
      <w:bookmarkStart w:id="1997" w:name="Tc_XaJgBTjREEer615iLaDdtQ_1_4"/>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r>
        <w:rPr>
          <w:rFonts w:ascii="Times New Roman;Times;serif" w:hAnsi="Times New Roman;Times;serif"/>
          <w:sz w:val="20"/>
        </w:rPr>
        <w:t>There were no options issued under the 2020 Plan during the six months ended June 30, 2026 or 2025. At June 30, 2026, all compensation expense associated with the options was fully recognized.</w:t>
      </w:r>
    </w:p>
    <w:p>
      <w:pPr>
        <w:pStyle w:val="TextBody"/>
        <w:bidi w:val="0"/>
        <w:spacing w:before="0" w:after="0"/>
        <w:ind w:left="0" w:right="0" w:hanging="0"/>
        <w:jc w:val="both"/>
        <w:rPr/>
      </w:pPr>
      <w:r>
        <w:rPr/>
        <w:t>​</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Restricted Stock Units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summarizes RSU activity for the six months ended June 30, 2026:</w:t>
      </w:r>
    </w:p>
    <w:p>
      <w:pPr>
        <w:pStyle w:val="TextBody"/>
        <w:bidi w:val="0"/>
        <w:spacing w:before="0" w:after="0"/>
        <w:ind w:left="0" w:right="0" w:hanging="0"/>
        <w:jc w:val="left"/>
        <w:rPr/>
      </w:pPr>
      <w:r>
        <w:rPr/>
        <w:t>​</w:t>
      </w:r>
    </w:p>
    <w:tbl>
      <w:tblPr>
        <w:tblW w:w="4953" w:type="dxa"/>
        <w:jc w:val="left"/>
        <w:tblInd w:w="0" w:type="dxa"/>
        <w:tblLayout w:type="fixed"/>
        <w:tblCellMar>
          <w:top w:w="0" w:type="dxa"/>
          <w:left w:w="0" w:type="dxa"/>
          <w:bottom w:w="0" w:type="dxa"/>
          <w:right w:w="0" w:type="dxa"/>
        </w:tblCellMar>
      </w:tblPr>
      <w:tblGrid>
        <w:gridCol w:w="2656"/>
        <w:gridCol w:w="146"/>
        <w:gridCol w:w="691"/>
        <w:gridCol w:w="109"/>
        <w:gridCol w:w="317"/>
        <w:gridCol w:w="1034"/>
      </w:tblGrid>
      <w:tr>
        <w:trPr/>
        <w:tc>
          <w:tcPr>
            <w:tcW w:w="2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1686560" cy="175260"/>
                      <wp:effectExtent l="0" t="0" r="0" b="0"/>
                      <wp:wrapNone/>
                      <wp:docPr id="342" name="Frame342"/>
                      <a:graphic xmlns:a="http://schemas.openxmlformats.org/drawingml/2006/main">
                        <a:graphicData uri="http://schemas.microsoft.com/office/word/2010/wordprocessingShape">
                          <wps:wsp>
                            <wps:cNvSpPr txBox="1"/>
                            <wps:spPr>
                              <a:xfrm>
                                <a:off x="0" y="0"/>
                                <a:ext cx="1686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92710" cy="175260"/>
                      <wp:effectExtent l="0" t="0" r="0" b="0"/>
                      <wp:wrapNone/>
                      <wp:docPr id="343" name="Frame34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438785" cy="175260"/>
                      <wp:effectExtent l="0" t="0" r="0" b="0"/>
                      <wp:wrapNone/>
                      <wp:docPr id="344" name="Frame34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69215" cy="175260"/>
                      <wp:effectExtent l="0" t="0" r="0" b="0"/>
                      <wp:wrapNone/>
                      <wp:docPr id="345" name="Frame3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201295" cy="175260"/>
                      <wp:effectExtent l="0" t="0" r="0" b="0"/>
                      <wp:wrapNone/>
                      <wp:docPr id="346" name="Frame346"/>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656590" cy="175260"/>
                      <wp:effectExtent l="0" t="0" r="0" b="0"/>
                      <wp:wrapNone/>
                      <wp:docPr id="347" name="Frame347"/>
                      <a:graphic xmlns:a="http://schemas.openxmlformats.org/drawingml/2006/main">
                        <a:graphicData uri="http://schemas.microsoft.com/office/word/2010/wordprocessingShape">
                          <wps:wsp>
                            <wps:cNvSpPr txBox="1"/>
                            <wps:spPr>
                              <a:xfrm>
                                <a:off x="0" y="0"/>
                                <a:ext cx="656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5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65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265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 Fair</w:t>
            </w:r>
          </w:p>
        </w:tc>
      </w:tr>
      <w:tr>
        <w:trPr/>
        <w:tc>
          <w:tcPr>
            <w:tcW w:w="265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Units</w:t>
            </w:r>
          </w:p>
        </w:tc>
        <w:tc>
          <w:tcPr>
            <w:tcW w:w="109" w:type="dxa"/>
            <w:tcBorders/>
            <w:vAlign w:val="center"/>
          </w:tcPr>
          <w:p>
            <w:pPr>
              <w:pStyle w:val="TableContents"/>
              <w:bidi w:val="0"/>
              <w:spacing w:before="0" w:after="0"/>
              <w:ind w:left="0" w:right="0" w:hanging="0"/>
              <w:jc w:val="left"/>
              <w:rPr/>
            </w:pPr>
            <w:r>
              <w:rPr/>
              <w:t>​</w:t>
            </w:r>
          </w:p>
        </w:tc>
        <w:tc>
          <w:tcPr>
            <w:tcW w:w="13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 Per Share</w:t>
            </w:r>
          </w:p>
        </w:tc>
      </w:tr>
      <w:tr>
        <w:trPr/>
        <w:tc>
          <w:tcPr>
            <w:tcW w:w="265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3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January 1, 2026</w:t>
            </w:r>
          </w:p>
        </w:tc>
        <w:tc>
          <w:tcPr>
            <w:tcW w:w="1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5,412</w:t>
            </w:r>
          </w:p>
        </w:tc>
        <w:tc>
          <w:tcPr>
            <w:tcW w:w="109"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25.05</w:t>
            </w:r>
          </w:p>
        </w:tc>
      </w:tr>
      <w:tr>
        <w:trPr/>
        <w:tc>
          <w:tcPr>
            <w:tcW w:w="265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Granted </w:t>
            </w:r>
          </w:p>
        </w:tc>
        <w:tc>
          <w:tcPr>
            <w:tcW w:w="1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4,431</w:t>
            </w:r>
          </w:p>
        </w:tc>
        <w:tc>
          <w:tcPr>
            <w:tcW w:w="109" w:type="dxa"/>
            <w:tcBorders/>
            <w:vAlign w:val="center"/>
          </w:tcPr>
          <w:p>
            <w:pPr>
              <w:pStyle w:val="TableContents"/>
              <w:bidi w:val="0"/>
              <w:spacing w:before="0" w:after="0"/>
              <w:ind w:left="0" w:right="0" w:hanging="0"/>
              <w:jc w:val="center"/>
              <w:rPr/>
            </w:pPr>
            <w:r>
              <w:rPr/>
              <w:t>​</w:t>
            </w:r>
          </w:p>
        </w:tc>
        <w:tc>
          <w:tcPr>
            <w:tcW w:w="317" w:type="dxa"/>
            <w:tcBorders/>
            <w:vAlign w:val="center"/>
          </w:tcPr>
          <w:p>
            <w:pPr>
              <w:pStyle w:val="TableContents"/>
              <w:bidi w:val="0"/>
              <w:spacing w:before="0" w:after="0"/>
              <w:ind w:left="0" w:right="0" w:hanging="0"/>
              <w:jc w:val="center"/>
              <w:rPr/>
            </w:pPr>
            <w:r>
              <w:rPr/>
              <w:t>​</w:t>
            </w:r>
          </w:p>
        </w:tc>
        <w:tc>
          <w:tcPr>
            <w:tcW w:w="10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12.79</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1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(1,615)</w:t>
            </w:r>
          </w:p>
        </w:tc>
        <w:tc>
          <w:tcPr>
            <w:tcW w:w="109" w:type="dxa"/>
            <w:tcBorders/>
            <w:shd w:fill="CCEEFF" w:val="clear"/>
            <w:vAlign w:val="center"/>
          </w:tcPr>
          <w:p>
            <w:pPr>
              <w:pStyle w:val="TableContents"/>
              <w:bidi w:val="0"/>
              <w:spacing w:before="0" w:after="0"/>
              <w:ind w:left="0" w:right="0" w:hanging="0"/>
              <w:jc w:val="center"/>
              <w:rPr/>
            </w:pPr>
            <w:r>
              <w:rPr/>
              <w:t>​</w:t>
            </w:r>
          </w:p>
        </w:tc>
        <w:tc>
          <w:tcPr>
            <w:tcW w:w="317" w:type="dxa"/>
            <w:tcBorders/>
            <w:shd w:fill="CCEEFF" w:val="clear"/>
            <w:vAlign w:val="center"/>
          </w:tcPr>
          <w:p>
            <w:pPr>
              <w:pStyle w:val="TableContents"/>
              <w:bidi w:val="0"/>
              <w:spacing w:before="0" w:after="0"/>
              <w:ind w:left="0" w:right="0" w:hanging="0"/>
              <w:jc w:val="center"/>
              <w:rPr/>
            </w:pPr>
            <w:r>
              <w:rPr/>
              <w:t>​</w:t>
            </w:r>
          </w:p>
        </w:tc>
        <w:tc>
          <w:tcPr>
            <w:tcW w:w="10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23.03</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146" w:type="dxa"/>
            <w:tcBorders/>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(544)</w:t>
            </w:r>
          </w:p>
        </w:tc>
        <w:tc>
          <w:tcPr>
            <w:tcW w:w="109" w:type="dxa"/>
            <w:tcBorders/>
            <w:vAlign w:val="center"/>
          </w:tcPr>
          <w:p>
            <w:pPr>
              <w:pStyle w:val="TableContents"/>
              <w:bidi w:val="0"/>
              <w:spacing w:before="0" w:after="0"/>
              <w:ind w:left="0" w:right="0" w:hanging="0"/>
              <w:jc w:val="center"/>
              <w:rPr/>
            </w:pPr>
            <w:r>
              <w:rPr/>
              <w:t>​</w:t>
            </w:r>
          </w:p>
        </w:tc>
        <w:tc>
          <w:tcPr>
            <w:tcW w:w="317" w:type="dxa"/>
            <w:tcBorders/>
            <w:vAlign w:val="center"/>
          </w:tcPr>
          <w:p>
            <w:pPr>
              <w:pStyle w:val="TableContents"/>
              <w:bidi w:val="0"/>
              <w:spacing w:before="0" w:after="0"/>
              <w:ind w:left="0" w:right="0" w:hanging="0"/>
              <w:jc w:val="center"/>
              <w:rPr/>
            </w:pPr>
            <w:r>
              <w:rPr/>
              <w:t>​</w:t>
            </w:r>
          </w:p>
        </w:tc>
        <w:tc>
          <w:tcPr>
            <w:tcW w:w="10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19.42</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June 30, 2026</w:t>
            </w:r>
          </w:p>
        </w:tc>
        <w:tc>
          <w:tcPr>
            <w:tcW w:w="146" w:type="dxa"/>
            <w:tcBorders/>
            <w:shd w:fill="CCEEFF" w:val="clear"/>
            <w:vAlign w:val="center"/>
          </w:tcPr>
          <w:p>
            <w:pPr>
              <w:pStyle w:val="TableContents"/>
              <w:bidi w:val="0"/>
              <w:spacing w:before="0" w:after="0"/>
              <w:ind w:left="0" w:right="0" w:hanging="0"/>
              <w:jc w:val="left"/>
              <w:rPr/>
            </w:pPr>
            <w:r>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7,684</w:t>
            </w:r>
          </w:p>
        </w:tc>
        <w:tc>
          <w:tcPr>
            <w:tcW w:w="109"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18.86</w:t>
            </w:r>
          </w:p>
        </w:tc>
      </w:tr>
    </w:tbl>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Stock-based compensation cost for RSUs is measured based on the fair value of the Company’s underlying common stock on the date of grant and is recognized on a straight-line basis in the condensed consolidated statements of comprehensive income (loss) over the period during which the participant is required to perform services in exchange for the award, which is generally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four years. Vested RSUs are settled by issuing Class A common stock or the equivalent value in cash at the Board’s discretion. At June 30, 2026, $105,198 of unrecognized compensation expense for RSUs is expected to be recognized over a weighted average period of approximately </w:t>
      </w:r>
      <w:r>
        <w:rPr>
          <w:rFonts w:ascii="Times New Roman;Times;serif" w:hAnsi="Times New Roman;Times;serif"/>
          <w:b w:val="false"/>
          <w:i w:val="false"/>
          <w:caps w:val="false"/>
          <w:smallCaps w:val="false"/>
          <w:sz w:val="20"/>
        </w:rPr>
        <w:t>2.9 years</w:t>
      </w:r>
      <w:r>
        <w:rPr>
          <w:rFonts w:ascii="Times New Roman;Times;serif" w:hAnsi="Times New Roman;Times;serif"/>
          <w:sz w:val="20"/>
        </w:rPr>
        <w:t>.</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Restricted Stock Awards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following table summarizes Restricted Stock Awards (“RSAs”) activity for the six months ended June 30, 2026: </w:t>
      </w:r>
    </w:p>
    <w:p>
      <w:pPr>
        <w:pStyle w:val="TextBody"/>
        <w:bidi w:val="0"/>
        <w:spacing w:before="0" w:after="0"/>
        <w:ind w:left="0" w:right="0" w:hanging="0"/>
        <w:jc w:val="left"/>
        <w:rPr/>
      </w:pPr>
      <w:r>
        <w:rPr/>
        <w:t>​</w:t>
      </w:r>
    </w:p>
    <w:tbl>
      <w:tblPr>
        <w:tblW w:w="4943" w:type="dxa"/>
        <w:jc w:val="left"/>
        <w:tblInd w:w="0" w:type="dxa"/>
        <w:tblLayout w:type="fixed"/>
        <w:tblCellMar>
          <w:top w:w="0" w:type="dxa"/>
          <w:left w:w="0" w:type="dxa"/>
          <w:bottom w:w="0" w:type="dxa"/>
          <w:right w:w="0" w:type="dxa"/>
        </w:tblCellMar>
      </w:tblPr>
      <w:tblGrid>
        <w:gridCol w:w="2656"/>
        <w:gridCol w:w="346"/>
        <w:gridCol w:w="481"/>
        <w:gridCol w:w="109"/>
        <w:gridCol w:w="317"/>
        <w:gridCol w:w="1034"/>
      </w:tblGrid>
      <w:tr>
        <w:trPr/>
        <w:tc>
          <w:tcPr>
            <w:tcW w:w="2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1686560" cy="175260"/>
                      <wp:effectExtent l="0" t="0" r="0" b="0"/>
                      <wp:wrapNone/>
                      <wp:docPr id="348" name="Frame348"/>
                      <a:graphic xmlns:a="http://schemas.openxmlformats.org/drawingml/2006/main">
                        <a:graphicData uri="http://schemas.microsoft.com/office/word/2010/wordprocessingShape">
                          <wps:wsp>
                            <wps:cNvSpPr txBox="1"/>
                            <wps:spPr>
                              <a:xfrm>
                                <a:off x="0" y="0"/>
                                <a:ext cx="1686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219710" cy="175260"/>
                      <wp:effectExtent l="0" t="0" r="0" b="0"/>
                      <wp:wrapNone/>
                      <wp:docPr id="349" name="Frame3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305435" cy="175260"/>
                      <wp:effectExtent l="0" t="0" r="0" b="0"/>
                      <wp:wrapNone/>
                      <wp:docPr id="350" name="Frame350"/>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69215" cy="175260"/>
                      <wp:effectExtent l="0" t="0" r="0" b="0"/>
                      <wp:wrapNone/>
                      <wp:docPr id="351" name="Frame35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201295" cy="175260"/>
                      <wp:effectExtent l="0" t="0" r="0" b="0"/>
                      <wp:wrapNone/>
                      <wp:docPr id="352" name="Frame352"/>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656590" cy="175260"/>
                      <wp:effectExtent l="0" t="0" r="0" b="0"/>
                      <wp:wrapNone/>
                      <wp:docPr id="353" name="Frame353"/>
                      <a:graphic xmlns:a="http://schemas.openxmlformats.org/drawingml/2006/main">
                        <a:graphicData uri="http://schemas.microsoft.com/office/word/2010/wordprocessingShape">
                          <wps:wsp>
                            <wps:cNvSpPr txBox="1"/>
                            <wps:spPr>
                              <a:xfrm>
                                <a:off x="0" y="0"/>
                                <a:ext cx="656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48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center"/>
              <w:rPr/>
            </w:pPr>
            <w:r>
              <w:rPr/>
              <w:t>​</w:t>
            </w:r>
          </w:p>
        </w:tc>
        <w:tc>
          <w:tcPr>
            <w:tcW w:w="1034" w:type="dxa"/>
            <w:tcBorders/>
            <w:vAlign w:val="center"/>
          </w:tcPr>
          <w:p>
            <w:pPr>
              <w:pStyle w:val="TableContents"/>
              <w:bidi w:val="0"/>
              <w:spacing w:before="0" w:after="0"/>
              <w:ind w:left="0" w:right="0" w:hanging="0"/>
              <w:jc w:val="center"/>
              <w:rPr/>
            </w:pPr>
            <w:r>
              <w:rPr/>
              <w:t>​</w:t>
            </w:r>
          </w:p>
        </w:tc>
      </w:tr>
      <w:tr>
        <w:trPr/>
        <w:tc>
          <w:tcPr>
            <w:tcW w:w="26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6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26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 Fair</w:t>
            </w:r>
          </w:p>
        </w:tc>
      </w:tr>
      <w:tr>
        <w:trPr/>
        <w:tc>
          <w:tcPr>
            <w:tcW w:w="26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Units</w:t>
            </w:r>
          </w:p>
        </w:tc>
        <w:tc>
          <w:tcPr>
            <w:tcW w:w="109" w:type="dxa"/>
            <w:tcBorders/>
            <w:vAlign w:val="center"/>
          </w:tcPr>
          <w:p>
            <w:pPr>
              <w:pStyle w:val="TableContents"/>
              <w:bidi w:val="0"/>
              <w:spacing w:before="0" w:after="0"/>
              <w:ind w:left="0" w:right="0" w:hanging="0"/>
              <w:jc w:val="left"/>
              <w:rPr/>
            </w:pPr>
            <w:r>
              <w:rPr/>
              <w:t>​</w:t>
            </w:r>
          </w:p>
        </w:tc>
        <w:tc>
          <w:tcPr>
            <w:tcW w:w="13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 Per Share</w:t>
            </w:r>
          </w:p>
        </w:tc>
      </w:tr>
      <w:tr>
        <w:trPr/>
        <w:tc>
          <w:tcPr>
            <w:tcW w:w="26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3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January 1, 2026</w:t>
            </w:r>
          </w:p>
        </w:tc>
        <w:tc>
          <w:tcPr>
            <w:tcW w:w="346"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109"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37.55</w:t>
            </w:r>
          </w:p>
        </w:tc>
      </w:tr>
      <w:tr>
        <w:trPr/>
        <w:tc>
          <w:tcPr>
            <w:tcW w:w="265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Granted </w:t>
            </w:r>
          </w:p>
        </w:tc>
        <w:tc>
          <w:tcPr>
            <w:tcW w:w="34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622</w:t>
            </w:r>
          </w:p>
        </w:tc>
        <w:tc>
          <w:tcPr>
            <w:tcW w:w="109"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10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14.08</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46" w:type="dxa"/>
            <w:tcBorders/>
            <w:shd w:fill="CCEEFF" w:val="clear"/>
            <w:vAlign w:val="center"/>
          </w:tcPr>
          <w:p>
            <w:pPr>
              <w:pStyle w:val="TableContents"/>
              <w:bidi w:val="0"/>
              <w:spacing w:before="0" w:after="0"/>
              <w:ind w:left="0" w:right="0" w:hanging="0"/>
              <w:jc w:val="left"/>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109"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10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37.55</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June 30, 2026</w:t>
            </w:r>
          </w:p>
        </w:tc>
        <w:tc>
          <w:tcPr>
            <w:tcW w:w="346" w:type="dxa"/>
            <w:tcBorders/>
            <w:vAlign w:val="center"/>
          </w:tcPr>
          <w:p>
            <w:pPr>
              <w:pStyle w:val="TableContents"/>
              <w:bidi w:val="0"/>
              <w:spacing w:before="0" w:after="0"/>
              <w:ind w:left="0" w:right="0" w:hanging="0"/>
              <w:jc w:val="left"/>
              <w:rPr/>
            </w:pPr>
            <w:r>
              <w:rPr/>
              <w:t>​</w:t>
            </w:r>
          </w:p>
        </w:tc>
        <w:tc>
          <w:tcPr>
            <w:tcW w:w="4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622</w:t>
            </w:r>
          </w:p>
        </w:tc>
        <w:tc>
          <w:tcPr>
            <w:tcW w:w="109"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14.08</w:t>
            </w:r>
          </w:p>
        </w:tc>
      </w:tr>
    </w:tbl>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Stock-based compensation cost for RSAs is measured based on the fair value of the Company’s underlying common stock on the date of grant and is recognized on a straight-line basis in the condensed consolidated statements of comprehensive income (loss) over the period during which the participant is required to perform services in exchange for the award, which is generally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four years.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connection with the Brinta acquisition, the Company granted the sellers 497 RSAs with an aggregate fair value of $7,151, based on the value of the Company's Class A common stock on the Acquisition Date. The RSAs vest ratably over a </w:t>
      </w:r>
      <w:r>
        <w:rPr>
          <w:rFonts w:ascii="Times New Roman;Times;serif" w:hAnsi="Times New Roman;Times;serif"/>
          <w:b w:val="false"/>
          <w:i w:val="false"/>
          <w:caps w:val="false"/>
          <w:smallCaps w:val="false"/>
          <w:sz w:val="20"/>
        </w:rPr>
        <w:t>four</w:t>
      </w:r>
      <w:r>
        <w:rPr>
          <w:rFonts w:ascii="Times New Roman;Times;serif" w:hAnsi="Times New Roman;Times;serif"/>
          <w:sz w:val="20"/>
        </w:rPr>
        <w:t>-year service period, with 25% vesting annually and are recognized on a straight-line basis in the condensed consolidated statements of comprehensive income (loss).</w:t>
      </w:r>
    </w:p>
    <w:p>
      <w:pPr>
        <w:pStyle w:val="TextBody"/>
        <w:bidi w:val="0"/>
        <w:spacing w:before="0" w:after="0"/>
        <w:ind w:left="0" w:right="0" w:firstLine="360"/>
        <w:jc w:val="both"/>
        <w:rPr>
          <w:color w:val="FF0000"/>
        </w:rPr>
      </w:pPr>
      <w:r>
        <w:rPr>
          <w:color w:val="FF0000"/>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At June 30, 2026, $8,076 of unrecognized compensation expense for RSAs is expected to be recognized over a weighted average period of approximately</w:t>
      </w:r>
      <w:r>
        <w:rPr>
          <w:rFonts w:ascii="Times New Roman;Times;serif" w:hAnsi="Times New Roman;Times;serif"/>
          <w:caps w:val="false"/>
          <w:smallCaps w:val="false"/>
          <w:sz w:val="20"/>
        </w:rPr>
        <w:t xml:space="preserve"> </w:t>
      </w:r>
      <w:r>
        <w:rPr>
          <w:rFonts w:ascii="Times New Roman;Times;serif" w:hAnsi="Times New Roman;Times;serif"/>
          <w:b w:val="false"/>
          <w:i w:val="false"/>
          <w:caps w:val="false"/>
          <w:smallCaps w:val="false"/>
          <w:sz w:val="20"/>
        </w:rPr>
        <w:t>3.2</w:t>
      </w:r>
      <w:r>
        <w:rPr>
          <w:rFonts w:ascii="Times New Roman;Times;serif" w:hAnsi="Times New Roman;Times;serif"/>
          <w:sz w:val="20"/>
        </w:rPr>
        <w:t xml:space="preserve"> years.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766" w:type="dxa"/>
        <w:jc w:val="left"/>
        <w:tblInd w:w="0" w:type="dxa"/>
        <w:tblLayout w:type="fixed"/>
        <w:tblCellMar>
          <w:top w:w="0" w:type="dxa"/>
          <w:left w:w="0" w:type="dxa"/>
          <w:bottom w:w="0" w:type="dxa"/>
          <w:right w:w="0" w:type="dxa"/>
        </w:tblCellMar>
      </w:tblPr>
      <w:tblGrid>
        <w:gridCol w:w="6766"/>
      </w:tblGrid>
      <w:tr>
        <w:trPr/>
        <w:tc>
          <w:tcPr>
            <w:tcW w:w="6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i/>
          <w:sz w:val="20"/>
        </w:rPr>
      </w:pPr>
      <w:bookmarkStart w:id="1998" w:name="Tc_mulgjdOZMkKYfnj55_gaKA_8_4"/>
      <w:bookmarkStart w:id="1999" w:name="Tc_zDLrkXSZ3U2Dz2hx-7laMg_8_0"/>
      <w:bookmarkStart w:id="2000" w:name="Tc_4n8J-n_hL0qaPpiJtrsvgA_7_0"/>
      <w:bookmarkStart w:id="2001" w:name="Tc_WUEWqbBbZ0aGvb2ra2_Zig_6_0"/>
      <w:bookmarkStart w:id="2002" w:name="Tc_fI_2EfIuB0untVpxTRlPSw_5_4"/>
      <w:bookmarkStart w:id="2003" w:name="Tc_o1qg1OHw5k-rKjydQH5N2w_5_0"/>
      <w:bookmarkStart w:id="2004" w:name="Tc_4Fzgx-w0CkWQN6X6tuYtrA_4_4"/>
      <w:bookmarkStart w:id="2005" w:name="Tc_dVzRKflEa0uwPMcHrMKL1g_3_4"/>
      <w:bookmarkStart w:id="2006" w:name="Tc_8uDDua6Be0ystcYeauA0nA_3_2"/>
      <w:bookmarkStart w:id="2007" w:name="Tc_S9MSYxcEVEi8LpPuHmLWsg_2_4"/>
      <w:bookmarkStart w:id="2008" w:name="Tc_ANESsJicikmKLpRlcoBAOQ_1_4"/>
      <w:bookmarkEnd w:id="1998"/>
      <w:bookmarkEnd w:id="1999"/>
      <w:bookmarkEnd w:id="2000"/>
      <w:bookmarkEnd w:id="2001"/>
      <w:bookmarkEnd w:id="2002"/>
      <w:bookmarkEnd w:id="2003"/>
      <w:bookmarkEnd w:id="2004"/>
      <w:bookmarkEnd w:id="2005"/>
      <w:bookmarkEnd w:id="2006"/>
      <w:bookmarkEnd w:id="2007"/>
      <w:bookmarkEnd w:id="2008"/>
      <w:r>
        <w:rPr>
          <w:rFonts w:ascii="Times New Roman;Times;serif" w:hAnsi="Times New Roman;Times;serif"/>
          <w:i/>
          <w:sz w:val="20"/>
        </w:rPr>
        <w:t>Performance Stock Units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 connection with the 2024 ecosio acquisition, current and newly hired employees of ecosio have or may receive RSUs that vest upon continuing service and performance conditions (“Performance Stock Units” or “PSUs”). These performance conditions are based upon ecosio’s monthly software revenues meeting specified annual targets over a three-year period. The annual targets are based on a range of performance targets in which grantees may earn a prorated portion of the base number of awards granted up to 100%.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stock-compensation expense associated with the awards will be accounted for as compensation expense over the vesting periods based on the Company’s assessment of the probability of achieving the targets. If the required conditions are not met, no compensation expense is recognized and any previously recognized compensation expense is reversed. As of June 30, 2026, the Company determined that it was probable that the performance targets for the remaining second and third annual measurement periods would be fully achieved.</w:t>
      </w:r>
    </w:p>
    <w:p>
      <w:pPr>
        <w:pStyle w:val="TextBody"/>
        <w:bidi w:val="0"/>
        <w:spacing w:before="0" w:after="0"/>
        <w:ind w:left="0" w:right="0" w:firstLine="360"/>
        <w:jc w:val="both"/>
        <w:rPr>
          <w:color w:val="FF0000"/>
        </w:rPr>
      </w:pPr>
      <w:r>
        <w:rPr>
          <w:color w:val="FF0000"/>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summarizes PSU activity for the six months ended June 30, 2026:</w:t>
      </w:r>
    </w:p>
    <w:p>
      <w:pPr>
        <w:pStyle w:val="TextBody"/>
        <w:bidi w:val="0"/>
        <w:spacing w:before="0" w:after="0"/>
        <w:ind w:left="0" w:right="0" w:hanging="0"/>
        <w:jc w:val="left"/>
        <w:rPr/>
      </w:pPr>
      <w:r>
        <w:rPr/>
        <w:t>​</w:t>
      </w:r>
    </w:p>
    <w:tbl>
      <w:tblPr>
        <w:tblW w:w="4706" w:type="dxa"/>
        <w:jc w:val="left"/>
        <w:tblInd w:w="0" w:type="dxa"/>
        <w:tblLayout w:type="fixed"/>
        <w:tblCellMar>
          <w:top w:w="0" w:type="dxa"/>
          <w:left w:w="0" w:type="dxa"/>
          <w:bottom w:w="0" w:type="dxa"/>
          <w:right w:w="0" w:type="dxa"/>
        </w:tblCellMar>
      </w:tblPr>
      <w:tblGrid>
        <w:gridCol w:w="2656"/>
        <w:gridCol w:w="109"/>
        <w:gridCol w:w="481"/>
        <w:gridCol w:w="109"/>
        <w:gridCol w:w="317"/>
        <w:gridCol w:w="1034"/>
      </w:tblGrid>
      <w:tr>
        <w:trPr/>
        <w:tc>
          <w:tcPr>
            <w:tcW w:w="2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1686560" cy="175260"/>
                      <wp:effectExtent l="0" t="0" r="0" b="0"/>
                      <wp:wrapNone/>
                      <wp:docPr id="354" name="Frame354"/>
                      <a:graphic xmlns:a="http://schemas.openxmlformats.org/drawingml/2006/main">
                        <a:graphicData uri="http://schemas.microsoft.com/office/word/2010/wordprocessingShape">
                          <wps:wsp>
                            <wps:cNvSpPr txBox="1"/>
                            <wps:spPr>
                              <a:xfrm>
                                <a:off x="0" y="0"/>
                                <a:ext cx="1686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69215" cy="175260"/>
                      <wp:effectExtent l="0" t="0" r="0" b="0"/>
                      <wp:wrapNone/>
                      <wp:docPr id="355" name="Frame3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305435" cy="175260"/>
                      <wp:effectExtent l="0" t="0" r="0" b="0"/>
                      <wp:wrapNone/>
                      <wp:docPr id="356" name="Frame356"/>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69215" cy="175260"/>
                      <wp:effectExtent l="0" t="0" r="0" b="0"/>
                      <wp:wrapNone/>
                      <wp:docPr id="357" name="Frame35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201295" cy="175260"/>
                      <wp:effectExtent l="0" t="0" r="0" b="0"/>
                      <wp:wrapNone/>
                      <wp:docPr id="358" name="Frame358"/>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656590" cy="175260"/>
                      <wp:effectExtent l="0" t="0" r="0" b="0"/>
                      <wp:wrapNone/>
                      <wp:docPr id="359" name="Frame359"/>
                      <a:graphic xmlns:a="http://schemas.openxmlformats.org/drawingml/2006/main">
                        <a:graphicData uri="http://schemas.microsoft.com/office/word/2010/wordprocessingShape">
                          <wps:wsp>
                            <wps:cNvSpPr txBox="1"/>
                            <wps:spPr>
                              <a:xfrm>
                                <a:off x="0" y="0"/>
                                <a:ext cx="656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26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 Fair</w:t>
            </w:r>
          </w:p>
        </w:tc>
      </w:tr>
      <w:tr>
        <w:trPr/>
        <w:tc>
          <w:tcPr>
            <w:tcW w:w="26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Units</w:t>
            </w:r>
          </w:p>
        </w:tc>
        <w:tc>
          <w:tcPr>
            <w:tcW w:w="109" w:type="dxa"/>
            <w:tcBorders/>
            <w:vAlign w:val="center"/>
          </w:tcPr>
          <w:p>
            <w:pPr>
              <w:pStyle w:val="TableContents"/>
              <w:bidi w:val="0"/>
              <w:spacing w:before="0" w:after="0"/>
              <w:ind w:left="0" w:right="0" w:hanging="0"/>
              <w:jc w:val="left"/>
              <w:rPr/>
            </w:pPr>
            <w:r>
              <w:rPr/>
              <w:t>​</w:t>
            </w:r>
          </w:p>
        </w:tc>
        <w:tc>
          <w:tcPr>
            <w:tcW w:w="13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 Per Share</w:t>
            </w:r>
          </w:p>
        </w:tc>
      </w:tr>
      <w:tr>
        <w:trPr/>
        <w:tc>
          <w:tcPr>
            <w:tcW w:w="26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3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January 1, 2026</w:t>
            </w:r>
          </w:p>
        </w:tc>
        <w:tc>
          <w:tcPr>
            <w:tcW w:w="109"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w:t>
            </w:r>
          </w:p>
        </w:tc>
        <w:tc>
          <w:tcPr>
            <w:tcW w:w="109"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50.86</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Granted </w:t>
            </w:r>
          </w:p>
        </w:tc>
        <w:tc>
          <w:tcPr>
            <w:tcW w:w="109"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109"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10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12.97</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109" w:type="dxa"/>
            <w:tcBorders/>
            <w:shd w:fill="CCEEFF" w:val="clear"/>
            <w:vAlign w:val="center"/>
          </w:tcPr>
          <w:p>
            <w:pPr>
              <w:pStyle w:val="TableContents"/>
              <w:bidi w:val="0"/>
              <w:spacing w:before="0" w:after="0"/>
              <w:ind w:left="0" w:right="0" w:hanging="0"/>
              <w:jc w:val="left"/>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109"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10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46.48</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June 30, 2026</w:t>
            </w:r>
          </w:p>
        </w:tc>
        <w:tc>
          <w:tcPr>
            <w:tcW w:w="109" w:type="dxa"/>
            <w:tcBorders/>
            <w:vAlign w:val="center"/>
          </w:tcPr>
          <w:p>
            <w:pPr>
              <w:pStyle w:val="TableContents"/>
              <w:bidi w:val="0"/>
              <w:spacing w:before="0" w:after="0"/>
              <w:ind w:left="0" w:right="0" w:hanging="0"/>
              <w:jc w:val="left"/>
              <w:rPr/>
            </w:pPr>
            <w:r>
              <w:rPr/>
              <w:t>​</w:t>
            </w:r>
          </w:p>
        </w:tc>
        <w:tc>
          <w:tcPr>
            <w:tcW w:w="4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w:t>
            </w:r>
          </w:p>
        </w:tc>
        <w:tc>
          <w:tcPr>
            <w:tcW w:w="109"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39.63</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At June 30, 2026, a maximum of $3,056 of unrecognized compensation expense for PSUs, pending achievement of targets, may be recognized over a weighted average period of approximately 1.4 years.</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Employee Stock Purchase Plan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ESPP provides eligible employees with rights during each six-month ESPP offering period to purchase shares of the Company’s Class A common stock through payroll deductions of up to a specified percentage of their eligible compensation. The purchase price of the shares, in the absence of a contrary designation, is 85% of the lower of the fair value of the Class A common stock on the first or last day of the ESPP offering period. Amounts withheld from participants are included in accrued salaries and benefits in the condensed consolidated balance sheets until such shares are purchased. Amounts withheld from participants for the offering period ending November 30, 2026 aggregated $463 as of June 30, 2026. As of June 30, 2026, 5,990 shares of Class A common stock were available for issuance under the ESPP.</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June 30, 2026, there was approximately $461 of unrecognized ESPP stock-based compensation expense expected to be recognized on a straight-line basis over the remaining term of the six-month offering period ending November 30, 2026.</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At June 30, 2026 and 2025, there were two ESPP offering periods open that end November 30, 2026 and 2025, respectively. The fair value of ESPP purchase rights for the offering periods is comprised of the value of the 15% ESPP discount and the value associated with the call or put over the respective ESPP offering period. ESPP offering periods reported in the June 30, 2026 and 2025 financial statements include the periods noted below in the table. The value of the call or put was estimated using the Black-Scholes model with the following assumptions: </w:t>
      </w:r>
    </w:p>
    <w:p>
      <w:pPr>
        <w:pStyle w:val="TextBody"/>
        <w:bidi w:val="0"/>
        <w:spacing w:before="0" w:after="0"/>
        <w:ind w:left="0" w:right="0" w:firstLine="360"/>
        <w:jc w:val="both"/>
        <w:rPr/>
      </w:pPr>
      <w:r>
        <w:rPr/>
        <w:t>​</w:t>
      </w:r>
    </w:p>
    <w:p>
      <w:pPr>
        <w:pStyle w:val="TextBody"/>
        <w:bidi w:val="0"/>
        <w:spacing w:before="0" w:after="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766" w:type="dxa"/>
        <w:jc w:val="left"/>
        <w:tblInd w:w="0" w:type="dxa"/>
        <w:tblLayout w:type="fixed"/>
        <w:tblCellMar>
          <w:top w:w="0" w:type="dxa"/>
          <w:left w:w="0" w:type="dxa"/>
          <w:bottom w:w="0" w:type="dxa"/>
          <w:right w:w="0" w:type="dxa"/>
        </w:tblCellMar>
      </w:tblPr>
      <w:tblGrid>
        <w:gridCol w:w="6766"/>
      </w:tblGrid>
      <w:tr>
        <w:trPr/>
        <w:tc>
          <w:tcPr>
            <w:tcW w:w="6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009" w:name="Tc_qXaX1u-9aU-yfj-yHErVfw_10_11"/>
      <w:bookmarkStart w:id="2010" w:name="Tc_sqrRvCOKXU2pKN92RsTl8g_10_8"/>
      <w:bookmarkStart w:id="2011" w:name="Tc_D9siYawKoE2XzIO1C2_o3w_10_5"/>
      <w:bookmarkStart w:id="2012" w:name="Tc_SJ58G3i2pkSsB5U0nrgLkw_10_2"/>
      <w:bookmarkStart w:id="2013" w:name="Tc_2M_uqRlDWU-NQHoABBFvXg_10_0"/>
      <w:bookmarkStart w:id="2014" w:name="Tc_Ra55fUz6K0CC5EaIXMQPYg_9_0"/>
      <w:bookmarkStart w:id="2015" w:name="Tc_tKvYneISvku9-mULTV1ZJQ_8_0"/>
      <w:bookmarkStart w:id="2016" w:name="Tc_j1LZo8A7Gk2C6A_0iAVGEw_7_0"/>
      <w:bookmarkStart w:id="2017" w:name="Tc_ejS4VFHeRkalxzTLb0W2wg_6_0"/>
      <w:bookmarkStart w:id="2018" w:name="Tc_w-jw3E-piECrlwrL8ywfVg_5_11"/>
      <w:bookmarkStart w:id="2019" w:name="Tc_dhZ_Jb2WmESKxWlm21sHzg_5_8"/>
      <w:bookmarkStart w:id="2020" w:name="Tc_NKaXyqLHYEGqmK6JpffEbg_5_5"/>
      <w:bookmarkStart w:id="2021" w:name="Tc_7cursPTyw0mlWxeh8NA_iQ_5_2"/>
      <w:bookmarkStart w:id="2022" w:name="Tc_cUADOEQ6f02mlWEW1TCTag_5_0"/>
      <w:bookmarkStart w:id="2023" w:name="Tc_ZGgt4lh6v0i-HDKqsdzilw_4_0"/>
      <w:bookmarkStart w:id="2024" w:name="Tc_xXg652HCIU-zZmi7scKeVA_3_8"/>
      <w:bookmarkStart w:id="2025" w:name="Tc_NSxJHFLsQkyDFaGzQ6kuyA_3_2"/>
      <w:bookmarkStart w:id="2026" w:name="Tc_9KxFjXeLxE-7qrDBuXsfYA_2_11"/>
      <w:bookmarkStart w:id="2027" w:name="Tc_CxBSn_LJiEOynLnbJQfkQg_2_8"/>
      <w:bookmarkStart w:id="2028" w:name="Tc_bSN8EFIZ_EWfwKLCV4I1HQ_2_5"/>
      <w:bookmarkStart w:id="2029" w:name="Tc_rb2CDlYntUekDe9DsNbXcg_2_2"/>
      <w:bookmarkStart w:id="2030" w:name="Tc_9y9gAuKR6E-COsZvgDDgTQ_1_8"/>
      <w:bookmarkStart w:id="2031" w:name="Tc_xN0rJ0sthEGdw6_LrH2utg_1_2"/>
      <w:bookmarkStart w:id="2032" w:name="Tc_r_JOVm530UOHur5Kf2K74A_10_11"/>
      <w:bookmarkStart w:id="2033" w:name="Tc_5mJQaiJstkePzbML7nEkNA_10_8"/>
      <w:bookmarkStart w:id="2034" w:name="Tc_NW7WEeOo60Kzg_T2Jhy2vw_10_5"/>
      <w:bookmarkStart w:id="2035" w:name="Tc_urLyr75YG0OQ224TaIUrvw_10_2"/>
      <w:bookmarkStart w:id="2036" w:name="Tc_Z6QiiSEHH06qlzrZOkMYbQ_10_0"/>
      <w:bookmarkStart w:id="2037" w:name="Tc_LNTi44_H8UOlzhRuxvzXSw_9_0"/>
      <w:bookmarkStart w:id="2038" w:name="Tc__3h2kwPDoUaZ_6gDi-3U4Q_8_0"/>
      <w:bookmarkStart w:id="2039" w:name="Tc_KwwrDxA3MUmmCF4vbtHukQ_7_0"/>
      <w:bookmarkStart w:id="2040" w:name="Tc_i4YsOSClsECoEYgWslp49A_6_0"/>
      <w:bookmarkStart w:id="2041" w:name="Tc__bDiRqZjr0OFU-U0Od4CUw_5_11"/>
      <w:bookmarkStart w:id="2042" w:name="Tc__OxzQSfHKUGhlW6M2v5Dkw_5_9"/>
      <w:bookmarkStart w:id="2043" w:name="Tc_f3jC-T79T0ymKoLJEcYhsQ_5_8"/>
      <w:bookmarkStart w:id="2044" w:name="Tc_66suUJ6Qd0qCmilS9lTIwA_5_5"/>
      <w:bookmarkStart w:id="2045" w:name="Tc_os2ua4n8tUydTTIEy4t7vA_5_3"/>
      <w:bookmarkStart w:id="2046" w:name="Tc_F8Dcs-De7keqI7ihZ6dOGQ_5_2"/>
      <w:bookmarkStart w:id="2047" w:name="Tc_kRxmp4kO6UmQtBR7XOf8Hg_5_0"/>
      <w:bookmarkStart w:id="2048" w:name="Tc_7TtfKQOiOUCmxdkNC7tXqg_4_0"/>
      <w:bookmarkStart w:id="2049" w:name="Tc_yvCK21vQVky-wh_Y65ZULQ_3_8"/>
      <w:bookmarkStart w:id="2050" w:name="Tc_s9WVoeg_TEG_tciTIDs8qg_3_2"/>
      <w:bookmarkStart w:id="2051" w:name="Tc_nsCZpVg1i0-FAlWhY5Bu6Q_2_11"/>
      <w:bookmarkStart w:id="2052" w:name="Tc_VvEr8ABxa0qJXWOtqAMDbg_2_8"/>
      <w:bookmarkStart w:id="2053" w:name="Tc_uZ7qi3umoE2wh-DacsN-MA_2_5"/>
      <w:bookmarkStart w:id="2054" w:name="Tc_6lksEKJPoE2am2VlNg3RNA_2_2"/>
      <w:bookmarkStart w:id="2055" w:name="Tc_a1D3LXFzIUuIOvX0LAOK2g_1_8"/>
      <w:bookmarkStart w:id="2056" w:name="Tc_4QoDRHPdfEWiqSK-FGZWuQ_1_2"/>
      <w:bookmarkStart w:id="2057" w:name="Tc_mnRJQFf0-UiEzVjErsfdsg_7_6"/>
      <w:bookmarkStart w:id="2058" w:name="Tc_jKkSkdOY80yYXJC5b6w54w_7_3"/>
      <w:bookmarkStart w:id="2059" w:name="Tc_7-JT6H3X8ku4RSSuRlgy5w_7_0"/>
      <w:bookmarkStart w:id="2060" w:name="Tc_9F3YCl0rSEO8GZgPAoJmZQ_6_6"/>
      <w:bookmarkStart w:id="2061" w:name="Tc_JJmeM4A2J0aOssZSDXi-JA_6_5"/>
      <w:bookmarkStart w:id="2062" w:name="Tc_kMN-DZhYmk-fcBf3ZIG1ZA_6_3"/>
      <w:bookmarkStart w:id="2063" w:name="Tc_ZLXfckEFWEqnS9uOsl4kBQ_6_2"/>
      <w:bookmarkStart w:id="2064" w:name="Tc_eiWGpr9KTEiQx2K234OlDQ_6_0"/>
      <w:bookmarkStart w:id="2065" w:name="Tc_fTD-oeauC0qXNgBxXztimw_5_0"/>
      <w:bookmarkStart w:id="2066" w:name="Tc_UP5juN8hM0WB4Ri5vjMIbQ_4_6"/>
      <w:bookmarkStart w:id="2067" w:name="Tc_9k2zihDE3kOafvvQRUmxxw_4_3"/>
      <w:bookmarkStart w:id="2068" w:name="Tc_6PfK5FdFzU-EDpn__-cOgA_4_0"/>
      <w:bookmarkStart w:id="2069" w:name="Tc_MZOm6TKVLUOKMtMYKnZn1A_3_4"/>
      <w:bookmarkStart w:id="2070" w:name="Tc_O-wTzxBXB0aMuZBklfapYA_3_1"/>
      <w:bookmarkStart w:id="2071" w:name="Tc_pqzeMj4a-kaAeBnQiNtpUg_3_0"/>
      <w:bookmarkStart w:id="2072" w:name="Tc_Vxfc3W4D5E6Oxk6BWab1ww_2_4"/>
      <w:bookmarkStart w:id="2073" w:name="Tc_VsvwP9tl_EuBTyWzMroJIQ_2_1"/>
      <w:bookmarkStart w:id="2074" w:name="Tc_2ebQJE6DwESruPr1V-nykw_1_1"/>
      <w:bookmarkStart w:id="2075" w:name="Tc_qXaX1u-9aU-yfj-yHErVfw_10_11"/>
      <w:bookmarkStart w:id="2076" w:name="Tc_sqrRvCOKXU2pKN92RsTl8g_10_8"/>
      <w:bookmarkStart w:id="2077" w:name="Tc_D9siYawKoE2XzIO1C2_o3w_10_5"/>
      <w:bookmarkStart w:id="2078" w:name="Tc_SJ58G3i2pkSsB5U0nrgLkw_10_2"/>
      <w:bookmarkStart w:id="2079" w:name="Tc_2M_uqRlDWU-NQHoABBFvXg_10_0"/>
      <w:bookmarkStart w:id="2080" w:name="Tc_Ra55fUz6K0CC5EaIXMQPYg_9_0"/>
      <w:bookmarkStart w:id="2081" w:name="Tc_tKvYneISvku9-mULTV1ZJQ_8_0"/>
      <w:bookmarkStart w:id="2082" w:name="Tc_j1LZo8A7Gk2C6A_0iAVGEw_7_0"/>
      <w:bookmarkStart w:id="2083" w:name="Tc_ejS4VFHeRkalxzTLb0W2wg_6_0"/>
      <w:bookmarkStart w:id="2084" w:name="Tc_w-jw3E-piECrlwrL8ywfVg_5_11"/>
      <w:bookmarkStart w:id="2085" w:name="Tc_dhZ_Jb2WmESKxWlm21sHzg_5_8"/>
      <w:bookmarkStart w:id="2086" w:name="Tc_NKaXyqLHYEGqmK6JpffEbg_5_5"/>
      <w:bookmarkStart w:id="2087" w:name="Tc_7cursPTyw0mlWxeh8NA_iQ_5_2"/>
      <w:bookmarkStart w:id="2088" w:name="Tc_cUADOEQ6f02mlWEW1TCTag_5_0"/>
      <w:bookmarkStart w:id="2089" w:name="Tc_ZGgt4lh6v0i-HDKqsdzilw_4_0"/>
      <w:bookmarkStart w:id="2090" w:name="Tc_xXg652HCIU-zZmi7scKeVA_3_8"/>
      <w:bookmarkStart w:id="2091" w:name="Tc_NSxJHFLsQkyDFaGzQ6kuyA_3_2"/>
      <w:bookmarkStart w:id="2092" w:name="Tc_9KxFjXeLxE-7qrDBuXsfYA_2_11"/>
      <w:bookmarkStart w:id="2093" w:name="Tc_CxBSn_LJiEOynLnbJQfkQg_2_8"/>
      <w:bookmarkStart w:id="2094" w:name="Tc_bSN8EFIZ_EWfwKLCV4I1HQ_2_5"/>
      <w:bookmarkStart w:id="2095" w:name="Tc_rb2CDlYntUekDe9DsNbXcg_2_2"/>
      <w:bookmarkStart w:id="2096" w:name="Tc_9y9gAuKR6E-COsZvgDDgTQ_1_8"/>
      <w:bookmarkStart w:id="2097" w:name="Tc_xN0rJ0sthEGdw6_LrH2utg_1_2"/>
      <w:bookmarkStart w:id="2098" w:name="Tc_r_JOVm530UOHur5Kf2K74A_10_11"/>
      <w:bookmarkStart w:id="2099" w:name="Tc_5mJQaiJstkePzbML7nEkNA_10_8"/>
      <w:bookmarkStart w:id="2100" w:name="Tc_NW7WEeOo60Kzg_T2Jhy2vw_10_5"/>
      <w:bookmarkStart w:id="2101" w:name="Tc_urLyr75YG0OQ224TaIUrvw_10_2"/>
      <w:bookmarkStart w:id="2102" w:name="Tc_Z6QiiSEHH06qlzrZOkMYbQ_10_0"/>
      <w:bookmarkStart w:id="2103" w:name="Tc_LNTi44_H8UOlzhRuxvzXSw_9_0"/>
      <w:bookmarkStart w:id="2104" w:name="Tc__3h2kwPDoUaZ_6gDi-3U4Q_8_0"/>
      <w:bookmarkStart w:id="2105" w:name="Tc_KwwrDxA3MUmmCF4vbtHukQ_7_0"/>
      <w:bookmarkStart w:id="2106" w:name="Tc_i4YsOSClsECoEYgWslp49A_6_0"/>
      <w:bookmarkStart w:id="2107" w:name="Tc__bDiRqZjr0OFU-U0Od4CUw_5_11"/>
      <w:bookmarkStart w:id="2108" w:name="Tc__OxzQSfHKUGhlW6M2v5Dkw_5_9"/>
      <w:bookmarkStart w:id="2109" w:name="Tc_f3jC-T79T0ymKoLJEcYhsQ_5_8"/>
      <w:bookmarkStart w:id="2110" w:name="Tc_66suUJ6Qd0qCmilS9lTIwA_5_5"/>
      <w:bookmarkStart w:id="2111" w:name="Tc_os2ua4n8tUydTTIEy4t7vA_5_3"/>
      <w:bookmarkStart w:id="2112" w:name="Tc_F8Dcs-De7keqI7ihZ6dOGQ_5_2"/>
      <w:bookmarkStart w:id="2113" w:name="Tc_kRxmp4kO6UmQtBR7XOf8Hg_5_0"/>
      <w:bookmarkStart w:id="2114" w:name="Tc_7TtfKQOiOUCmxdkNC7tXqg_4_0"/>
      <w:bookmarkStart w:id="2115" w:name="Tc_yvCK21vQVky-wh_Y65ZULQ_3_8"/>
      <w:bookmarkStart w:id="2116" w:name="Tc_s9WVoeg_TEG_tciTIDs8qg_3_2"/>
      <w:bookmarkStart w:id="2117" w:name="Tc_nsCZpVg1i0-FAlWhY5Bu6Q_2_11"/>
      <w:bookmarkStart w:id="2118" w:name="Tc_VvEr8ABxa0qJXWOtqAMDbg_2_8"/>
      <w:bookmarkStart w:id="2119" w:name="Tc_uZ7qi3umoE2wh-DacsN-MA_2_5"/>
      <w:bookmarkStart w:id="2120" w:name="Tc_6lksEKJPoE2am2VlNg3RNA_2_2"/>
      <w:bookmarkStart w:id="2121" w:name="Tc_a1D3LXFzIUuIOvX0LAOK2g_1_8"/>
      <w:bookmarkStart w:id="2122" w:name="Tc_4QoDRHPdfEWiqSK-FGZWuQ_1_2"/>
      <w:bookmarkStart w:id="2123" w:name="Tc_mnRJQFf0-UiEzVjErsfdsg_7_6"/>
      <w:bookmarkStart w:id="2124" w:name="Tc_jKkSkdOY80yYXJC5b6w54w_7_3"/>
      <w:bookmarkStart w:id="2125" w:name="Tc_7-JT6H3X8ku4RSSuRlgy5w_7_0"/>
      <w:bookmarkStart w:id="2126" w:name="Tc_9F3YCl0rSEO8GZgPAoJmZQ_6_6"/>
      <w:bookmarkStart w:id="2127" w:name="Tc_JJmeM4A2J0aOssZSDXi-JA_6_5"/>
      <w:bookmarkStart w:id="2128" w:name="Tc_kMN-DZhYmk-fcBf3ZIG1ZA_6_3"/>
      <w:bookmarkStart w:id="2129" w:name="Tc_ZLXfckEFWEqnS9uOsl4kBQ_6_2"/>
      <w:bookmarkStart w:id="2130" w:name="Tc_eiWGpr9KTEiQx2K234OlDQ_6_0"/>
      <w:bookmarkStart w:id="2131" w:name="Tc_fTD-oeauC0qXNgBxXztimw_5_0"/>
      <w:bookmarkStart w:id="2132" w:name="Tc_UP5juN8hM0WB4Ri5vjMIbQ_4_6"/>
      <w:bookmarkStart w:id="2133" w:name="Tc_9k2zihDE3kOafvvQRUmxxw_4_3"/>
      <w:bookmarkStart w:id="2134" w:name="Tc_6PfK5FdFzU-EDpn__-cOgA_4_0"/>
      <w:bookmarkStart w:id="2135" w:name="Tc_MZOm6TKVLUOKMtMYKnZn1A_3_4"/>
      <w:bookmarkStart w:id="2136" w:name="Tc_O-wTzxBXB0aMuZBklfapYA_3_1"/>
      <w:bookmarkStart w:id="2137" w:name="Tc_pqzeMj4a-kaAeBnQiNtpUg_3_0"/>
      <w:bookmarkStart w:id="2138" w:name="Tc_Vxfc3W4D5E6Oxk6BWab1ww_2_4"/>
      <w:bookmarkStart w:id="2139" w:name="Tc_VsvwP9tl_EuBTyWzMroJIQ_2_1"/>
      <w:bookmarkStart w:id="2140" w:name="Tc_2ebQJE6DwESruPr1V-nykw_1_1"/>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p>
    <w:tbl>
      <w:tblPr>
        <w:tblW w:w="5478" w:type="dxa"/>
        <w:jc w:val="left"/>
        <w:tblInd w:w="0" w:type="dxa"/>
        <w:tblLayout w:type="fixed"/>
        <w:tblCellMar>
          <w:top w:w="0" w:type="dxa"/>
          <w:left w:w="0" w:type="dxa"/>
          <w:bottom w:w="0" w:type="dxa"/>
          <w:right w:w="0" w:type="dxa"/>
        </w:tblCellMar>
      </w:tblPr>
      <w:tblGrid>
        <w:gridCol w:w="2971"/>
        <w:gridCol w:w="247"/>
        <w:gridCol w:w="668"/>
        <w:gridCol w:w="316"/>
        <w:gridCol w:w="247"/>
        <w:gridCol w:w="668"/>
        <w:gridCol w:w="361"/>
      </w:tblGrid>
      <w:tr>
        <w:trPr/>
        <w:tc>
          <w:tcPr>
            <w:tcW w:w="2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1886585" cy="175260"/>
                      <wp:effectExtent l="0" t="0" r="0" b="0"/>
                      <wp:wrapNone/>
                      <wp:docPr id="360" name="Frame360"/>
                      <a:graphic xmlns:a="http://schemas.openxmlformats.org/drawingml/2006/main">
                        <a:graphicData uri="http://schemas.microsoft.com/office/word/2010/wordprocessingShape">
                          <wps:wsp>
                            <wps:cNvSpPr txBox="1"/>
                            <wps:spPr>
                              <a:xfrm>
                                <a:off x="0" y="0"/>
                                <a:ext cx="1886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156845" cy="175260"/>
                      <wp:effectExtent l="0" t="0" r="0" b="0"/>
                      <wp:wrapNone/>
                      <wp:docPr id="361" name="Frame361"/>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424180" cy="175260"/>
                      <wp:effectExtent l="0" t="0" r="0" b="0"/>
                      <wp:wrapNone/>
                      <wp:docPr id="362" name="Frame362"/>
                      <a:graphic xmlns:a="http://schemas.openxmlformats.org/drawingml/2006/main">
                        <a:graphicData uri="http://schemas.microsoft.com/office/word/2010/wordprocessingShape">
                          <wps:wsp>
                            <wps:cNvSpPr txBox="1"/>
                            <wps:spPr>
                              <a:xfrm>
                                <a:off x="0" y="0"/>
                                <a:ext cx="424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200660" cy="175260"/>
                      <wp:effectExtent l="0" t="0" r="0" b="0"/>
                      <wp:wrapNone/>
                      <wp:docPr id="363" name="Frame36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156845" cy="175260"/>
                      <wp:effectExtent l="0" t="0" r="0" b="0"/>
                      <wp:wrapNone/>
                      <wp:docPr id="364" name="Frame364"/>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424180" cy="175260"/>
                      <wp:effectExtent l="0" t="0" r="0" b="0"/>
                      <wp:wrapNone/>
                      <wp:docPr id="365" name="Frame365"/>
                      <a:graphic xmlns:a="http://schemas.openxmlformats.org/drawingml/2006/main">
                        <a:graphicData uri="http://schemas.microsoft.com/office/word/2010/wordprocessingShape">
                          <wps:wsp>
                            <wps:cNvSpPr txBox="1"/>
                            <wps:spPr>
                              <a:xfrm>
                                <a:off x="0" y="0"/>
                                <a:ext cx="424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229235" cy="175260"/>
                      <wp:effectExtent l="0" t="0" r="0" b="0"/>
                      <wp:wrapNone/>
                      <wp:docPr id="366" name="Frame36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71" w:type="dxa"/>
            <w:tcBorders/>
            <w:vAlign w:val="center"/>
          </w:tcPr>
          <w:p>
            <w:pPr>
              <w:pStyle w:val="TableContents"/>
              <w:bidi w:val="0"/>
              <w:spacing w:before="0" w:after="0"/>
              <w:ind w:left="0" w:right="0" w:hanging="0"/>
              <w:jc w:val="left"/>
              <w:rPr/>
            </w:pPr>
            <w:r>
              <w:rPr/>
              <w:t>​</w:t>
            </w:r>
          </w:p>
        </w:tc>
        <w:tc>
          <w:tcPr>
            <w:tcW w:w="250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Offering Period Ending</w:t>
            </w:r>
          </w:p>
        </w:tc>
      </w:tr>
      <w:tr>
        <w:trPr/>
        <w:tc>
          <w:tcPr>
            <w:tcW w:w="2971" w:type="dxa"/>
            <w:tcBorders/>
            <w:vAlign w:val="center"/>
          </w:tcPr>
          <w:p>
            <w:pPr>
              <w:pStyle w:val="TableContents"/>
              <w:bidi w:val="0"/>
              <w:spacing w:before="0" w:after="0"/>
              <w:ind w:left="0" w:right="0" w:hanging="0"/>
              <w:jc w:val="left"/>
              <w:rPr/>
            </w:pPr>
            <w:r>
              <w:rPr/>
              <w:t>​</w:t>
            </w:r>
          </w:p>
        </w:tc>
        <w:tc>
          <w:tcPr>
            <w:tcW w:w="9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11/30/2026</w:t>
            </w:r>
          </w:p>
        </w:tc>
        <w:tc>
          <w:tcPr>
            <w:tcW w:w="316" w:type="dxa"/>
            <w:tcBorders/>
            <w:vAlign w:val="center"/>
          </w:tcPr>
          <w:p>
            <w:pPr>
              <w:pStyle w:val="TableContents"/>
              <w:bidi w:val="0"/>
              <w:spacing w:before="0" w:after="0"/>
              <w:ind w:left="0" w:right="0" w:hanging="0"/>
              <w:jc w:val="center"/>
              <w:rPr/>
            </w:pPr>
            <w:r>
              <w:rPr/>
              <w:t>​</w:t>
            </w:r>
          </w:p>
        </w:tc>
        <w:tc>
          <w:tcPr>
            <w:tcW w:w="9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11/30/2025</w:t>
            </w:r>
          </w:p>
        </w:tc>
        <w:tc>
          <w:tcPr>
            <w:tcW w:w="361" w:type="dxa"/>
            <w:tcBorders/>
            <w:vAlign w:val="center"/>
          </w:tcPr>
          <w:p>
            <w:pPr>
              <w:pStyle w:val="TableContents"/>
              <w:bidi w:val="0"/>
              <w:spacing w:before="0" w:after="0"/>
              <w:ind w:left="0" w:right="0" w:hanging="0"/>
              <w:jc w:val="center"/>
              <w:rPr/>
            </w:pPr>
            <w:r>
              <w:rPr/>
              <w:t>​</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market value of common stock</w:t>
            </w:r>
          </w:p>
        </w:tc>
        <w:tc>
          <w:tcPr>
            <w:tcW w:w="2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14.96</w:t>
            </w:r>
          </w:p>
        </w:tc>
        <w:tc>
          <w:tcPr>
            <w:tcW w:w="31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39.86</w:t>
            </w:r>
          </w:p>
        </w:tc>
        <w:tc>
          <w:tcPr>
            <w:tcW w:w="361" w:type="dxa"/>
            <w:tcBorders/>
            <w:shd w:fill="CCEEFF" w:val="clear"/>
            <w:vAlign w:val="center"/>
          </w:tcPr>
          <w:p>
            <w:pPr>
              <w:pStyle w:val="TableContents"/>
              <w:bidi w:val="0"/>
              <w:spacing w:before="0" w:after="0"/>
              <w:ind w:left="0" w:right="0" w:hanging="0"/>
              <w:jc w:val="left"/>
              <w:rPr/>
            </w:pPr>
            <w:r>
              <w:rPr/>
              <w:t>​</w:t>
            </w:r>
          </w:p>
        </w:tc>
      </w:tr>
      <w:tr>
        <w:trPr/>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Volatility</w:t>
            </w:r>
          </w:p>
        </w:tc>
        <w:tc>
          <w:tcPr>
            <w:tcW w:w="247"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247"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term (years)</w:t>
            </w:r>
          </w:p>
        </w:tc>
        <w:tc>
          <w:tcPr>
            <w:tcW w:w="247" w:type="dxa"/>
            <w:tcBorders/>
            <w:shd w:fill="CCEEFF" w:val="clear"/>
            <w:vAlign w:val="center"/>
          </w:tcPr>
          <w:p>
            <w:pPr>
              <w:pStyle w:val="TableContents"/>
              <w:bidi w:val="0"/>
              <w:spacing w:before="0" w:after="0"/>
              <w:ind w:left="0" w:right="0" w:hanging="0"/>
              <w:jc w:val="left"/>
              <w:rPr/>
            </w:pPr>
            <w:r>
              <w:rPr/>
              <w:t> </w:t>
            </w:r>
          </w:p>
        </w:tc>
        <w:tc>
          <w:tcPr>
            <w:tcW w:w="6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1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 </w:t>
            </w:r>
          </w:p>
        </w:tc>
        <w:tc>
          <w:tcPr>
            <w:tcW w:w="6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61" w:type="dxa"/>
            <w:tcBorders/>
            <w:shd w:fill="CCEEFF" w:val="clear"/>
            <w:vAlign w:val="center"/>
          </w:tcPr>
          <w:p>
            <w:pPr>
              <w:pStyle w:val="TableContents"/>
              <w:bidi w:val="0"/>
              <w:spacing w:before="0" w:after="0"/>
              <w:ind w:left="0" w:right="0" w:hanging="0"/>
              <w:jc w:val="left"/>
              <w:rPr/>
            </w:pPr>
            <w:r>
              <w:rPr/>
              <w:t>​</w:t>
            </w:r>
          </w:p>
        </w:tc>
      </w:tr>
      <w:tr>
        <w:trPr/>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dividend yield</w:t>
            </w:r>
          </w:p>
        </w:tc>
        <w:tc>
          <w:tcPr>
            <w:tcW w:w="247"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247"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247" w:type="dxa"/>
            <w:tcBorders/>
            <w:shd w:fill="CCEEFF" w:val="clear"/>
            <w:vAlign w:val="center"/>
          </w:tcPr>
          <w:p>
            <w:pPr>
              <w:pStyle w:val="TableContents"/>
              <w:bidi w:val="0"/>
              <w:spacing w:before="0" w:after="0"/>
              <w:ind w:left="0" w:right="0" w:hanging="0"/>
              <w:jc w:val="left"/>
              <w:rPr/>
            </w:pPr>
            <w:r>
              <w:rPr/>
              <w:t> </w:t>
            </w:r>
          </w:p>
        </w:tc>
        <w:tc>
          <w:tcPr>
            <w:tcW w:w="6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247" w:type="dxa"/>
            <w:tcBorders/>
            <w:shd w:fill="CCEEFF" w:val="clear"/>
            <w:vAlign w:val="center"/>
          </w:tcPr>
          <w:p>
            <w:pPr>
              <w:pStyle w:val="TableContents"/>
              <w:bidi w:val="0"/>
              <w:spacing w:before="0" w:after="0"/>
              <w:ind w:left="0" w:right="0" w:hanging="0"/>
              <w:jc w:val="left"/>
              <w:rPr/>
            </w:pPr>
            <w:r>
              <w:rPr/>
              <w:t> </w:t>
            </w:r>
          </w:p>
        </w:tc>
        <w:tc>
          <w:tcPr>
            <w:tcW w:w="6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Volatility is representative of expected stock price volatility over the offering period based on the Company’s historic stock price volatility. The expected term represents the term of the ESPP offering period, which is six months. The Company does not expect to pay dividends. The risk-free interest rate was based on the rate for a U.S. Treasury zero-coupon issue with a term that closely approximates the expected term of the award at the date nearest to the offering term</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b/>
          <w:sz w:val="20"/>
        </w:rPr>
      </w:pPr>
      <w:r>
        <w:rPr>
          <w:rFonts w:ascii="Times New Roman;Times;serif" w:hAnsi="Times New Roman;Times;serif"/>
          <w:b/>
          <w:sz w:val="20"/>
        </w:rPr>
        <w:t>Stock-Based Compensation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recognized total stock-based compensation expense related to incentive awards, net of forfeitures, as follows:</w:t>
      </w:r>
    </w:p>
    <w:p>
      <w:pPr>
        <w:pStyle w:val="TextBody"/>
        <w:bidi w:val="0"/>
        <w:spacing w:before="0" w:after="0"/>
        <w:ind w:left="0" w:right="0" w:hanging="0"/>
        <w:jc w:val="left"/>
        <w:rPr/>
      </w:pPr>
      <w:r>
        <w:rPr/>
        <w:t>​</w:t>
      </w:r>
    </w:p>
    <w:tbl>
      <w:tblPr>
        <w:tblW w:w="9423" w:type="dxa"/>
        <w:jc w:val="left"/>
        <w:tblInd w:w="0" w:type="dxa"/>
        <w:tblLayout w:type="fixed"/>
        <w:tblCellMar>
          <w:top w:w="0" w:type="dxa"/>
          <w:left w:w="0" w:type="dxa"/>
          <w:bottom w:w="0" w:type="dxa"/>
          <w:right w:w="0" w:type="dxa"/>
        </w:tblCellMar>
      </w:tblPr>
      <w:tblGrid>
        <w:gridCol w:w="3451"/>
        <w:gridCol w:w="109"/>
        <w:gridCol w:w="279"/>
        <w:gridCol w:w="894"/>
        <w:gridCol w:w="457"/>
        <w:gridCol w:w="279"/>
        <w:gridCol w:w="894"/>
        <w:gridCol w:w="346"/>
        <w:gridCol w:w="256"/>
        <w:gridCol w:w="821"/>
        <w:gridCol w:w="420"/>
        <w:gridCol w:w="256"/>
        <w:gridCol w:w="961"/>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2191385" cy="175260"/>
                      <wp:effectExtent l="0" t="0" r="0" b="0"/>
                      <wp:wrapNone/>
                      <wp:docPr id="367" name="Frame367"/>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69215" cy="175260"/>
                      <wp:effectExtent l="0" t="0" r="0" b="0"/>
                      <wp:wrapNone/>
                      <wp:docPr id="368" name="Frame3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177165" cy="175260"/>
                      <wp:effectExtent l="0" t="0" r="0" b="0"/>
                      <wp:wrapNone/>
                      <wp:docPr id="369" name="Frame369"/>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567690" cy="175260"/>
                      <wp:effectExtent l="0" t="0" r="0" b="0"/>
                      <wp:wrapNone/>
                      <wp:docPr id="370" name="Frame370"/>
                      <a:graphic xmlns:a="http://schemas.openxmlformats.org/drawingml/2006/main">
                        <a:graphicData uri="http://schemas.microsoft.com/office/word/2010/wordprocessingShape">
                          <wps:wsp>
                            <wps:cNvSpPr txBox="1"/>
                            <wps:spPr>
                              <a:xfrm>
                                <a:off x="0" y="0"/>
                                <a:ext cx="567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290195" cy="175260"/>
                      <wp:effectExtent l="0" t="0" r="0" b="0"/>
                      <wp:wrapNone/>
                      <wp:docPr id="371" name="Frame371"/>
                      <a:graphic xmlns:a="http://schemas.openxmlformats.org/drawingml/2006/main">
                        <a:graphicData uri="http://schemas.microsoft.com/office/word/2010/wordprocessingShape">
                          <wps:wsp>
                            <wps:cNvSpPr txBox="1"/>
                            <wps:spPr>
                              <a:xfrm>
                                <a:off x="0" y="0"/>
                                <a:ext cx="290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177165" cy="175260"/>
                      <wp:effectExtent l="0" t="0" r="0" b="0"/>
                      <wp:wrapNone/>
                      <wp:docPr id="372" name="Frame372"/>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567690" cy="175260"/>
                      <wp:effectExtent l="0" t="0" r="0" b="0"/>
                      <wp:wrapNone/>
                      <wp:docPr id="373" name="Frame373"/>
                      <a:graphic xmlns:a="http://schemas.openxmlformats.org/drawingml/2006/main">
                        <a:graphicData uri="http://schemas.microsoft.com/office/word/2010/wordprocessingShape">
                          <wps:wsp>
                            <wps:cNvSpPr txBox="1"/>
                            <wps:spPr>
                              <a:xfrm>
                                <a:off x="0" y="0"/>
                                <a:ext cx="567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219710" cy="175260"/>
                      <wp:effectExtent l="0" t="0" r="0" b="0"/>
                      <wp:wrapNone/>
                      <wp:docPr id="374" name="Frame3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162560" cy="175260"/>
                      <wp:effectExtent l="0" t="0" r="0" b="0"/>
                      <wp:wrapNone/>
                      <wp:docPr id="375" name="Frame375"/>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521335" cy="175260"/>
                      <wp:effectExtent l="0" t="0" r="0" b="0"/>
                      <wp:wrapNone/>
                      <wp:docPr id="376" name="Frame376"/>
                      <a:graphic xmlns:a="http://schemas.openxmlformats.org/drawingml/2006/main">
                        <a:graphicData uri="http://schemas.microsoft.com/office/word/2010/wordprocessingShape">
                          <wps:wsp>
                            <wps:cNvSpPr txBox="1"/>
                            <wps:spPr>
                              <a:xfrm>
                                <a:off x="0" y="0"/>
                                <a:ext cx="521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266700" cy="175260"/>
                      <wp:effectExtent l="0" t="0" r="0" b="0"/>
                      <wp:wrapNone/>
                      <wp:docPr id="377" name="Frame377"/>
                      <a:graphic xmlns:a="http://schemas.openxmlformats.org/drawingml/2006/main">
                        <a:graphicData uri="http://schemas.microsoft.com/office/word/2010/wordprocessingShape">
                          <wps:wsp>
                            <wps:cNvSpPr txBox="1"/>
                            <wps:spPr>
                              <a:xfrm>
                                <a:off x="0" y="0"/>
                                <a:ext cx="266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162560" cy="175260"/>
                      <wp:effectExtent l="0" t="0" r="0" b="0"/>
                      <wp:wrapNone/>
                      <wp:docPr id="378" name="Frame378"/>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610235" cy="175260"/>
                      <wp:effectExtent l="0" t="0" r="0" b="0"/>
                      <wp:wrapNone/>
                      <wp:docPr id="379" name="Frame379"/>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80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June 30, </w:t>
            </w:r>
          </w:p>
        </w:tc>
        <w:tc>
          <w:tcPr>
            <w:tcW w:w="346" w:type="dxa"/>
            <w:tcBorders/>
            <w:vAlign w:val="center"/>
          </w:tcPr>
          <w:p>
            <w:pPr>
              <w:pStyle w:val="TableContents"/>
              <w:bidi w:val="0"/>
              <w:spacing w:before="0" w:after="0"/>
              <w:ind w:left="0" w:right="0" w:hanging="0"/>
              <w:jc w:val="left"/>
              <w:rPr/>
            </w:pPr>
            <w:r>
              <w:rPr/>
              <w:t>​</w:t>
            </w:r>
          </w:p>
        </w:tc>
        <w:tc>
          <w:tcPr>
            <w:tcW w:w="271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June 30,  </w:t>
            </w:r>
          </w:p>
        </w:tc>
      </w:tr>
      <w:tr>
        <w:trPr/>
        <w:tc>
          <w:tcPr>
            <w:tcW w:w="34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57" w:type="dxa"/>
            <w:tcBorders/>
            <w:vAlign w:val="center"/>
          </w:tcPr>
          <w:p>
            <w:pPr>
              <w:pStyle w:val="TableContents"/>
              <w:bidi w:val="0"/>
              <w:spacing w:before="0" w:after="0"/>
              <w:ind w:left="0" w:right="0" w:hanging="0"/>
              <w:jc w:val="left"/>
              <w:rPr/>
            </w:pPr>
            <w:r>
              <w:rPr/>
              <w:t>  ​ ​ ​</w:t>
            </w:r>
          </w:p>
        </w:tc>
        <w:tc>
          <w:tcPr>
            <w:tcW w:w="11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0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20" w:type="dxa"/>
            <w:tcBorders/>
            <w:vAlign w:val="center"/>
          </w:tcPr>
          <w:p>
            <w:pPr>
              <w:pStyle w:val="TableContents"/>
              <w:bidi w:val="0"/>
              <w:spacing w:before="0" w:after="0"/>
              <w:ind w:left="0" w:right="0" w:hanging="0"/>
              <w:jc w:val="left"/>
              <w:rPr/>
            </w:pPr>
            <w:r>
              <w:rPr/>
              <w:t>  ​ ​ ​</w:t>
            </w:r>
          </w:p>
        </w:tc>
        <w:tc>
          <w:tcPr>
            <w:tcW w:w="12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9423"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4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80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0"/>
              <w:ind w:left="0" w:right="0" w:hanging="0"/>
              <w:jc w:val="left"/>
              <w:rPr/>
            </w:pPr>
            <w:r>
              <w:rPr/>
              <w:t>​</w:t>
            </w:r>
          </w:p>
        </w:tc>
        <w:tc>
          <w:tcPr>
            <w:tcW w:w="271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w:t>
            </w:r>
          </w:p>
        </w:tc>
        <w:tc>
          <w:tcPr>
            <w:tcW w:w="894" w:type="dxa"/>
            <w:tcBorders/>
            <w:shd w:fill="CCEEFF" w:val="clear"/>
            <w:vAlign w:val="center"/>
          </w:tcPr>
          <w:p>
            <w:pPr>
              <w:pStyle w:val="TableContents"/>
              <w:bidi w:val="0"/>
              <w:spacing w:before="0" w:after="0"/>
              <w:ind w:left="0" w:right="0" w:hanging="0"/>
              <w:jc w:val="left"/>
              <w:rPr/>
            </w:pPr>
            <w:r>
              <w:rPr/>
              <w:t>​</w:t>
            </w:r>
          </w:p>
        </w:tc>
        <w:tc>
          <w:tcPr>
            <w:tcW w:w="457"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w:t>
            </w:r>
          </w:p>
        </w:tc>
        <w:tc>
          <w:tcPr>
            <w:tcW w:w="89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821" w:type="dxa"/>
            <w:tcBorders/>
            <w:shd w:fill="CCEEFF" w:val="clear"/>
            <w:vAlign w:val="center"/>
          </w:tcPr>
          <w:p>
            <w:pPr>
              <w:pStyle w:val="TableContents"/>
              <w:bidi w:val="0"/>
              <w:spacing w:before="0" w:after="0"/>
              <w:ind w:left="0" w:right="0" w:hanging="0"/>
              <w:jc w:val="left"/>
              <w:rPr/>
            </w:pPr>
            <w:r>
              <w:rPr/>
              <w:t>​</w:t>
            </w:r>
          </w:p>
        </w:tc>
        <w:tc>
          <w:tcPr>
            <w:tcW w:w="420"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left"/>
              <w:rPr/>
            </w:pPr>
            <w:r>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options</w:t>
            </w:r>
          </w:p>
        </w:tc>
        <w:tc>
          <w:tcPr>
            <w:tcW w:w="109"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4" w:type="dxa"/>
            <w:tcBorders/>
            <w:vAlign w:val="center"/>
          </w:tcPr>
          <w:p>
            <w:pPr>
              <w:pStyle w:val="TableContents"/>
              <w:bidi w:val="0"/>
              <w:spacing w:before="0" w:after="0"/>
              <w:ind w:left="0" w:right="0" w:hanging="0"/>
              <w:jc w:val="right"/>
              <w:rPr/>
            </w:pPr>
            <w:r>
              <w:rPr/>
              <w:t>—</w:t>
            </w:r>
          </w:p>
        </w:tc>
        <w:tc>
          <w:tcPr>
            <w:tcW w:w="457"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c>
          <w:tcPr>
            <w:tcW w:w="34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vAlign w:val="center"/>
          </w:tcPr>
          <w:p>
            <w:pPr>
              <w:pStyle w:val="TableContents"/>
              <w:bidi w:val="0"/>
              <w:spacing w:before="0" w:after="0"/>
              <w:ind w:left="0" w:right="0" w:hanging="0"/>
              <w:jc w:val="right"/>
              <w:rPr/>
            </w:pPr>
            <w:r>
              <w:rPr/>
              <w:t>—</w:t>
            </w:r>
          </w:p>
        </w:tc>
        <w:tc>
          <w:tcPr>
            <w:tcW w:w="420"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RSUs</w:t>
            </w:r>
          </w:p>
        </w:tc>
        <w:tc>
          <w:tcPr>
            <w:tcW w:w="109"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 </w:t>
            </w:r>
          </w:p>
        </w:tc>
        <w:tc>
          <w:tcPr>
            <w:tcW w:w="8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11,849</w:t>
            </w:r>
          </w:p>
        </w:tc>
        <w:tc>
          <w:tcPr>
            <w:tcW w:w="457"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 </w:t>
            </w:r>
          </w:p>
        </w:tc>
        <w:tc>
          <w:tcPr>
            <w:tcW w:w="8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10,398</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 </w:t>
            </w:r>
          </w:p>
        </w:tc>
        <w:tc>
          <w:tcPr>
            <w:tcW w:w="8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27,394</w:t>
            </w:r>
          </w:p>
        </w:tc>
        <w:tc>
          <w:tcPr>
            <w:tcW w:w="420" w:type="dxa"/>
            <w:tcBorders/>
            <w:shd w:fill="CCEEFF" w:val="clear"/>
            <w:vAlign w:val="center"/>
          </w:tcPr>
          <w:p>
            <w:pPr>
              <w:pStyle w:val="TableContents"/>
              <w:bidi w:val="0"/>
              <w:spacing w:before="0" w:after="0"/>
              <w:ind w:left="0" w:right="0" w:hanging="0"/>
              <w:jc w:val="right"/>
              <w:rPr/>
            </w:pPr>
            <w:r>
              <w:rPr/>
              <w:t>​</w:t>
            </w:r>
          </w:p>
        </w:tc>
        <w:tc>
          <w:tcPr>
            <w:tcW w:w="25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29,751</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RSAs</w:t>
            </w:r>
          </w:p>
        </w:tc>
        <w:tc>
          <w:tcPr>
            <w:tcW w:w="109"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8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804</w:t>
            </w:r>
          </w:p>
        </w:tc>
        <w:tc>
          <w:tcPr>
            <w:tcW w:w="457"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8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w:t>
            </w:r>
          </w:p>
        </w:tc>
        <w:tc>
          <w:tcPr>
            <w:tcW w:w="34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8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1,293</w:t>
            </w:r>
          </w:p>
        </w:tc>
        <w:tc>
          <w:tcPr>
            <w:tcW w:w="420"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606</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PSUs</w:t>
            </w:r>
          </w:p>
        </w:tc>
        <w:tc>
          <w:tcPr>
            <w:tcW w:w="109"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w:t>
            </w:r>
          </w:p>
        </w:tc>
        <w:tc>
          <w:tcPr>
            <w:tcW w:w="8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903</w:t>
            </w:r>
          </w:p>
        </w:tc>
        <w:tc>
          <w:tcPr>
            <w:tcW w:w="457"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w:t>
            </w:r>
          </w:p>
        </w:tc>
        <w:tc>
          <w:tcPr>
            <w:tcW w:w="8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878</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8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3,030</w:t>
            </w:r>
          </w:p>
        </w:tc>
        <w:tc>
          <w:tcPr>
            <w:tcW w:w="420" w:type="dxa"/>
            <w:tcBorders/>
            <w:shd w:fill="CCEEFF" w:val="clear"/>
            <w:vAlign w:val="center"/>
          </w:tcPr>
          <w:p>
            <w:pPr>
              <w:pStyle w:val="TableContents"/>
              <w:bidi w:val="0"/>
              <w:spacing w:before="0" w:after="0"/>
              <w:ind w:left="0" w:right="0" w:hanging="0"/>
              <w:jc w:val="righ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1,708</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ESPP</w:t>
            </w:r>
          </w:p>
        </w:tc>
        <w:tc>
          <w:tcPr>
            <w:tcW w:w="109" w:type="dxa"/>
            <w:tcBorders/>
            <w:vAlign w:val="center"/>
          </w:tcPr>
          <w:p>
            <w:pPr>
              <w:pStyle w:val="TableContents"/>
              <w:bidi w:val="0"/>
              <w:spacing w:before="0" w:after="0"/>
              <w:ind w:left="0" w:right="0" w:hanging="0"/>
              <w:jc w:val="left"/>
              <w:rPr/>
            </w:pPr>
            <w:r>
              <w:rPr/>
              <w:t>​</w:t>
            </w:r>
          </w:p>
        </w:tc>
        <w:tc>
          <w:tcPr>
            <w:tcW w:w="27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w:t>
            </w:r>
          </w:p>
        </w:tc>
        <w:tc>
          <w:tcPr>
            <w:tcW w:w="457" w:type="dxa"/>
            <w:tcBorders/>
            <w:vAlign w:val="center"/>
          </w:tcPr>
          <w:p>
            <w:pPr>
              <w:pStyle w:val="TableContents"/>
              <w:bidi w:val="0"/>
              <w:spacing w:before="0" w:after="0"/>
              <w:ind w:left="0" w:right="0" w:hanging="0"/>
              <w:jc w:val="left"/>
              <w:rPr/>
            </w:pPr>
            <w:r>
              <w:rPr/>
              <w:t>​</w:t>
            </w:r>
          </w:p>
        </w:tc>
        <w:tc>
          <w:tcPr>
            <w:tcW w:w="27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w:t>
            </w:r>
          </w:p>
        </w:tc>
        <w:tc>
          <w:tcPr>
            <w:tcW w:w="346" w:type="dxa"/>
            <w:tcBorders/>
            <w:vAlign w:val="center"/>
          </w:tcPr>
          <w:p>
            <w:pPr>
              <w:pStyle w:val="TableContents"/>
              <w:bidi w:val="0"/>
              <w:spacing w:before="0" w:after="0"/>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553</w:t>
            </w:r>
          </w:p>
        </w:tc>
        <w:tc>
          <w:tcPr>
            <w:tcW w:w="420" w:type="dxa"/>
            <w:tcBorders/>
            <w:vAlign w:val="center"/>
          </w:tcPr>
          <w:p>
            <w:pPr>
              <w:pStyle w:val="TableContents"/>
              <w:bidi w:val="0"/>
              <w:spacing w:before="0" w:after="0"/>
              <w:ind w:left="0" w:right="0" w:hanging="0"/>
              <w:jc w:val="right"/>
              <w:rPr/>
            </w:pPr>
            <w:r>
              <w:rPr/>
              <w:t>​</w:t>
            </w:r>
          </w:p>
        </w:tc>
        <w:tc>
          <w:tcPr>
            <w:tcW w:w="25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stock-based compensation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7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13,762</w:t>
            </w:r>
          </w:p>
        </w:tc>
        <w:tc>
          <w:tcPr>
            <w:tcW w:w="457" w:type="dxa"/>
            <w:tcBorders/>
            <w:shd w:fill="CCEEFF" w:val="clear"/>
            <w:vAlign w:val="center"/>
          </w:tcPr>
          <w:p>
            <w:pPr>
              <w:pStyle w:val="TableContents"/>
              <w:bidi w:val="0"/>
              <w:spacing w:before="0" w:after="0"/>
              <w:ind w:left="0" w:right="0" w:hanging="0"/>
              <w:jc w:val="left"/>
              <w:rPr/>
            </w:pPr>
            <w:r>
              <w:rPr/>
              <w:t>​</w:t>
            </w:r>
          </w:p>
        </w:tc>
        <w:tc>
          <w:tcPr>
            <w:tcW w:w="27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11,990</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32,270</w:t>
            </w:r>
          </w:p>
        </w:tc>
        <w:tc>
          <w:tcPr>
            <w:tcW w:w="420" w:type="dxa"/>
            <w:tcBorders/>
            <w:shd w:fill="CCEEFF" w:val="clear"/>
            <w:vAlign w:val="center"/>
          </w:tcPr>
          <w:p>
            <w:pPr>
              <w:pStyle w:val="TableContents"/>
              <w:bidi w:val="0"/>
              <w:spacing w:before="0" w:after="0"/>
              <w:ind w:left="0" w:right="0" w:hanging="0"/>
              <w:jc w:val="left"/>
              <w:rPr/>
            </w:pPr>
            <w:r>
              <w:rPr/>
              <w:t>​</w:t>
            </w:r>
          </w:p>
        </w:tc>
        <w:tc>
          <w:tcPr>
            <w:tcW w:w="25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33,034</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recognized stock-based compensation expense in the condensed consolidated statements of comprehensive income (loss) as follows: </w:t>
      </w:r>
    </w:p>
    <w:p>
      <w:pPr>
        <w:pStyle w:val="TextBody"/>
        <w:bidi w:val="0"/>
        <w:spacing w:before="0" w:after="0"/>
        <w:ind w:left="0" w:right="0" w:hanging="0"/>
        <w:jc w:val="left"/>
        <w:rPr/>
      </w:pPr>
      <w:r>
        <w:rPr/>
        <w:t>​</w:t>
      </w:r>
    </w:p>
    <w:tbl>
      <w:tblPr>
        <w:tblW w:w="9423" w:type="dxa"/>
        <w:jc w:val="left"/>
        <w:tblInd w:w="0" w:type="dxa"/>
        <w:tblLayout w:type="fixed"/>
        <w:tblCellMar>
          <w:top w:w="0" w:type="dxa"/>
          <w:left w:w="0" w:type="dxa"/>
          <w:bottom w:w="0" w:type="dxa"/>
          <w:right w:w="0" w:type="dxa"/>
        </w:tblCellMar>
      </w:tblPr>
      <w:tblGrid>
        <w:gridCol w:w="3451"/>
        <w:gridCol w:w="109"/>
        <w:gridCol w:w="279"/>
        <w:gridCol w:w="894"/>
        <w:gridCol w:w="457"/>
        <w:gridCol w:w="279"/>
        <w:gridCol w:w="894"/>
        <w:gridCol w:w="346"/>
        <w:gridCol w:w="256"/>
        <w:gridCol w:w="821"/>
        <w:gridCol w:w="420"/>
        <w:gridCol w:w="256"/>
        <w:gridCol w:w="961"/>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2191385" cy="175260"/>
                      <wp:effectExtent l="0" t="0" r="0" b="0"/>
                      <wp:wrapNone/>
                      <wp:docPr id="380" name="Frame380"/>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69215" cy="175260"/>
                      <wp:effectExtent l="0" t="0" r="0" b="0"/>
                      <wp:wrapNone/>
                      <wp:docPr id="381" name="Frame3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177165" cy="175260"/>
                      <wp:effectExtent l="0" t="0" r="0" b="0"/>
                      <wp:wrapNone/>
                      <wp:docPr id="382" name="Frame382"/>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567690" cy="175260"/>
                      <wp:effectExtent l="0" t="0" r="0" b="0"/>
                      <wp:wrapNone/>
                      <wp:docPr id="383" name="Frame383"/>
                      <a:graphic xmlns:a="http://schemas.openxmlformats.org/drawingml/2006/main">
                        <a:graphicData uri="http://schemas.microsoft.com/office/word/2010/wordprocessingShape">
                          <wps:wsp>
                            <wps:cNvSpPr txBox="1"/>
                            <wps:spPr>
                              <a:xfrm>
                                <a:off x="0" y="0"/>
                                <a:ext cx="567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290195" cy="175260"/>
                      <wp:effectExtent l="0" t="0" r="0" b="0"/>
                      <wp:wrapNone/>
                      <wp:docPr id="384" name="Frame384"/>
                      <a:graphic xmlns:a="http://schemas.openxmlformats.org/drawingml/2006/main">
                        <a:graphicData uri="http://schemas.microsoft.com/office/word/2010/wordprocessingShape">
                          <wps:wsp>
                            <wps:cNvSpPr txBox="1"/>
                            <wps:spPr>
                              <a:xfrm>
                                <a:off x="0" y="0"/>
                                <a:ext cx="290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177165" cy="175260"/>
                      <wp:effectExtent l="0" t="0" r="0" b="0"/>
                      <wp:wrapNone/>
                      <wp:docPr id="385" name="Frame385"/>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567690" cy="175260"/>
                      <wp:effectExtent l="0" t="0" r="0" b="0"/>
                      <wp:wrapNone/>
                      <wp:docPr id="386" name="Frame386"/>
                      <a:graphic xmlns:a="http://schemas.openxmlformats.org/drawingml/2006/main">
                        <a:graphicData uri="http://schemas.microsoft.com/office/word/2010/wordprocessingShape">
                          <wps:wsp>
                            <wps:cNvSpPr txBox="1"/>
                            <wps:spPr>
                              <a:xfrm>
                                <a:off x="0" y="0"/>
                                <a:ext cx="567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219710" cy="175260"/>
                      <wp:effectExtent l="0" t="0" r="0" b="0"/>
                      <wp:wrapNone/>
                      <wp:docPr id="387" name="Frame3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162560" cy="175260"/>
                      <wp:effectExtent l="0" t="0" r="0" b="0"/>
                      <wp:wrapNone/>
                      <wp:docPr id="388" name="Frame388"/>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521335" cy="175260"/>
                      <wp:effectExtent l="0" t="0" r="0" b="0"/>
                      <wp:wrapNone/>
                      <wp:docPr id="389" name="Frame389"/>
                      <a:graphic xmlns:a="http://schemas.openxmlformats.org/drawingml/2006/main">
                        <a:graphicData uri="http://schemas.microsoft.com/office/word/2010/wordprocessingShape">
                          <wps:wsp>
                            <wps:cNvSpPr txBox="1"/>
                            <wps:spPr>
                              <a:xfrm>
                                <a:off x="0" y="0"/>
                                <a:ext cx="521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266700" cy="175260"/>
                      <wp:effectExtent l="0" t="0" r="0" b="0"/>
                      <wp:wrapNone/>
                      <wp:docPr id="390" name="Frame390"/>
                      <a:graphic xmlns:a="http://schemas.openxmlformats.org/drawingml/2006/main">
                        <a:graphicData uri="http://schemas.microsoft.com/office/word/2010/wordprocessingShape">
                          <wps:wsp>
                            <wps:cNvSpPr txBox="1"/>
                            <wps:spPr>
                              <a:xfrm>
                                <a:off x="0" y="0"/>
                                <a:ext cx="266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162560" cy="175260"/>
                      <wp:effectExtent l="0" t="0" r="0" b="0"/>
                      <wp:wrapNone/>
                      <wp:docPr id="391" name="Frame391"/>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610235" cy="175260"/>
                      <wp:effectExtent l="0" t="0" r="0" b="0"/>
                      <wp:wrapNone/>
                      <wp:docPr id="392" name="Frame392"/>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80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June 30, </w:t>
            </w:r>
          </w:p>
        </w:tc>
        <w:tc>
          <w:tcPr>
            <w:tcW w:w="346" w:type="dxa"/>
            <w:tcBorders/>
            <w:vAlign w:val="center"/>
          </w:tcPr>
          <w:p>
            <w:pPr>
              <w:pStyle w:val="TableContents"/>
              <w:bidi w:val="0"/>
              <w:spacing w:before="0" w:after="0"/>
              <w:ind w:left="0" w:right="0" w:hanging="0"/>
              <w:jc w:val="left"/>
              <w:rPr/>
            </w:pPr>
            <w:r>
              <w:rPr/>
              <w:t>​</w:t>
            </w:r>
          </w:p>
        </w:tc>
        <w:tc>
          <w:tcPr>
            <w:tcW w:w="271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June 30,  </w:t>
            </w:r>
          </w:p>
        </w:tc>
      </w:tr>
      <w:tr>
        <w:trPr/>
        <w:tc>
          <w:tcPr>
            <w:tcW w:w="34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57" w:type="dxa"/>
            <w:tcBorders/>
            <w:vAlign w:val="center"/>
          </w:tcPr>
          <w:p>
            <w:pPr>
              <w:pStyle w:val="TableContents"/>
              <w:bidi w:val="0"/>
              <w:spacing w:before="0" w:after="0"/>
              <w:ind w:left="0" w:right="0" w:hanging="0"/>
              <w:jc w:val="left"/>
              <w:rPr/>
            </w:pPr>
            <w:r>
              <w:rPr/>
              <w:t>  ​ ​ ​</w:t>
            </w:r>
          </w:p>
        </w:tc>
        <w:tc>
          <w:tcPr>
            <w:tcW w:w="11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0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20" w:type="dxa"/>
            <w:tcBorders/>
            <w:vAlign w:val="center"/>
          </w:tcPr>
          <w:p>
            <w:pPr>
              <w:pStyle w:val="TableContents"/>
              <w:bidi w:val="0"/>
              <w:spacing w:before="0" w:after="0"/>
              <w:ind w:left="0" w:right="0" w:hanging="0"/>
              <w:jc w:val="left"/>
              <w:rPr/>
            </w:pPr>
            <w:r>
              <w:rPr/>
              <w:t>  ​ ​ ​</w:t>
            </w:r>
          </w:p>
        </w:tc>
        <w:tc>
          <w:tcPr>
            <w:tcW w:w="12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9423"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4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80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0"/>
              <w:ind w:left="0" w:right="0" w:hanging="0"/>
              <w:jc w:val="left"/>
              <w:rPr/>
            </w:pPr>
            <w:r>
              <w:rPr/>
              <w:t>​</w:t>
            </w:r>
          </w:p>
        </w:tc>
        <w:tc>
          <w:tcPr>
            <w:tcW w:w="271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center"/>
              <w:rPr/>
            </w:pPr>
            <w:r>
              <w:rPr/>
              <w:t>​</w:t>
            </w:r>
          </w:p>
        </w:tc>
        <w:tc>
          <w:tcPr>
            <w:tcW w:w="894" w:type="dxa"/>
            <w:tcBorders/>
            <w:shd w:fill="CCEEFF" w:val="clear"/>
            <w:vAlign w:val="center"/>
          </w:tcPr>
          <w:p>
            <w:pPr>
              <w:pStyle w:val="TableContents"/>
              <w:bidi w:val="0"/>
              <w:spacing w:before="0" w:after="0"/>
              <w:ind w:left="0" w:right="0" w:hanging="0"/>
              <w:jc w:val="center"/>
              <w:rPr/>
            </w:pPr>
            <w:r>
              <w:rPr/>
              <w:t>​</w:t>
            </w:r>
          </w:p>
        </w:tc>
        <w:tc>
          <w:tcPr>
            <w:tcW w:w="457" w:type="dxa"/>
            <w:tcBorders/>
            <w:shd w:fill="CCEEFF" w:val="clear"/>
            <w:vAlign w:val="center"/>
          </w:tcPr>
          <w:p>
            <w:pPr>
              <w:pStyle w:val="TableContents"/>
              <w:bidi w:val="0"/>
              <w:spacing w:before="0" w:after="0"/>
              <w:ind w:left="0" w:right="0" w:hanging="0"/>
              <w:jc w:val="center"/>
              <w:rPr/>
            </w:pPr>
            <w:r>
              <w:rPr/>
              <w:t>​</w:t>
            </w:r>
          </w:p>
        </w:tc>
        <w:tc>
          <w:tcPr>
            <w:tcW w:w="279" w:type="dxa"/>
            <w:tcBorders/>
            <w:shd w:fill="CCEEFF" w:val="clear"/>
            <w:vAlign w:val="center"/>
          </w:tcPr>
          <w:p>
            <w:pPr>
              <w:pStyle w:val="TableContents"/>
              <w:bidi w:val="0"/>
              <w:spacing w:before="0" w:after="0"/>
              <w:ind w:left="0" w:right="0" w:hanging="0"/>
              <w:jc w:val="center"/>
              <w:rPr/>
            </w:pPr>
            <w:r>
              <w:rPr/>
              <w:t>​</w:t>
            </w:r>
          </w:p>
        </w:tc>
        <w:tc>
          <w:tcPr>
            <w:tcW w:w="894"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center"/>
              <w:rPr/>
            </w:pPr>
            <w:r>
              <w:rPr/>
              <w:t>​</w:t>
            </w:r>
          </w:p>
        </w:tc>
        <w:tc>
          <w:tcPr>
            <w:tcW w:w="821" w:type="dxa"/>
            <w:tcBorders/>
            <w:shd w:fill="CCEEFF" w:val="clear"/>
            <w:vAlign w:val="center"/>
          </w:tcPr>
          <w:p>
            <w:pPr>
              <w:pStyle w:val="TableContents"/>
              <w:bidi w:val="0"/>
              <w:spacing w:before="0" w:after="0"/>
              <w:ind w:left="0" w:right="0" w:hanging="0"/>
              <w:jc w:val="center"/>
              <w:rPr/>
            </w:pPr>
            <w:r>
              <w:rPr/>
              <w:t>​</w:t>
            </w:r>
          </w:p>
        </w:tc>
        <w:tc>
          <w:tcPr>
            <w:tcW w:w="420" w:type="dxa"/>
            <w:tcBorders/>
            <w:shd w:fill="CCEEFF" w:val="clear"/>
            <w:vAlign w:val="center"/>
          </w:tcPr>
          <w:p>
            <w:pPr>
              <w:pStyle w:val="TableContents"/>
              <w:bidi w:val="0"/>
              <w:spacing w:before="0" w:after="0"/>
              <w:ind w:left="0" w:right="0" w:hanging="0"/>
              <w:jc w:val="center"/>
              <w:rPr/>
            </w:pPr>
            <w:r>
              <w:rPr/>
              <w:t>​</w:t>
            </w:r>
          </w:p>
        </w:tc>
        <w:tc>
          <w:tcPr>
            <w:tcW w:w="256" w:type="dxa"/>
            <w:tcBorders/>
            <w:shd w:fill="CCEEFF" w:val="clear"/>
            <w:vAlign w:val="center"/>
          </w:tcPr>
          <w:p>
            <w:pPr>
              <w:pStyle w:val="TableContents"/>
              <w:bidi w:val="0"/>
              <w:spacing w:before="0" w:after="0"/>
              <w:ind w:left="0" w:right="0" w:hanging="0"/>
              <w:jc w:val="center"/>
              <w:rPr/>
            </w:pPr>
            <w:r>
              <w:rPr/>
              <w:t>​</w:t>
            </w:r>
          </w:p>
        </w:tc>
        <w:tc>
          <w:tcPr>
            <w:tcW w:w="961" w:type="dxa"/>
            <w:tcBorders/>
            <w:shd w:fill="CCEEFF" w:val="clear"/>
            <w:vAlign w:val="center"/>
          </w:tcPr>
          <w:p>
            <w:pPr>
              <w:pStyle w:val="TableContents"/>
              <w:bidi w:val="0"/>
              <w:spacing w:before="0" w:after="0"/>
              <w:ind w:left="0" w:right="0" w:hanging="0"/>
              <w:jc w:val="center"/>
              <w:rPr/>
            </w:pPr>
            <w:r>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revenues, software subscriptions</w:t>
            </w:r>
          </w:p>
        </w:tc>
        <w:tc>
          <w:tcPr>
            <w:tcW w:w="109"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1,083</w:t>
            </w:r>
          </w:p>
        </w:tc>
        <w:tc>
          <w:tcPr>
            <w:tcW w:w="457"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1,233</w:t>
            </w:r>
          </w:p>
        </w:tc>
        <w:tc>
          <w:tcPr>
            <w:tcW w:w="34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2,828</w:t>
            </w:r>
          </w:p>
        </w:tc>
        <w:tc>
          <w:tcPr>
            <w:tcW w:w="420" w:type="dxa"/>
            <w:tcBorders/>
            <w:vAlign w:val="center"/>
          </w:tcPr>
          <w:p>
            <w:pPr>
              <w:pStyle w:val="TableContents"/>
              <w:bidi w:val="0"/>
              <w:spacing w:before="0" w:after="0"/>
              <w:ind w:left="0" w:right="0" w:hanging="0"/>
              <w:jc w:val="center"/>
              <w:rPr/>
            </w:pPr>
            <w:r>
              <w:rPr/>
              <w:t>​</w:t>
            </w:r>
          </w:p>
        </w:tc>
        <w:tc>
          <w:tcPr>
            <w:tcW w:w="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3,460</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revenues, services</w:t>
            </w:r>
          </w:p>
        </w:tc>
        <w:tc>
          <w:tcPr>
            <w:tcW w:w="109"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 </w:t>
            </w:r>
          </w:p>
        </w:tc>
        <w:tc>
          <w:tcPr>
            <w:tcW w:w="8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934</w:t>
            </w:r>
          </w:p>
        </w:tc>
        <w:tc>
          <w:tcPr>
            <w:tcW w:w="457"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 </w:t>
            </w:r>
          </w:p>
        </w:tc>
        <w:tc>
          <w:tcPr>
            <w:tcW w:w="8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1,024</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 </w:t>
            </w:r>
          </w:p>
        </w:tc>
        <w:tc>
          <w:tcPr>
            <w:tcW w:w="8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2,605</w:t>
            </w:r>
          </w:p>
        </w:tc>
        <w:tc>
          <w:tcPr>
            <w:tcW w:w="420" w:type="dxa"/>
            <w:tcBorders/>
            <w:shd w:fill="CCEEFF" w:val="clear"/>
            <w:vAlign w:val="center"/>
          </w:tcPr>
          <w:p>
            <w:pPr>
              <w:pStyle w:val="TableContents"/>
              <w:bidi w:val="0"/>
              <w:spacing w:before="0" w:after="0"/>
              <w:ind w:left="0" w:right="0" w:hanging="0"/>
              <w:jc w:val="center"/>
              <w:rPr/>
            </w:pPr>
            <w:r>
              <w:rPr/>
              <w:t>​</w:t>
            </w:r>
          </w:p>
        </w:tc>
        <w:tc>
          <w:tcPr>
            <w:tcW w:w="25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2,720</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109"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 </w:t>
            </w:r>
          </w:p>
        </w:tc>
        <w:tc>
          <w:tcPr>
            <w:tcW w:w="8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2,440</w:t>
            </w:r>
          </w:p>
        </w:tc>
        <w:tc>
          <w:tcPr>
            <w:tcW w:w="457"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 </w:t>
            </w:r>
          </w:p>
        </w:tc>
        <w:tc>
          <w:tcPr>
            <w:tcW w:w="8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2,512</w:t>
            </w:r>
          </w:p>
        </w:tc>
        <w:tc>
          <w:tcPr>
            <w:tcW w:w="34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 </w:t>
            </w:r>
          </w:p>
        </w:tc>
        <w:tc>
          <w:tcPr>
            <w:tcW w:w="8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6,306</w:t>
            </w:r>
          </w:p>
        </w:tc>
        <w:tc>
          <w:tcPr>
            <w:tcW w:w="420" w:type="dxa"/>
            <w:tcBorders/>
            <w:vAlign w:val="center"/>
          </w:tcPr>
          <w:p>
            <w:pPr>
              <w:pStyle w:val="TableContents"/>
              <w:bidi w:val="0"/>
              <w:spacing w:before="0" w:after="0"/>
              <w:ind w:left="0" w:right="0" w:hanging="0"/>
              <w:jc w:val="center"/>
              <w:rPr/>
            </w:pPr>
            <w:r>
              <w:rPr/>
              <w:t>​</w:t>
            </w:r>
          </w:p>
        </w:tc>
        <w:tc>
          <w:tcPr>
            <w:tcW w:w="25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6,864</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w:t>
            </w:r>
          </w:p>
        </w:tc>
        <w:tc>
          <w:tcPr>
            <w:tcW w:w="109"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 </w:t>
            </w:r>
          </w:p>
        </w:tc>
        <w:tc>
          <w:tcPr>
            <w:tcW w:w="8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4,297</w:t>
            </w:r>
          </w:p>
        </w:tc>
        <w:tc>
          <w:tcPr>
            <w:tcW w:w="457"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 </w:t>
            </w:r>
          </w:p>
        </w:tc>
        <w:tc>
          <w:tcPr>
            <w:tcW w:w="8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3,235</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 </w:t>
            </w:r>
          </w:p>
        </w:tc>
        <w:tc>
          <w:tcPr>
            <w:tcW w:w="8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9,640</w:t>
            </w:r>
          </w:p>
        </w:tc>
        <w:tc>
          <w:tcPr>
            <w:tcW w:w="420" w:type="dxa"/>
            <w:tcBorders/>
            <w:shd w:fill="CCEEFF" w:val="clear"/>
            <w:vAlign w:val="center"/>
          </w:tcPr>
          <w:p>
            <w:pPr>
              <w:pStyle w:val="TableContents"/>
              <w:bidi w:val="0"/>
              <w:spacing w:before="0" w:after="0"/>
              <w:ind w:left="0" w:right="0" w:hanging="0"/>
              <w:jc w:val="center"/>
              <w:rPr/>
            </w:pPr>
            <w:r>
              <w:rPr/>
              <w:t>​</w:t>
            </w:r>
          </w:p>
        </w:tc>
        <w:tc>
          <w:tcPr>
            <w:tcW w:w="25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9,041</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109" w:type="dxa"/>
            <w:tcBorders/>
            <w:vAlign w:val="center"/>
          </w:tcPr>
          <w:p>
            <w:pPr>
              <w:pStyle w:val="TableContents"/>
              <w:bidi w:val="0"/>
              <w:spacing w:before="0" w:after="0"/>
              <w:ind w:left="0" w:right="0" w:hanging="0"/>
              <w:jc w:val="left"/>
              <w:rPr/>
            </w:pPr>
            <w:r>
              <w:rPr/>
              <w:t>​</w:t>
            </w:r>
          </w:p>
        </w:tc>
        <w:tc>
          <w:tcPr>
            <w:tcW w:w="27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5,008</w:t>
            </w:r>
          </w:p>
        </w:tc>
        <w:tc>
          <w:tcPr>
            <w:tcW w:w="457" w:type="dxa"/>
            <w:tcBorders/>
            <w:vAlign w:val="center"/>
          </w:tcPr>
          <w:p>
            <w:pPr>
              <w:pStyle w:val="TableContents"/>
              <w:bidi w:val="0"/>
              <w:spacing w:before="0" w:after="0"/>
              <w:ind w:left="0" w:right="0" w:hanging="0"/>
              <w:jc w:val="left"/>
              <w:rPr/>
            </w:pPr>
            <w:r>
              <w:rPr/>
              <w:t>​</w:t>
            </w:r>
          </w:p>
        </w:tc>
        <w:tc>
          <w:tcPr>
            <w:tcW w:w="27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3,986</w:t>
            </w:r>
          </w:p>
        </w:tc>
        <w:tc>
          <w:tcPr>
            <w:tcW w:w="346" w:type="dxa"/>
            <w:tcBorders/>
            <w:vAlign w:val="center"/>
          </w:tcPr>
          <w:p>
            <w:pPr>
              <w:pStyle w:val="TableContents"/>
              <w:bidi w:val="0"/>
              <w:spacing w:before="0" w:after="0"/>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10,891</w:t>
            </w:r>
          </w:p>
        </w:tc>
        <w:tc>
          <w:tcPr>
            <w:tcW w:w="420" w:type="dxa"/>
            <w:tcBorders/>
            <w:vAlign w:val="center"/>
          </w:tcPr>
          <w:p>
            <w:pPr>
              <w:pStyle w:val="TableContents"/>
              <w:bidi w:val="0"/>
              <w:spacing w:before="0" w:after="0"/>
              <w:ind w:left="0" w:right="0" w:hanging="0"/>
              <w:jc w:val="center"/>
              <w:rPr/>
            </w:pPr>
            <w:r>
              <w:rPr/>
              <w:t>​</w:t>
            </w:r>
          </w:p>
        </w:tc>
        <w:tc>
          <w:tcPr>
            <w:tcW w:w="25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10,949</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stock-based compensation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7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13,762</w:t>
            </w:r>
          </w:p>
        </w:tc>
        <w:tc>
          <w:tcPr>
            <w:tcW w:w="457" w:type="dxa"/>
            <w:tcBorders/>
            <w:shd w:fill="CCEEFF" w:val="clear"/>
            <w:vAlign w:val="center"/>
          </w:tcPr>
          <w:p>
            <w:pPr>
              <w:pStyle w:val="TableContents"/>
              <w:bidi w:val="0"/>
              <w:spacing w:before="0" w:after="0"/>
              <w:ind w:left="0" w:right="0" w:hanging="0"/>
              <w:jc w:val="left"/>
              <w:rPr/>
            </w:pPr>
            <w:r>
              <w:rPr/>
              <w:t>​</w:t>
            </w:r>
          </w:p>
        </w:tc>
        <w:tc>
          <w:tcPr>
            <w:tcW w:w="27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11,990</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32,270</w:t>
            </w:r>
          </w:p>
        </w:tc>
        <w:tc>
          <w:tcPr>
            <w:tcW w:w="420" w:type="dxa"/>
            <w:tcBorders/>
            <w:shd w:fill="CCEEFF" w:val="clear"/>
            <w:vAlign w:val="center"/>
          </w:tcPr>
          <w:p>
            <w:pPr>
              <w:pStyle w:val="TableContents"/>
              <w:bidi w:val="0"/>
              <w:spacing w:before="0" w:after="0"/>
              <w:ind w:left="0" w:right="0" w:hanging="0"/>
              <w:jc w:val="left"/>
              <w:rPr/>
            </w:pPr>
            <w:r>
              <w:rPr/>
              <w:t>​</w:t>
            </w:r>
          </w:p>
        </w:tc>
        <w:tc>
          <w:tcPr>
            <w:tcW w:w="25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33,034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12.   COMMITMENTS AND CONTINGENCIES</w:t>
      </w:r>
      <w:r>
        <w:rPr>
          <w:rFonts w:ascii="Times New Roman;Times;serif" w:hAnsi="Times New Roman;Times;serif"/>
          <w:b/>
          <w:color w:val="FF0000"/>
          <w:sz w:val="20"/>
        </w:rPr>
        <w:t xml:space="preserve">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January 2022, the Company filed a complaint against a competitor alleging claims of unfair competition, intentional interference with contractual relations, and trade secret misappropriation. The outcome of the case is subject to a number of uncertainties; therefore, the Company has not recognized any potential impact to the condensed consolidated financial statements related to the outcome of the case.</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766" w:type="dxa"/>
        <w:jc w:val="left"/>
        <w:tblInd w:w="0" w:type="dxa"/>
        <w:tblLayout w:type="fixed"/>
        <w:tblCellMar>
          <w:top w:w="0" w:type="dxa"/>
          <w:left w:w="0" w:type="dxa"/>
          <w:bottom w:w="0" w:type="dxa"/>
          <w:right w:w="0" w:type="dxa"/>
        </w:tblCellMar>
      </w:tblPr>
      <w:tblGrid>
        <w:gridCol w:w="6766"/>
      </w:tblGrid>
      <w:tr>
        <w:trPr/>
        <w:tc>
          <w:tcPr>
            <w:tcW w:w="6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During the three months ended June 30, 2026 and 2025, the Company recognized $1,056 and $2,883, respectively, and during the six months ended June 30, 2026 and 2025, the Company recognized $3,783 and $5,308, respectively, for legal expenses associated with the case within the other operating expense, net line of the condensed consolidated statements of comprehensive income (loss). </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may become involved in various lawsuits and legal proceedings, which arise in the ordinary course of business. However, litigation is subject to inherent uncertainties, and an adverse result in these or other matters may arise from time to time that may harm the Company’s business. The Company is not aware of any such legal proceedings or claims that management believes will have a material adverse effect on its business, financial condition, or operating results.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13.   SEGMENT DISCLOSURES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operates its business as one operating segment. Operating segments are defined as components of an enterprise in which separate financial information is evaluated regularly by the chief operating decision maker (“CODM”) in deciding how to allocate resources and assess performance. The Company’s CODM, the Chief Executive Officer, reviews financial information regularly at the consolidated level. Net income (loss) and adjusted earnings before interest, taxes, depreciation, and amortization (“Adjusted EBITDA”), a non-GAAP measure, are both used as metrics to evaluate performance of the business in deciding whether to reinvest profits into software development, acquisitions or into other areas of the Company. The Company believes that Adjusted EBITDA is a useful supplemental measure to evaluate overall operating performance as it measures business performance by focusing on cash related results and it is an important metric to lenders under the Company’s Credit Agreement. The most directly comparable GAAP measure to Adjusted EBITDA is net income (loss). </w:t>
      </w:r>
    </w:p>
    <w:p>
      <w:pPr>
        <w:pStyle w:val="TextBody"/>
        <w:bidi w:val="0"/>
        <w:spacing w:before="0" w:after="240"/>
        <w:ind w:left="0" w:right="0" w:firstLine="72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CODM monitors consolidated forecasted versus actual net income (loss) and Adjusted EBITDA results for the purpose of determining the general health of the Company and assessing the performance of the Company as compared to management’s expectations.</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766" w:type="dxa"/>
        <w:jc w:val="left"/>
        <w:tblInd w:w="0" w:type="dxa"/>
        <w:tblLayout w:type="fixed"/>
        <w:tblCellMar>
          <w:top w:w="0" w:type="dxa"/>
          <w:left w:w="0" w:type="dxa"/>
          <w:bottom w:w="0" w:type="dxa"/>
          <w:right w:w="0" w:type="dxa"/>
        </w:tblCellMar>
      </w:tblPr>
      <w:tblGrid>
        <w:gridCol w:w="6766"/>
      </w:tblGrid>
      <w:tr>
        <w:trPr/>
        <w:tc>
          <w:tcPr>
            <w:tcW w:w="6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bookmarkStart w:id="2141" w:name="Tc_abvyzPS-akuZw1nARTKGPQ_34_0"/>
      <w:bookmarkStart w:id="2142" w:name="Tc_VD5SVX3H9Um90qQNS7Q9hA_33_0"/>
      <w:bookmarkStart w:id="2143" w:name="Tc_0TMhuW9W80m9O_sFqCLIHA_32_0"/>
      <w:bookmarkStart w:id="2144" w:name="Tc_MLI7YE5Qg02gU302AkIXnw_31_0"/>
      <w:bookmarkStart w:id="2145" w:name="Tc_RN43qWzC40aY2wx4eUaK-A_30_10"/>
      <w:bookmarkStart w:id="2146" w:name="Tc_5u6tarCyo06CC20Xjf2EIQ_30_7"/>
      <w:bookmarkStart w:id="2147" w:name="Tc_RNUW8zpzP0OOpsW4ygKBeQ_30_4"/>
      <w:bookmarkStart w:id="2148" w:name="Tc_50aO184lekG4A-XxIqiTLg_30_1"/>
      <w:bookmarkStart w:id="2149" w:name="Tc_rVvndIyUEUu70mEgIlXL6Q_30_0"/>
      <w:bookmarkStart w:id="2150" w:name="Tc_5xd5S0otmEWV_33z-DO3jA_29_0"/>
      <w:bookmarkStart w:id="2151" w:name="Tc_bCRbm55ZFkyrkGNv0o6ugA_28_11"/>
      <w:bookmarkStart w:id="2152" w:name="Tc_gCt0NQKSc0i07uF2-tvG_g_28_5"/>
      <w:bookmarkStart w:id="2153" w:name="Tc_R1thmqI0sUGyDie3BenZUA_28_0"/>
      <w:bookmarkStart w:id="2154" w:name="Tc_6wNd_GjFfUSo1n7k9l8vtQ_27_0"/>
      <w:bookmarkStart w:id="2155" w:name="Tc_NpLfBQc53E2meZ9F00G5eA_26_8"/>
      <w:bookmarkStart w:id="2156" w:name="Tc_6mtkv54aEEWfNgpY5v-pZg_26_2"/>
      <w:bookmarkStart w:id="2157" w:name="Tc_N3c5fvMF-UaGJcezNhn-iQ_26_0"/>
      <w:bookmarkStart w:id="2158" w:name="Tc_tzu5xDV0Uk6pYTqeXYd63w_25_0"/>
      <w:bookmarkStart w:id="2159" w:name="Tc_-g2lWAQjm0O2wayStzFfrg_24_0"/>
      <w:bookmarkStart w:id="2160" w:name="Tc_GmtJW_DKOEWTluec4iXjYw_23_0"/>
      <w:bookmarkStart w:id="2161" w:name="Tc_xZxXbviBFkOu6R1mG3xyPQ_22_0"/>
      <w:bookmarkStart w:id="2162" w:name="Tc_OJrx2cQpV0G3yHTu_YvJoA_21_0"/>
      <w:bookmarkStart w:id="2163" w:name="Tc_Cajk9dLN60GzMZ71J4_g0Q_20_0"/>
      <w:bookmarkStart w:id="2164" w:name="Tc_7o0CXcTG20ueIBr-3lRJsQ_19_0"/>
      <w:bookmarkStart w:id="2165" w:name="Tc_AIG2DI8l10GDWTTsufQVKg_18_0"/>
      <w:bookmarkStart w:id="2166" w:name="Tc_XoSc0l5a9EG3UO-ATBmwsQ_17_0"/>
      <w:bookmarkStart w:id="2167" w:name="Tc_wiIJhb2ztUKqFbACL3CulA_16_10"/>
      <w:bookmarkStart w:id="2168" w:name="Tc_rLTEnHKG80KkgAb_At415A_16_7"/>
      <w:bookmarkStart w:id="2169" w:name="Tc_Y-psq3ln9kmH-FQnTqcX8A_16_4"/>
      <w:bookmarkStart w:id="2170" w:name="Tc_NgG5_V7tmUKkqfvsZgtnIA_16_1"/>
      <w:bookmarkStart w:id="2171" w:name="Tc_-J1HSa5YTU-l4yovt4Q5wg_16_0"/>
      <w:bookmarkStart w:id="2172" w:name="Tc_Kk4ihZwy9kmn6QJSkYt1Sw_15_0"/>
      <w:bookmarkStart w:id="2173" w:name="Tc_1SnPB8oPlUOdeAJHZbPy0Q_14_0"/>
      <w:bookmarkStart w:id="2174" w:name="Tc_AlNtVyTfQ0S6VjP0isLOyw_13_0"/>
      <w:bookmarkStart w:id="2175" w:name="Tc_OqQ5T8zZSE-OEGoafk_JCg_12_0"/>
      <w:bookmarkStart w:id="2176" w:name="Tc_c9ltmw_d102wkqP1QnBWPA_11_0"/>
      <w:bookmarkStart w:id="2177" w:name="Tc_iEl0klUAQECAbtz8cr1rVg_10_0"/>
      <w:bookmarkStart w:id="2178" w:name="Tc_bWGu-64FMEKa08Z6eVbZ8Q_9_0"/>
      <w:bookmarkStart w:id="2179" w:name="Tc_xyO53cgnRE2jykYif4AWxQ_8_0"/>
      <w:bookmarkStart w:id="2180" w:name="Tc_7nCaeuL62UGgOCEJLTSzSg_7_0"/>
      <w:bookmarkStart w:id="2181" w:name="Tc_ZpU3EL1e50iVMSDpmbvVgg_6_0"/>
      <w:bookmarkStart w:id="2182" w:name="Tc_wJNnzELqn0SUq15wa5ONkw_5_0"/>
      <w:bookmarkStart w:id="2183" w:name="Tc_hpMJVW2nIUauW__NWUx1tw_4_10"/>
      <w:bookmarkStart w:id="2184" w:name="Tc_DFB4y98RmEaVWWCsMGGFrw_4_7"/>
      <w:bookmarkStart w:id="2185" w:name="Tc_L5Jn4o2GSkulMQlyjsf20w_4_4"/>
      <w:bookmarkStart w:id="2186" w:name="Tc_V1-F3R9bE0OdEhI37doy4A_4_1"/>
      <w:bookmarkStart w:id="2187" w:name="Tc_DdJrvHigfk6ekCr8H1OCCQ_4_0"/>
      <w:bookmarkStart w:id="2188" w:name="Tc_UFEudYnjTEy67X_ZUMgKmA_3_7"/>
      <w:bookmarkStart w:id="2189" w:name="Tc_53SiZ8z3UkKLeCFqlee9XA_3_1"/>
      <w:bookmarkStart w:id="2190" w:name="Tc_dCX7UeVHuk-A4B4OOJXd8w_2_10"/>
      <w:bookmarkStart w:id="2191" w:name="Tc_oEwUmid5okWLnTSEoNENMA_2_7"/>
      <w:bookmarkStart w:id="2192" w:name="Tc__XA7OvjrlkiI_g5ayYj7RQ_2_4"/>
      <w:bookmarkStart w:id="2193" w:name="Tc_cUR74vLjiE6HIpaBDl0bTQ_2_1"/>
      <w:bookmarkStart w:id="2194" w:name="Tc_He5ePNHa0E-DSvjKsvVWoQ_1_7"/>
      <w:bookmarkStart w:id="2195" w:name="Tc_TJcUTnY1f0OVbLy6lLRBtg_1_1"/>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r>
        <w:rPr>
          <w:rFonts w:ascii="Times New Roman;Times;serif" w:hAnsi="Times New Roman;Times;serif"/>
          <w:sz w:val="20"/>
        </w:rPr>
        <w:t>The following significant expense categories and measures of segment income (loss) are regularly reported to the CODM for the Company’s single segment:</w:t>
      </w:r>
    </w:p>
    <w:p>
      <w:pPr>
        <w:pStyle w:val="TextBody"/>
        <w:bidi w:val="0"/>
        <w:spacing w:before="0" w:after="240"/>
        <w:ind w:left="0" w:right="0" w:firstLine="720"/>
        <w:jc w:val="both"/>
        <w:rPr/>
      </w:pPr>
      <w:r>
        <w:rPr/>
        <w:t>​</w:t>
      </w:r>
    </w:p>
    <w:tbl>
      <w:tblPr>
        <w:tblW w:w="10205" w:type="dxa"/>
        <w:jc w:val="left"/>
        <w:tblInd w:w="0" w:type="dxa"/>
        <w:tblLayout w:type="fixed"/>
        <w:tblCellMar>
          <w:top w:w="0" w:type="dxa"/>
          <w:left w:w="0" w:type="dxa"/>
          <w:bottom w:w="0" w:type="dxa"/>
          <w:right w:w="0" w:type="dxa"/>
        </w:tblCellMar>
      </w:tblPr>
      <w:tblGrid>
        <w:gridCol w:w="4596"/>
        <w:gridCol w:w="282"/>
        <w:gridCol w:w="1015"/>
        <w:gridCol w:w="156"/>
        <w:gridCol w:w="282"/>
        <w:gridCol w:w="997"/>
        <w:gridCol w:w="136"/>
        <w:gridCol w:w="274"/>
        <w:gridCol w:w="986"/>
        <w:gridCol w:w="152"/>
        <w:gridCol w:w="274"/>
        <w:gridCol w:w="1055"/>
      </w:tblGrid>
      <w:tr>
        <w:trPr/>
        <w:tc>
          <w:tcPr>
            <w:tcW w:w="4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2918460" cy="175260"/>
                      <wp:effectExtent l="0" t="0" r="0" b="0"/>
                      <wp:wrapNone/>
                      <wp:docPr id="393" name="Frame393"/>
                      <a:graphic xmlns:a="http://schemas.openxmlformats.org/drawingml/2006/main">
                        <a:graphicData uri="http://schemas.microsoft.com/office/word/2010/wordprocessingShape">
                          <wps:wsp>
                            <wps:cNvSpPr txBox="1"/>
                            <wps:spPr>
                              <a:xfrm>
                                <a:off x="0" y="0"/>
                                <a:ext cx="291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179070" cy="175260"/>
                      <wp:effectExtent l="0" t="0" r="0" b="0"/>
                      <wp:wrapNone/>
                      <wp:docPr id="394" name="Frame394"/>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644525" cy="175260"/>
                      <wp:effectExtent l="0" t="0" r="0" b="0"/>
                      <wp:wrapNone/>
                      <wp:docPr id="395" name="Frame395"/>
                      <a:graphic xmlns:a="http://schemas.openxmlformats.org/drawingml/2006/main">
                        <a:graphicData uri="http://schemas.microsoft.com/office/word/2010/wordprocessingShape">
                          <wps:wsp>
                            <wps:cNvSpPr txBox="1"/>
                            <wps:spPr>
                              <a:xfrm>
                                <a:off x="0" y="0"/>
                                <a:ext cx="644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99060" cy="175260"/>
                      <wp:effectExtent l="0" t="0" r="0" b="0"/>
                      <wp:wrapNone/>
                      <wp:docPr id="396" name="Frame396"/>
                      <a:graphic xmlns:a="http://schemas.openxmlformats.org/drawingml/2006/main">
                        <a:graphicData uri="http://schemas.microsoft.com/office/word/2010/wordprocessingShape">
                          <wps:wsp>
                            <wps:cNvSpPr txBox="1"/>
                            <wps:spPr>
                              <a:xfrm>
                                <a:off x="0" y="0"/>
                                <a:ext cx="99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179070" cy="175260"/>
                      <wp:effectExtent l="0" t="0" r="0" b="0"/>
                      <wp:wrapNone/>
                      <wp:docPr id="397" name="Frame397"/>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633095" cy="175260"/>
                      <wp:effectExtent l="0" t="0" r="0" b="0"/>
                      <wp:wrapNone/>
                      <wp:docPr id="398" name="Frame398"/>
                      <a:graphic xmlns:a="http://schemas.openxmlformats.org/drawingml/2006/main">
                        <a:graphicData uri="http://schemas.microsoft.com/office/word/2010/wordprocessingShape">
                          <wps:wsp>
                            <wps:cNvSpPr txBox="1"/>
                            <wps:spPr>
                              <a:xfrm>
                                <a:off x="0" y="0"/>
                                <a:ext cx="633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86360" cy="175260"/>
                      <wp:effectExtent l="0" t="0" r="0" b="0"/>
                      <wp:wrapNone/>
                      <wp:docPr id="399" name="Frame399"/>
                      <a:graphic xmlns:a="http://schemas.openxmlformats.org/drawingml/2006/main">
                        <a:graphicData uri="http://schemas.microsoft.com/office/word/2010/wordprocessingShape">
                          <wps:wsp>
                            <wps:cNvSpPr txBox="1"/>
                            <wps:spPr>
                              <a:xfrm>
                                <a:off x="0" y="0"/>
                                <a:ext cx="86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173990" cy="175260"/>
                      <wp:effectExtent l="0" t="0" r="0" b="0"/>
                      <wp:wrapNone/>
                      <wp:docPr id="400" name="Frame400"/>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626110" cy="175260"/>
                      <wp:effectExtent l="0" t="0" r="0" b="0"/>
                      <wp:wrapNone/>
                      <wp:docPr id="401" name="Frame401"/>
                      <a:graphic xmlns:a="http://schemas.openxmlformats.org/drawingml/2006/main">
                        <a:graphicData uri="http://schemas.microsoft.com/office/word/2010/wordprocessingShape">
                          <wps:wsp>
                            <wps:cNvSpPr txBox="1"/>
                            <wps:spPr>
                              <a:xfrm>
                                <a:off x="0" y="0"/>
                                <a:ext cx="626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96520" cy="175260"/>
                      <wp:effectExtent l="0" t="0" r="0" b="0"/>
                      <wp:wrapNone/>
                      <wp:docPr id="402" name="Frame402"/>
                      <a:graphic xmlns:a="http://schemas.openxmlformats.org/drawingml/2006/main">
                        <a:graphicData uri="http://schemas.microsoft.com/office/word/2010/wordprocessingShape">
                          <wps:wsp>
                            <wps:cNvSpPr txBox="1"/>
                            <wps:spPr>
                              <a:xfrm>
                                <a:off x="0" y="0"/>
                                <a:ext cx="96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173990" cy="175260"/>
                      <wp:effectExtent l="0" t="0" r="0" b="0"/>
                      <wp:wrapNone/>
                      <wp:docPr id="403" name="Frame403"/>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669925" cy="175260"/>
                      <wp:effectExtent l="0" t="0" r="0" b="0"/>
                      <wp:wrapNone/>
                      <wp:docPr id="404" name="Frame404"/>
                      <a:graphic xmlns:a="http://schemas.openxmlformats.org/drawingml/2006/main">
                        <a:graphicData uri="http://schemas.microsoft.com/office/word/2010/wordprocessingShape">
                          <wps:wsp>
                            <wps:cNvSpPr txBox="1"/>
                            <wps:spPr>
                              <a:xfrm>
                                <a:off x="0" y="0"/>
                                <a:ext cx="669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96" w:type="dxa"/>
            <w:tcBorders/>
            <w:vAlign w:val="center"/>
          </w:tcPr>
          <w:p>
            <w:pPr>
              <w:pStyle w:val="TableContents"/>
              <w:bidi w:val="0"/>
              <w:spacing w:before="0" w:after="0"/>
              <w:ind w:left="0" w:right="0" w:hanging="0"/>
              <w:jc w:val="left"/>
              <w:rPr/>
            </w:pPr>
            <w:r>
              <w:rPr/>
              <w:t>​</w:t>
            </w:r>
          </w:p>
        </w:tc>
        <w:tc>
          <w:tcPr>
            <w:tcW w:w="273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June 30, </w:t>
            </w:r>
          </w:p>
        </w:tc>
        <w:tc>
          <w:tcPr>
            <w:tcW w:w="136" w:type="dxa"/>
            <w:tcBorders/>
            <w:vAlign w:val="center"/>
          </w:tcPr>
          <w:p>
            <w:pPr>
              <w:pStyle w:val="TableContents"/>
              <w:bidi w:val="0"/>
              <w:spacing w:before="0" w:after="0"/>
              <w:ind w:left="0" w:right="0" w:hanging="0"/>
              <w:jc w:val="left"/>
              <w:rPr/>
            </w:pPr>
            <w:r>
              <w:rPr/>
              <w:t>​</w:t>
            </w:r>
          </w:p>
        </w:tc>
        <w:tc>
          <w:tcPr>
            <w:tcW w:w="274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June 30,  </w:t>
            </w:r>
          </w:p>
        </w:tc>
      </w:tr>
      <w:tr>
        <w:trPr/>
        <w:tc>
          <w:tcPr>
            <w:tcW w:w="4596" w:type="dxa"/>
            <w:tcBorders/>
            <w:vAlign w:val="center"/>
          </w:tcPr>
          <w:p>
            <w:pPr>
              <w:pStyle w:val="TableContents"/>
              <w:bidi w:val="0"/>
              <w:spacing w:before="0" w:after="0"/>
              <w:ind w:left="0" w:right="0" w:hanging="0"/>
              <w:jc w:val="left"/>
              <w:rPr/>
            </w:pPr>
            <w:r>
              <w:rPr/>
              <w:t>​</w:t>
            </w:r>
          </w:p>
        </w:tc>
        <w:tc>
          <w:tcPr>
            <w:tcW w:w="12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56" w:type="dxa"/>
            <w:tcBorders/>
            <w:vAlign w:val="center"/>
          </w:tcPr>
          <w:p>
            <w:pPr>
              <w:pStyle w:val="TableContents"/>
              <w:bidi w:val="0"/>
              <w:spacing w:before="0" w:after="0"/>
              <w:ind w:left="0" w:right="0" w:hanging="0"/>
              <w:jc w:val="center"/>
              <w:rPr/>
            </w:pPr>
            <w:r>
              <w:rPr/>
              <w:t>​</w:t>
            </w:r>
          </w:p>
        </w:tc>
        <w:tc>
          <w:tcPr>
            <w:tcW w:w="12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36" w:type="dxa"/>
            <w:tcBorders/>
            <w:vAlign w:val="center"/>
          </w:tcPr>
          <w:p>
            <w:pPr>
              <w:pStyle w:val="TableContents"/>
              <w:bidi w:val="0"/>
              <w:spacing w:before="0" w:after="0"/>
              <w:ind w:left="0" w:right="0" w:hanging="0"/>
              <w:jc w:val="left"/>
              <w:rPr/>
            </w:pPr>
            <w:r>
              <w:rPr/>
              <w:t>​</w:t>
            </w:r>
          </w:p>
        </w:tc>
        <w:tc>
          <w:tcPr>
            <w:tcW w:w="12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52" w:type="dxa"/>
            <w:tcBorders/>
            <w:vAlign w:val="center"/>
          </w:tcPr>
          <w:p>
            <w:pPr>
              <w:pStyle w:val="TableContents"/>
              <w:bidi w:val="0"/>
              <w:spacing w:before="0" w:after="0"/>
              <w:ind w:left="0" w:right="0" w:hanging="0"/>
              <w:jc w:val="center"/>
              <w:rPr/>
            </w:pPr>
            <w:r>
              <w:rPr/>
              <w:t>​</w:t>
            </w:r>
          </w:p>
        </w:tc>
        <w:tc>
          <w:tcPr>
            <w:tcW w:w="13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0205"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4596" w:type="dxa"/>
            <w:tcBorders/>
            <w:vAlign w:val="center"/>
          </w:tcPr>
          <w:p>
            <w:pPr>
              <w:pStyle w:val="TableContents"/>
              <w:bidi w:val="0"/>
              <w:spacing w:before="0" w:after="0"/>
              <w:ind w:left="0" w:right="0" w:hanging="0"/>
              <w:jc w:val="left"/>
              <w:rPr/>
            </w:pPr>
            <w:r>
              <w:rPr/>
              <w:t>​</w:t>
            </w:r>
          </w:p>
        </w:tc>
        <w:tc>
          <w:tcPr>
            <w:tcW w:w="2732"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36" w:type="dxa"/>
            <w:tcBorders/>
            <w:vAlign w:val="center"/>
          </w:tcPr>
          <w:p>
            <w:pPr>
              <w:pStyle w:val="TableContents"/>
              <w:bidi w:val="0"/>
              <w:spacing w:before="0" w:after="0"/>
              <w:ind w:left="0" w:right="0" w:hanging="0"/>
              <w:jc w:val="left"/>
              <w:rPr/>
            </w:pPr>
            <w:r>
              <w:rPr/>
              <w:t>​</w:t>
            </w:r>
          </w:p>
        </w:tc>
        <w:tc>
          <w:tcPr>
            <w:tcW w:w="2741"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459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Revenues</w:t>
            </w:r>
          </w:p>
        </w:tc>
        <w:tc>
          <w:tcPr>
            <w:tcW w:w="282"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101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203,970</w:t>
            </w:r>
          </w:p>
        </w:tc>
        <w:tc>
          <w:tcPr>
            <w:tcW w:w="156" w:type="dxa"/>
            <w:tcBorders/>
            <w:shd w:fill="CCEEFF" w:val="clear"/>
            <w:vAlign w:val="center"/>
          </w:tcPr>
          <w:p>
            <w:pPr>
              <w:pStyle w:val="TableContents"/>
              <w:bidi w:val="0"/>
              <w:spacing w:before="0" w:after="0"/>
              <w:ind w:left="0" w:right="0" w:hanging="0"/>
              <w:jc w:val="right"/>
              <w:rPr/>
            </w:pPr>
            <w:r>
              <w:rPr/>
              <w:t>​</w:t>
            </w:r>
          </w:p>
        </w:tc>
        <w:tc>
          <w:tcPr>
            <w:tcW w:w="282"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99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184,559</w:t>
            </w:r>
          </w:p>
        </w:tc>
        <w:tc>
          <w:tcPr>
            <w:tcW w:w="13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98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400,616</w:t>
            </w:r>
          </w:p>
        </w:tc>
        <w:tc>
          <w:tcPr>
            <w:tcW w:w="152" w:type="dxa"/>
            <w:tcBorders/>
            <w:shd w:fill="CCEEFF" w:val="clear"/>
            <w:vAlign w:val="center"/>
          </w:tcPr>
          <w:p>
            <w:pPr>
              <w:pStyle w:val="TableContents"/>
              <w:bidi w:val="0"/>
              <w:spacing w:before="0" w:after="0"/>
              <w:ind w:left="0" w:right="0" w:hanging="0"/>
              <w:jc w:val="right"/>
              <w:rPr/>
            </w:pPr>
            <w:r>
              <w:rPr/>
              <w:t>​</w:t>
            </w:r>
          </w:p>
        </w:tc>
        <w:tc>
          <w:tcPr>
            <w:tcW w:w="274"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105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361,621</w:t>
            </w:r>
          </w:p>
        </w:tc>
      </w:tr>
      <w:tr>
        <w:trPr/>
        <w:tc>
          <w:tcPr>
            <w:tcW w:w="459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Less:</w:t>
            </w:r>
          </w:p>
        </w:tc>
        <w:tc>
          <w:tcPr>
            <w:tcW w:w="282" w:type="dxa"/>
            <w:tcBorders/>
            <w:vAlign w:val="center"/>
          </w:tcPr>
          <w:p>
            <w:pPr>
              <w:pStyle w:val="TableContents"/>
              <w:bidi w:val="0"/>
              <w:spacing w:before="0" w:after="0"/>
              <w:ind w:left="0" w:right="0" w:hanging="0"/>
              <w:jc w:val="left"/>
              <w:rPr/>
            </w:pPr>
            <w:r>
              <w:rPr/>
              <w:t>​</w:t>
            </w:r>
          </w:p>
        </w:tc>
        <w:tc>
          <w:tcPr>
            <w:tcW w:w="1015" w:type="dxa"/>
            <w:tcBorders/>
            <w:vAlign w:val="center"/>
          </w:tcPr>
          <w:p>
            <w:pPr>
              <w:pStyle w:val="TableContents"/>
              <w:bidi w:val="0"/>
              <w:spacing w:before="0" w:after="0"/>
              <w:ind w:left="0" w:right="0" w:hanging="0"/>
              <w:jc w:val="right"/>
              <w:rPr/>
            </w:pPr>
            <w:r>
              <w:rPr/>
              <w:t>​</w:t>
            </w:r>
          </w:p>
        </w:tc>
        <w:tc>
          <w:tcPr>
            <w:tcW w:w="156" w:type="dxa"/>
            <w:tcBorders/>
            <w:vAlign w:val="center"/>
          </w:tcPr>
          <w:p>
            <w:pPr>
              <w:pStyle w:val="TableContents"/>
              <w:bidi w:val="0"/>
              <w:spacing w:before="0" w:after="0"/>
              <w:ind w:left="0" w:right="0" w:hanging="0"/>
              <w:jc w:val="right"/>
              <w:rPr/>
            </w:pPr>
            <w:r>
              <w:rPr/>
              <w:t>​</w:t>
            </w:r>
          </w:p>
        </w:tc>
        <w:tc>
          <w:tcPr>
            <w:tcW w:w="282" w:type="dxa"/>
            <w:tcBorders/>
            <w:vAlign w:val="center"/>
          </w:tcPr>
          <w:p>
            <w:pPr>
              <w:pStyle w:val="TableContents"/>
              <w:bidi w:val="0"/>
              <w:spacing w:before="0" w:after="0"/>
              <w:ind w:left="0" w:right="0" w:hanging="0"/>
              <w:jc w:val="left"/>
              <w:rPr/>
            </w:pPr>
            <w:r>
              <w:rPr/>
              <w:t>​</w:t>
            </w:r>
          </w:p>
        </w:tc>
        <w:tc>
          <w:tcPr>
            <w:tcW w:w="997" w:type="dxa"/>
            <w:tcBorders/>
            <w:vAlign w:val="center"/>
          </w:tcPr>
          <w:p>
            <w:pPr>
              <w:pStyle w:val="TableContents"/>
              <w:bidi w:val="0"/>
              <w:spacing w:before="0" w:after="0"/>
              <w:ind w:left="0" w:right="0" w:hanging="0"/>
              <w:jc w:val="right"/>
              <w:rPr/>
            </w:pPr>
            <w:r>
              <w:rPr/>
              <w:t>​</w:t>
            </w:r>
          </w:p>
        </w:tc>
        <w:tc>
          <w:tcPr>
            <w:tcW w:w="13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986" w:type="dxa"/>
            <w:tcBorders/>
            <w:vAlign w:val="center"/>
          </w:tcPr>
          <w:p>
            <w:pPr>
              <w:pStyle w:val="TableContents"/>
              <w:bidi w:val="0"/>
              <w:spacing w:before="0" w:after="0"/>
              <w:ind w:left="0" w:right="0" w:hanging="0"/>
              <w:jc w:val="right"/>
              <w:rPr/>
            </w:pPr>
            <w:r>
              <w:rPr/>
              <w:t>​</w:t>
            </w:r>
          </w:p>
        </w:tc>
        <w:tc>
          <w:tcPr>
            <w:tcW w:w="152" w:type="dxa"/>
            <w:tcBorders/>
            <w:vAlign w:val="center"/>
          </w:tcPr>
          <w:p>
            <w:pPr>
              <w:pStyle w:val="TableContents"/>
              <w:bidi w:val="0"/>
              <w:spacing w:before="0" w:after="0"/>
              <w:ind w:left="0" w:right="0" w:hanging="0"/>
              <w:jc w:val="right"/>
              <w:rPr/>
            </w:pPr>
            <w:r>
              <w:rPr/>
              <w:t>​</w:t>
            </w:r>
          </w:p>
        </w:tc>
        <w:tc>
          <w:tcPr>
            <w:tcW w:w="274" w:type="dxa"/>
            <w:tcBorders/>
            <w:vAlign w:val="center"/>
          </w:tcPr>
          <w:p>
            <w:pPr>
              <w:pStyle w:val="TableContents"/>
              <w:bidi w:val="0"/>
              <w:spacing w:before="0" w:after="0"/>
              <w:ind w:left="0" w:right="0" w:hanging="0"/>
              <w:jc w:val="left"/>
              <w:rPr/>
            </w:pPr>
            <w:r>
              <w:rPr/>
              <w:t>​</w:t>
            </w:r>
          </w:p>
        </w:tc>
        <w:tc>
          <w:tcPr>
            <w:tcW w:w="1055" w:type="dxa"/>
            <w:tcBorders/>
            <w:vAlign w:val="center"/>
          </w:tcPr>
          <w:p>
            <w:pPr>
              <w:pStyle w:val="TableContents"/>
              <w:bidi w:val="0"/>
              <w:spacing w:before="0" w:after="0"/>
              <w:ind w:left="0" w:right="0" w:hanging="0"/>
              <w:jc w:val="right"/>
              <w:rPr/>
            </w:pPr>
            <w:r>
              <w:rPr/>
              <w:t>​</w:t>
            </w:r>
          </w:p>
        </w:tc>
      </w:tr>
      <w:tr>
        <w:trPr/>
        <w:tc>
          <w:tcPr>
            <w:tcW w:w="45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Cost of revenues – software subscriptions</w:t>
            </w:r>
          </w:p>
        </w:tc>
        <w:tc>
          <w:tcPr>
            <w:tcW w:w="282" w:type="dxa"/>
            <w:tcBorders/>
            <w:shd w:fill="CCEEFF" w:val="clear"/>
            <w:vAlign w:val="center"/>
          </w:tcPr>
          <w:p>
            <w:pPr>
              <w:pStyle w:val="TableContents"/>
              <w:bidi w:val="0"/>
              <w:spacing w:before="0" w:after="0"/>
              <w:ind w:left="0" w:right="0" w:hanging="0"/>
              <w:jc w:val="left"/>
              <w:rPr/>
            </w:pPr>
            <w:r>
              <w:rPr/>
              <w:t>​</w:t>
            </w:r>
          </w:p>
        </w:tc>
        <w:tc>
          <w:tcPr>
            <w:tcW w:w="101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52,170</w:t>
            </w:r>
          </w:p>
        </w:tc>
        <w:tc>
          <w:tcPr>
            <w:tcW w:w="156" w:type="dxa"/>
            <w:tcBorders/>
            <w:shd w:fill="CCEEFF" w:val="clear"/>
            <w:vAlign w:val="center"/>
          </w:tcPr>
          <w:p>
            <w:pPr>
              <w:pStyle w:val="TableContents"/>
              <w:bidi w:val="0"/>
              <w:spacing w:before="0" w:after="0"/>
              <w:ind w:left="0" w:right="0" w:hanging="0"/>
              <w:jc w:val="righ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99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44,459</w:t>
            </w:r>
          </w:p>
        </w:tc>
        <w:tc>
          <w:tcPr>
            <w:tcW w:w="13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98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103,346</w:t>
            </w:r>
          </w:p>
        </w:tc>
        <w:tc>
          <w:tcPr>
            <w:tcW w:w="152" w:type="dxa"/>
            <w:tcBorders/>
            <w:shd w:fill="CCEEFF" w:val="clear"/>
            <w:vAlign w:val="center"/>
          </w:tcPr>
          <w:p>
            <w:pPr>
              <w:pStyle w:val="TableContents"/>
              <w:bidi w:val="0"/>
              <w:spacing w:before="0" w:after="0"/>
              <w:ind w:left="0" w:right="0" w:hanging="0"/>
              <w:jc w:val="righ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105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88,704</w:t>
            </w:r>
          </w:p>
        </w:tc>
      </w:tr>
      <w:tr>
        <w:trPr/>
        <w:tc>
          <w:tcPr>
            <w:tcW w:w="45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Cost of revenues – services</w:t>
            </w:r>
          </w:p>
        </w:tc>
        <w:tc>
          <w:tcPr>
            <w:tcW w:w="282" w:type="dxa"/>
            <w:tcBorders/>
            <w:vAlign w:val="center"/>
          </w:tcPr>
          <w:p>
            <w:pPr>
              <w:pStyle w:val="TableContents"/>
              <w:bidi w:val="0"/>
              <w:spacing w:before="0" w:after="0"/>
              <w:ind w:left="0" w:right="0" w:hanging="0"/>
              <w:jc w:val="left"/>
              <w:rPr/>
            </w:pPr>
            <w:r>
              <w:rPr/>
              <w:t>​</w:t>
            </w:r>
          </w:p>
        </w:tc>
        <w:tc>
          <w:tcPr>
            <w:tcW w:w="101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20,500</w:t>
            </w:r>
          </w:p>
        </w:tc>
        <w:tc>
          <w:tcPr>
            <w:tcW w:w="156" w:type="dxa"/>
            <w:tcBorders/>
            <w:vAlign w:val="center"/>
          </w:tcPr>
          <w:p>
            <w:pPr>
              <w:pStyle w:val="TableContents"/>
              <w:bidi w:val="0"/>
              <w:spacing w:before="0" w:after="0"/>
              <w:ind w:left="0" w:right="0" w:hanging="0"/>
              <w:jc w:val="right"/>
              <w:rPr/>
            </w:pPr>
            <w:r>
              <w:rPr/>
              <w:t>​</w:t>
            </w:r>
          </w:p>
        </w:tc>
        <w:tc>
          <w:tcPr>
            <w:tcW w:w="282" w:type="dxa"/>
            <w:tcBorders/>
            <w:vAlign w:val="center"/>
          </w:tcPr>
          <w:p>
            <w:pPr>
              <w:pStyle w:val="TableContents"/>
              <w:bidi w:val="0"/>
              <w:spacing w:before="0" w:after="0"/>
              <w:ind w:left="0" w:right="0" w:hanging="0"/>
              <w:jc w:val="left"/>
              <w:rPr/>
            </w:pPr>
            <w:r>
              <w:rPr/>
              <w:t>​</w:t>
            </w:r>
          </w:p>
        </w:tc>
        <w:tc>
          <w:tcPr>
            <w:tcW w:w="99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18,900</w:t>
            </w:r>
          </w:p>
        </w:tc>
        <w:tc>
          <w:tcPr>
            <w:tcW w:w="13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98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41,101</w:t>
            </w:r>
          </w:p>
        </w:tc>
        <w:tc>
          <w:tcPr>
            <w:tcW w:w="152" w:type="dxa"/>
            <w:tcBorders/>
            <w:vAlign w:val="center"/>
          </w:tcPr>
          <w:p>
            <w:pPr>
              <w:pStyle w:val="TableContents"/>
              <w:bidi w:val="0"/>
              <w:spacing w:before="0" w:after="0"/>
              <w:ind w:left="0" w:right="0" w:hanging="0"/>
              <w:jc w:val="right"/>
              <w:rPr/>
            </w:pPr>
            <w:r>
              <w:rPr/>
              <w:t>​</w:t>
            </w:r>
          </w:p>
        </w:tc>
        <w:tc>
          <w:tcPr>
            <w:tcW w:w="274" w:type="dxa"/>
            <w:tcBorders/>
            <w:vAlign w:val="center"/>
          </w:tcPr>
          <w:p>
            <w:pPr>
              <w:pStyle w:val="TableContents"/>
              <w:bidi w:val="0"/>
              <w:spacing w:before="0" w:after="0"/>
              <w:ind w:left="0" w:right="0" w:hanging="0"/>
              <w:jc w:val="left"/>
              <w:rPr/>
            </w:pPr>
            <w:r>
              <w:rPr/>
              <w:t>​</w:t>
            </w:r>
          </w:p>
        </w:tc>
        <w:tc>
          <w:tcPr>
            <w:tcW w:w="105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38,723</w:t>
            </w:r>
          </w:p>
        </w:tc>
      </w:tr>
      <w:tr>
        <w:trPr/>
        <w:tc>
          <w:tcPr>
            <w:tcW w:w="45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Research &amp; development</w:t>
            </w:r>
          </w:p>
        </w:tc>
        <w:tc>
          <w:tcPr>
            <w:tcW w:w="282" w:type="dxa"/>
            <w:tcBorders/>
            <w:shd w:fill="CCEEFF" w:val="clear"/>
            <w:vAlign w:val="center"/>
          </w:tcPr>
          <w:p>
            <w:pPr>
              <w:pStyle w:val="TableContents"/>
              <w:bidi w:val="0"/>
              <w:spacing w:before="0" w:after="0"/>
              <w:ind w:left="0" w:right="0" w:hanging="0"/>
              <w:jc w:val="left"/>
              <w:rPr/>
            </w:pPr>
            <w:r>
              <w:rPr/>
              <w:t>​</w:t>
            </w:r>
          </w:p>
        </w:tc>
        <w:tc>
          <w:tcPr>
            <w:tcW w:w="101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24,805</w:t>
            </w:r>
          </w:p>
        </w:tc>
        <w:tc>
          <w:tcPr>
            <w:tcW w:w="156"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99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20,582</w:t>
            </w:r>
          </w:p>
        </w:tc>
        <w:tc>
          <w:tcPr>
            <w:tcW w:w="13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98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49,355</w:t>
            </w:r>
          </w:p>
        </w:tc>
        <w:tc>
          <w:tcPr>
            <w:tcW w:w="152"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105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41,468</w:t>
            </w:r>
          </w:p>
        </w:tc>
      </w:tr>
      <w:tr>
        <w:trPr/>
        <w:tc>
          <w:tcPr>
            <w:tcW w:w="45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Selling &amp; marketing</w:t>
            </w:r>
          </w:p>
        </w:tc>
        <w:tc>
          <w:tcPr>
            <w:tcW w:w="282" w:type="dxa"/>
            <w:tcBorders/>
            <w:vAlign w:val="center"/>
          </w:tcPr>
          <w:p>
            <w:pPr>
              <w:pStyle w:val="TableContents"/>
              <w:bidi w:val="0"/>
              <w:spacing w:before="0" w:after="0"/>
              <w:ind w:left="0" w:right="0" w:hanging="0"/>
              <w:jc w:val="left"/>
              <w:rPr/>
            </w:pPr>
            <w:r>
              <w:rPr/>
              <w:t>​</w:t>
            </w:r>
          </w:p>
        </w:tc>
        <w:tc>
          <w:tcPr>
            <w:tcW w:w="101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51,899</w:t>
            </w:r>
          </w:p>
        </w:tc>
        <w:tc>
          <w:tcPr>
            <w:tcW w:w="156"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w:t>
            </w:r>
          </w:p>
        </w:tc>
        <w:tc>
          <w:tcPr>
            <w:tcW w:w="99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48,454</w:t>
            </w:r>
          </w:p>
        </w:tc>
        <w:tc>
          <w:tcPr>
            <w:tcW w:w="13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98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104,534</w:t>
            </w:r>
          </w:p>
        </w:tc>
        <w:tc>
          <w:tcPr>
            <w:tcW w:w="152"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105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96,609</w:t>
            </w:r>
          </w:p>
        </w:tc>
      </w:tr>
      <w:tr>
        <w:trPr/>
        <w:tc>
          <w:tcPr>
            <w:tcW w:w="45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General &amp; administrative</w:t>
            </w:r>
          </w:p>
        </w:tc>
        <w:tc>
          <w:tcPr>
            <w:tcW w:w="282" w:type="dxa"/>
            <w:tcBorders/>
            <w:shd w:fill="CCEEFF" w:val="clear"/>
            <w:vAlign w:val="center"/>
          </w:tcPr>
          <w:p>
            <w:pPr>
              <w:pStyle w:val="TableContents"/>
              <w:bidi w:val="0"/>
              <w:spacing w:before="0" w:after="0"/>
              <w:ind w:left="0" w:right="0" w:hanging="0"/>
              <w:jc w:val="left"/>
              <w:rPr/>
            </w:pPr>
            <w:r>
              <w:rPr/>
              <w:t>​</w:t>
            </w:r>
          </w:p>
        </w:tc>
        <w:tc>
          <w:tcPr>
            <w:tcW w:w="101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51,142</w:t>
            </w:r>
          </w:p>
        </w:tc>
        <w:tc>
          <w:tcPr>
            <w:tcW w:w="156"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99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43,392</w:t>
            </w:r>
          </w:p>
        </w:tc>
        <w:tc>
          <w:tcPr>
            <w:tcW w:w="13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98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105,481</w:t>
            </w:r>
          </w:p>
        </w:tc>
        <w:tc>
          <w:tcPr>
            <w:tcW w:w="152"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105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88,420</w:t>
            </w:r>
          </w:p>
        </w:tc>
      </w:tr>
      <w:tr>
        <w:trPr/>
        <w:tc>
          <w:tcPr>
            <w:tcW w:w="45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&amp; amortization</w:t>
            </w:r>
          </w:p>
        </w:tc>
        <w:tc>
          <w:tcPr>
            <w:tcW w:w="282" w:type="dxa"/>
            <w:tcBorders/>
            <w:vAlign w:val="center"/>
          </w:tcPr>
          <w:p>
            <w:pPr>
              <w:pStyle w:val="TableContents"/>
              <w:bidi w:val="0"/>
              <w:spacing w:before="0" w:after="0"/>
              <w:ind w:left="0" w:right="0" w:hanging="0"/>
              <w:jc w:val="left"/>
              <w:rPr/>
            </w:pPr>
            <w:r>
              <w:rPr/>
              <w:t>​</w:t>
            </w:r>
          </w:p>
        </w:tc>
        <w:tc>
          <w:tcPr>
            <w:tcW w:w="101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6,720</w:t>
            </w:r>
          </w:p>
        </w:tc>
        <w:tc>
          <w:tcPr>
            <w:tcW w:w="156"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w:t>
            </w:r>
          </w:p>
        </w:tc>
        <w:tc>
          <w:tcPr>
            <w:tcW w:w="99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6,187</w:t>
            </w:r>
          </w:p>
        </w:tc>
        <w:tc>
          <w:tcPr>
            <w:tcW w:w="13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98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13,162</w:t>
            </w:r>
          </w:p>
        </w:tc>
        <w:tc>
          <w:tcPr>
            <w:tcW w:w="152"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105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12,067</w:t>
            </w:r>
          </w:p>
        </w:tc>
      </w:tr>
      <w:tr>
        <w:trPr/>
        <w:tc>
          <w:tcPr>
            <w:tcW w:w="45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 in fair value of acquisition contingent earn-outs</w:t>
            </w:r>
          </w:p>
        </w:tc>
        <w:tc>
          <w:tcPr>
            <w:tcW w:w="282" w:type="dxa"/>
            <w:tcBorders/>
            <w:shd w:fill="CCEEFF" w:val="clear"/>
            <w:vAlign w:val="center"/>
          </w:tcPr>
          <w:p>
            <w:pPr>
              <w:pStyle w:val="TableContents"/>
              <w:bidi w:val="0"/>
              <w:spacing w:before="0" w:after="0"/>
              <w:ind w:left="0" w:right="0" w:hanging="0"/>
              <w:jc w:val="left"/>
              <w:rPr/>
            </w:pPr>
            <w:r>
              <w:rPr/>
              <w:t>​</w:t>
            </w:r>
          </w:p>
        </w:tc>
        <w:tc>
          <w:tcPr>
            <w:tcW w:w="101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w:t>
            </w:r>
          </w:p>
        </w:tc>
        <w:tc>
          <w:tcPr>
            <w:tcW w:w="156"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99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2,300</w:t>
            </w:r>
          </w:p>
        </w:tc>
        <w:tc>
          <w:tcPr>
            <w:tcW w:w="13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98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(5,838)</w:t>
            </w:r>
          </w:p>
        </w:tc>
        <w:tc>
          <w:tcPr>
            <w:tcW w:w="152"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105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(12,400)</w:t>
            </w:r>
          </w:p>
        </w:tc>
      </w:tr>
      <w:tr>
        <w:trPr/>
        <w:tc>
          <w:tcPr>
            <w:tcW w:w="459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Other segment items </w:t>
            </w:r>
            <w:r>
              <w:rPr>
                <w:rFonts w:ascii="Times New Roman;Times;serif" w:hAnsi="Times New Roman;Times;serif"/>
                <w:sz w:val="14"/>
              </w:rPr>
              <w:t>(1)</w:t>
            </w:r>
          </w:p>
        </w:tc>
        <w:tc>
          <w:tcPr>
            <w:tcW w:w="282" w:type="dxa"/>
            <w:tcBorders/>
            <w:vAlign w:val="center"/>
          </w:tcPr>
          <w:p>
            <w:pPr>
              <w:pStyle w:val="TableContents"/>
              <w:bidi w:val="0"/>
              <w:spacing w:before="0" w:after="0"/>
              <w:ind w:left="0" w:right="0" w:hanging="0"/>
              <w:jc w:val="left"/>
              <w:rPr/>
            </w:pPr>
            <w:r>
              <w:rPr/>
              <w:t>​</w:t>
            </w:r>
          </w:p>
        </w:tc>
        <w:tc>
          <w:tcPr>
            <w:tcW w:w="101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1,277</w:t>
            </w:r>
          </w:p>
        </w:tc>
        <w:tc>
          <w:tcPr>
            <w:tcW w:w="156"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w:t>
            </w:r>
          </w:p>
        </w:tc>
        <w:tc>
          <w:tcPr>
            <w:tcW w:w="99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4,149</w:t>
            </w:r>
          </w:p>
        </w:tc>
        <w:tc>
          <w:tcPr>
            <w:tcW w:w="13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98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4,524</w:t>
            </w:r>
          </w:p>
        </w:tc>
        <w:tc>
          <w:tcPr>
            <w:tcW w:w="152"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105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7,408</w:t>
            </w:r>
          </w:p>
        </w:tc>
      </w:tr>
      <w:tr>
        <w:trPr/>
        <w:tc>
          <w:tcPr>
            <w:tcW w:w="45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income, net</w:t>
            </w:r>
          </w:p>
        </w:tc>
        <w:tc>
          <w:tcPr>
            <w:tcW w:w="282" w:type="dxa"/>
            <w:tcBorders/>
            <w:shd w:fill="CCEEFF" w:val="clear"/>
            <w:vAlign w:val="center"/>
          </w:tcPr>
          <w:p>
            <w:pPr>
              <w:pStyle w:val="TableContents"/>
              <w:bidi w:val="0"/>
              <w:spacing w:before="0" w:after="0"/>
              <w:ind w:left="0" w:right="0" w:hanging="0"/>
              <w:jc w:val="left"/>
              <w:rPr/>
            </w:pPr>
            <w:r>
              <w:rPr/>
              <w:t>​</w:t>
            </w:r>
          </w:p>
        </w:tc>
        <w:tc>
          <w:tcPr>
            <w:tcW w:w="101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(344)</w:t>
            </w:r>
          </w:p>
        </w:tc>
        <w:tc>
          <w:tcPr>
            <w:tcW w:w="156"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99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(1,228)</w:t>
            </w:r>
          </w:p>
        </w:tc>
        <w:tc>
          <w:tcPr>
            <w:tcW w:w="13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98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(1,301)</w:t>
            </w:r>
          </w:p>
        </w:tc>
        <w:tc>
          <w:tcPr>
            <w:tcW w:w="152"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105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(2,767)</w:t>
            </w:r>
          </w:p>
        </w:tc>
      </w:tr>
      <w:tr>
        <w:trPr/>
        <w:tc>
          <w:tcPr>
            <w:tcW w:w="45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 benefit</w:t>
            </w:r>
          </w:p>
        </w:tc>
        <w:tc>
          <w:tcPr>
            <w:tcW w:w="28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(13,142)</w:t>
            </w:r>
          </w:p>
        </w:tc>
        <w:tc>
          <w:tcPr>
            <w:tcW w:w="156" w:type="dxa"/>
            <w:tcBorders/>
            <w:vAlign w:val="center"/>
          </w:tcPr>
          <w:p>
            <w:pPr>
              <w:pStyle w:val="TableContents"/>
              <w:bidi w:val="0"/>
              <w:spacing w:before="0" w:after="0"/>
              <w:ind w:left="0" w:right="0" w:hanging="0"/>
              <w:jc w:val="left"/>
              <w:rPr/>
            </w:pPr>
            <w:r>
              <w:rPr/>
              <w:t>​</w:t>
            </w:r>
          </w:p>
        </w:tc>
        <w:tc>
          <w:tcPr>
            <w:tcW w:w="28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(1,675)</w:t>
            </w:r>
          </w:p>
        </w:tc>
        <w:tc>
          <w:tcPr>
            <w:tcW w:w="136" w:type="dxa"/>
            <w:tcBorders/>
            <w:vAlign w:val="center"/>
          </w:tcPr>
          <w:p>
            <w:pPr>
              <w:pStyle w:val="TableContents"/>
              <w:bidi w:val="0"/>
              <w:spacing w:before="0" w:after="0"/>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(20,281)</w:t>
            </w:r>
          </w:p>
        </w:tc>
        <w:tc>
          <w:tcPr>
            <w:tcW w:w="152" w:type="dxa"/>
            <w:tcBorders/>
            <w:vAlign w:val="center"/>
          </w:tcPr>
          <w:p>
            <w:pPr>
              <w:pStyle w:val="TableContents"/>
              <w:bidi w:val="0"/>
              <w:spacing w:before="0" w:after="0"/>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(6,780)</w:t>
            </w:r>
          </w:p>
        </w:tc>
      </w:tr>
      <w:tr>
        <w:trPr/>
        <w:tc>
          <w:tcPr>
            <w:tcW w:w="459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Net income (loss) (GAAP)</w:t>
            </w:r>
          </w:p>
        </w:tc>
        <w:tc>
          <w:tcPr>
            <w:tcW w:w="282"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10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9,043</w:t>
            </w:r>
          </w:p>
        </w:tc>
        <w:tc>
          <w:tcPr>
            <w:tcW w:w="156" w:type="dxa"/>
            <w:tcBorders/>
            <w:shd w:fill="CCEEFF" w:val="clear"/>
            <w:vAlign w:val="center"/>
          </w:tcPr>
          <w:p>
            <w:pPr>
              <w:pStyle w:val="TableContents"/>
              <w:bidi w:val="0"/>
              <w:spacing w:before="0" w:after="0"/>
              <w:ind w:left="0" w:right="0" w:hanging="0"/>
              <w:jc w:val="left"/>
              <w:rPr/>
            </w:pPr>
            <w:r>
              <w:rPr/>
              <w:t>​</w:t>
            </w:r>
          </w:p>
        </w:tc>
        <w:tc>
          <w:tcPr>
            <w:tcW w:w="282"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9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(961)</w:t>
            </w:r>
          </w:p>
        </w:tc>
        <w:tc>
          <w:tcPr>
            <w:tcW w:w="136"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9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6,533</w:t>
            </w:r>
          </w:p>
        </w:tc>
        <w:tc>
          <w:tcPr>
            <w:tcW w:w="152"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10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10,169</w:t>
            </w:r>
          </w:p>
        </w:tc>
      </w:tr>
      <w:tr>
        <w:trPr/>
        <w:tc>
          <w:tcPr>
            <w:tcW w:w="459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Adjustments:</w:t>
            </w:r>
          </w:p>
        </w:tc>
        <w:tc>
          <w:tcPr>
            <w:tcW w:w="282" w:type="dxa"/>
            <w:tcBorders/>
            <w:vAlign w:val="center"/>
          </w:tcPr>
          <w:p>
            <w:pPr>
              <w:pStyle w:val="TableContents"/>
              <w:bidi w:val="0"/>
              <w:spacing w:before="0" w:after="0"/>
              <w:ind w:left="0" w:right="0" w:hanging="0"/>
              <w:jc w:val="left"/>
              <w:rPr/>
            </w:pPr>
            <w:r>
              <w:rPr/>
              <w:t>​</w:t>
            </w:r>
          </w:p>
        </w:tc>
        <w:tc>
          <w:tcPr>
            <w:tcW w:w="1015" w:type="dxa"/>
            <w:tcBorders/>
            <w:vAlign w:val="center"/>
          </w:tcPr>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w:t>
            </w:r>
          </w:p>
        </w:tc>
        <w:tc>
          <w:tcPr>
            <w:tcW w:w="997" w:type="dxa"/>
            <w:tcBorders/>
            <w:vAlign w:val="center"/>
          </w:tcPr>
          <w:p>
            <w:pPr>
              <w:pStyle w:val="TableContents"/>
              <w:bidi w:val="0"/>
              <w:spacing w:before="0" w:after="0"/>
              <w:ind w:left="0" w:right="0" w:hanging="0"/>
              <w:jc w:val="left"/>
              <w:rPr/>
            </w:pPr>
            <w:r>
              <w:rPr/>
              <w:t>​</w:t>
            </w:r>
          </w:p>
        </w:tc>
        <w:tc>
          <w:tcPr>
            <w:tcW w:w="13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986" w:type="dxa"/>
            <w:tcBorders/>
            <w:vAlign w:val="center"/>
          </w:tcPr>
          <w:p>
            <w:pPr>
              <w:pStyle w:val="TableContents"/>
              <w:bidi w:val="0"/>
              <w:spacing w:before="0" w:after="0"/>
              <w:ind w:left="0" w:right="0" w:hanging="0"/>
              <w:jc w:val="left"/>
              <w:rPr/>
            </w:pPr>
            <w:r>
              <w:rPr/>
              <w:t>​</w:t>
            </w:r>
          </w:p>
        </w:tc>
        <w:tc>
          <w:tcPr>
            <w:tcW w:w="152"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1055" w:type="dxa"/>
            <w:tcBorders/>
            <w:vAlign w:val="center"/>
          </w:tcPr>
          <w:p>
            <w:pPr>
              <w:pStyle w:val="TableContents"/>
              <w:bidi w:val="0"/>
              <w:spacing w:before="0" w:after="0"/>
              <w:ind w:left="0" w:right="0" w:hanging="0"/>
              <w:jc w:val="left"/>
              <w:rPr/>
            </w:pPr>
            <w:r>
              <w:rPr/>
              <w:t>​</w:t>
            </w:r>
          </w:p>
        </w:tc>
      </w:tr>
      <w:tr>
        <w:trPr/>
        <w:tc>
          <w:tcPr>
            <w:tcW w:w="45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income, net</w:t>
            </w:r>
          </w:p>
        </w:tc>
        <w:tc>
          <w:tcPr>
            <w:tcW w:w="282" w:type="dxa"/>
            <w:tcBorders/>
            <w:shd w:fill="CCEEFF" w:val="clear"/>
            <w:vAlign w:val="center"/>
          </w:tcPr>
          <w:p>
            <w:pPr>
              <w:pStyle w:val="TableContents"/>
              <w:bidi w:val="0"/>
              <w:spacing w:before="0" w:after="0"/>
              <w:ind w:left="0" w:right="0" w:hanging="0"/>
              <w:jc w:val="left"/>
              <w:rPr/>
            </w:pPr>
            <w:r>
              <w:rPr/>
              <w:t>​</w:t>
            </w:r>
          </w:p>
        </w:tc>
        <w:tc>
          <w:tcPr>
            <w:tcW w:w="101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(344)</w:t>
            </w:r>
          </w:p>
        </w:tc>
        <w:tc>
          <w:tcPr>
            <w:tcW w:w="156"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99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(1,228)</w:t>
            </w:r>
          </w:p>
        </w:tc>
        <w:tc>
          <w:tcPr>
            <w:tcW w:w="13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98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(1,301)</w:t>
            </w:r>
          </w:p>
        </w:tc>
        <w:tc>
          <w:tcPr>
            <w:tcW w:w="152"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105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(2,767)</w:t>
            </w:r>
          </w:p>
        </w:tc>
      </w:tr>
      <w:tr>
        <w:trPr/>
        <w:tc>
          <w:tcPr>
            <w:tcW w:w="45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 benefit</w:t>
            </w:r>
          </w:p>
        </w:tc>
        <w:tc>
          <w:tcPr>
            <w:tcW w:w="282" w:type="dxa"/>
            <w:tcBorders/>
            <w:vAlign w:val="center"/>
          </w:tcPr>
          <w:p>
            <w:pPr>
              <w:pStyle w:val="TableContents"/>
              <w:bidi w:val="0"/>
              <w:spacing w:before="0" w:after="0"/>
              <w:ind w:left="0" w:right="0" w:hanging="0"/>
              <w:jc w:val="left"/>
              <w:rPr/>
            </w:pPr>
            <w:r>
              <w:rPr/>
              <w:t>​</w:t>
            </w:r>
          </w:p>
        </w:tc>
        <w:tc>
          <w:tcPr>
            <w:tcW w:w="101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(13,142)</w:t>
            </w:r>
          </w:p>
        </w:tc>
        <w:tc>
          <w:tcPr>
            <w:tcW w:w="156"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w:t>
            </w:r>
          </w:p>
        </w:tc>
        <w:tc>
          <w:tcPr>
            <w:tcW w:w="99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(1,675)</w:t>
            </w:r>
          </w:p>
        </w:tc>
        <w:tc>
          <w:tcPr>
            <w:tcW w:w="13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98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(20,281)</w:t>
            </w:r>
          </w:p>
        </w:tc>
        <w:tc>
          <w:tcPr>
            <w:tcW w:w="152"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105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(6,780)</w:t>
            </w:r>
          </w:p>
        </w:tc>
      </w:tr>
      <w:tr>
        <w:trPr/>
        <w:tc>
          <w:tcPr>
            <w:tcW w:w="45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 – property and equipment</w:t>
            </w:r>
          </w:p>
        </w:tc>
        <w:tc>
          <w:tcPr>
            <w:tcW w:w="282" w:type="dxa"/>
            <w:tcBorders/>
            <w:shd w:fill="CCEEFF" w:val="clear"/>
            <w:vAlign w:val="center"/>
          </w:tcPr>
          <w:p>
            <w:pPr>
              <w:pStyle w:val="TableContents"/>
              <w:bidi w:val="0"/>
              <w:spacing w:before="0" w:after="0"/>
              <w:ind w:left="0" w:right="0" w:hanging="0"/>
              <w:jc w:val="left"/>
              <w:rPr/>
            </w:pPr>
            <w:r>
              <w:rPr/>
              <w:t>​</w:t>
            </w:r>
          </w:p>
        </w:tc>
        <w:tc>
          <w:tcPr>
            <w:tcW w:w="101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6,720</w:t>
            </w:r>
          </w:p>
        </w:tc>
        <w:tc>
          <w:tcPr>
            <w:tcW w:w="156"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99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6,187</w:t>
            </w:r>
          </w:p>
        </w:tc>
        <w:tc>
          <w:tcPr>
            <w:tcW w:w="13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98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13,162</w:t>
            </w:r>
          </w:p>
        </w:tc>
        <w:tc>
          <w:tcPr>
            <w:tcW w:w="152"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105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12,067</w:t>
            </w:r>
          </w:p>
        </w:tc>
      </w:tr>
      <w:tr>
        <w:trPr/>
        <w:tc>
          <w:tcPr>
            <w:tcW w:w="45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 of capitalized software and acquired intangible assets – cost of subscription revenues</w:t>
            </w:r>
          </w:p>
        </w:tc>
        <w:tc>
          <w:tcPr>
            <w:tcW w:w="282" w:type="dxa"/>
            <w:tcBorders/>
            <w:vAlign w:val="center"/>
          </w:tcPr>
          <w:p>
            <w:pPr>
              <w:pStyle w:val="TableContents"/>
              <w:bidi w:val="0"/>
              <w:spacing w:before="0" w:after="0"/>
              <w:ind w:left="0" w:right="0" w:hanging="0"/>
              <w:jc w:val="left"/>
              <w:rPr/>
            </w:pPr>
            <w:r>
              <w:rPr/>
              <w:t>​</w:t>
            </w:r>
          </w:p>
        </w:tc>
        <w:tc>
          <w:tcPr>
            <w:tcW w:w="101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21,882</w:t>
            </w:r>
          </w:p>
        </w:tc>
        <w:tc>
          <w:tcPr>
            <w:tcW w:w="156"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w:t>
            </w:r>
          </w:p>
        </w:tc>
        <w:tc>
          <w:tcPr>
            <w:tcW w:w="99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16,670</w:t>
            </w:r>
          </w:p>
        </w:tc>
        <w:tc>
          <w:tcPr>
            <w:tcW w:w="13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98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41,968</w:t>
            </w:r>
          </w:p>
        </w:tc>
        <w:tc>
          <w:tcPr>
            <w:tcW w:w="152"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105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32,525</w:t>
            </w:r>
          </w:p>
        </w:tc>
      </w:tr>
      <w:tr>
        <w:trPr/>
        <w:tc>
          <w:tcPr>
            <w:tcW w:w="45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acquired intangible assets – selling and marketing expense</w:t>
            </w:r>
          </w:p>
        </w:tc>
        <w:tc>
          <w:tcPr>
            <w:tcW w:w="282" w:type="dxa"/>
            <w:tcBorders/>
            <w:shd w:fill="CCEEFF" w:val="clear"/>
            <w:vAlign w:val="center"/>
          </w:tcPr>
          <w:p>
            <w:pPr>
              <w:pStyle w:val="TableContents"/>
              <w:bidi w:val="0"/>
              <w:spacing w:before="0" w:after="0"/>
              <w:ind w:left="0" w:right="0" w:hanging="0"/>
              <w:jc w:val="left"/>
              <w:rPr/>
            </w:pPr>
            <w:r>
              <w:rPr/>
              <w:t>​</w:t>
            </w:r>
          </w:p>
        </w:tc>
        <w:tc>
          <w:tcPr>
            <w:tcW w:w="101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522</w:t>
            </w:r>
          </w:p>
        </w:tc>
        <w:tc>
          <w:tcPr>
            <w:tcW w:w="156"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99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571</w:t>
            </w:r>
          </w:p>
        </w:tc>
        <w:tc>
          <w:tcPr>
            <w:tcW w:w="13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98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1,047</w:t>
            </w:r>
          </w:p>
        </w:tc>
        <w:tc>
          <w:tcPr>
            <w:tcW w:w="152"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105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1,102</w:t>
            </w:r>
          </w:p>
        </w:tc>
      </w:tr>
      <w:tr>
        <w:trPr/>
        <w:tc>
          <w:tcPr>
            <w:tcW w:w="45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cloud computing implementation costs – general and administrative expense</w:t>
            </w:r>
          </w:p>
        </w:tc>
        <w:tc>
          <w:tcPr>
            <w:tcW w:w="282" w:type="dxa"/>
            <w:tcBorders/>
            <w:vAlign w:val="center"/>
          </w:tcPr>
          <w:p>
            <w:pPr>
              <w:pStyle w:val="TableContents"/>
              <w:bidi w:val="0"/>
              <w:spacing w:before="0" w:after="0"/>
              <w:ind w:left="0" w:right="0" w:hanging="0"/>
              <w:jc w:val="left"/>
              <w:rPr/>
            </w:pPr>
            <w:r>
              <w:rPr/>
              <w:t>​</w:t>
            </w:r>
          </w:p>
        </w:tc>
        <w:tc>
          <w:tcPr>
            <w:tcW w:w="101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1,358</w:t>
            </w:r>
          </w:p>
        </w:tc>
        <w:tc>
          <w:tcPr>
            <w:tcW w:w="156"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w:t>
            </w:r>
          </w:p>
        </w:tc>
        <w:tc>
          <w:tcPr>
            <w:tcW w:w="99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1,018</w:t>
            </w:r>
          </w:p>
        </w:tc>
        <w:tc>
          <w:tcPr>
            <w:tcW w:w="13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98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2,395</w:t>
            </w:r>
          </w:p>
        </w:tc>
        <w:tc>
          <w:tcPr>
            <w:tcW w:w="152"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105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2,024</w:t>
            </w:r>
          </w:p>
        </w:tc>
      </w:tr>
      <w:tr>
        <w:trPr/>
        <w:tc>
          <w:tcPr>
            <w:tcW w:w="45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 expense</w:t>
            </w:r>
          </w:p>
        </w:tc>
        <w:tc>
          <w:tcPr>
            <w:tcW w:w="282" w:type="dxa"/>
            <w:tcBorders/>
            <w:shd w:fill="CCEEFF" w:val="clear"/>
            <w:vAlign w:val="center"/>
          </w:tcPr>
          <w:p>
            <w:pPr>
              <w:pStyle w:val="TableContents"/>
              <w:bidi w:val="0"/>
              <w:spacing w:before="0" w:after="0"/>
              <w:ind w:left="0" w:right="0" w:hanging="0"/>
              <w:jc w:val="left"/>
              <w:rPr/>
            </w:pPr>
            <w:r>
              <w:rPr/>
              <w:t>​</w:t>
            </w:r>
          </w:p>
        </w:tc>
        <w:tc>
          <w:tcPr>
            <w:tcW w:w="101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13,762</w:t>
            </w:r>
          </w:p>
        </w:tc>
        <w:tc>
          <w:tcPr>
            <w:tcW w:w="156"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99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11,990</w:t>
            </w:r>
          </w:p>
        </w:tc>
        <w:tc>
          <w:tcPr>
            <w:tcW w:w="13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98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32,270</w:t>
            </w:r>
          </w:p>
        </w:tc>
        <w:tc>
          <w:tcPr>
            <w:tcW w:w="152"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105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33,034</w:t>
            </w:r>
          </w:p>
        </w:tc>
      </w:tr>
      <w:tr>
        <w:trPr/>
        <w:tc>
          <w:tcPr>
            <w:tcW w:w="459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Severance expense </w:t>
            </w:r>
            <w:r>
              <w:rPr>
                <w:rFonts w:ascii="Times New Roman;Times;serif" w:hAnsi="Times New Roman;Times;serif"/>
                <w:sz w:val="14"/>
              </w:rPr>
              <w:t>(2)</w:t>
            </w:r>
          </w:p>
        </w:tc>
        <w:tc>
          <w:tcPr>
            <w:tcW w:w="282" w:type="dxa"/>
            <w:tcBorders/>
            <w:vAlign w:val="center"/>
          </w:tcPr>
          <w:p>
            <w:pPr>
              <w:pStyle w:val="TableContents"/>
              <w:bidi w:val="0"/>
              <w:spacing w:before="0" w:after="0"/>
              <w:ind w:left="0" w:right="0" w:hanging="0"/>
              <w:jc w:val="left"/>
              <w:rPr/>
            </w:pPr>
            <w:r>
              <w:rPr/>
              <w:t>​</w:t>
            </w:r>
          </w:p>
        </w:tc>
        <w:tc>
          <w:tcPr>
            <w:tcW w:w="101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2,689</w:t>
            </w:r>
          </w:p>
        </w:tc>
        <w:tc>
          <w:tcPr>
            <w:tcW w:w="156"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w:t>
            </w:r>
          </w:p>
        </w:tc>
        <w:tc>
          <w:tcPr>
            <w:tcW w:w="99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317</w:t>
            </w:r>
          </w:p>
        </w:tc>
        <w:tc>
          <w:tcPr>
            <w:tcW w:w="13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98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10,097</w:t>
            </w:r>
          </w:p>
        </w:tc>
        <w:tc>
          <w:tcPr>
            <w:tcW w:w="152"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105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774</w:t>
            </w:r>
          </w:p>
        </w:tc>
      </w:tr>
      <w:tr>
        <w:trPr/>
        <w:tc>
          <w:tcPr>
            <w:tcW w:w="45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Acquisition contingent consideration</w:t>
            </w:r>
          </w:p>
        </w:tc>
        <w:tc>
          <w:tcPr>
            <w:tcW w:w="282" w:type="dxa"/>
            <w:tcBorders/>
            <w:shd w:fill="CCEEFF" w:val="clear"/>
            <w:vAlign w:val="center"/>
          </w:tcPr>
          <w:p>
            <w:pPr>
              <w:pStyle w:val="TableContents"/>
              <w:bidi w:val="0"/>
              <w:spacing w:before="0" w:after="0"/>
              <w:ind w:left="0" w:right="0" w:hanging="0"/>
              <w:jc w:val="left"/>
              <w:rPr/>
            </w:pPr>
            <w:r>
              <w:rPr/>
              <w:t>​</w:t>
            </w:r>
          </w:p>
        </w:tc>
        <w:tc>
          <w:tcPr>
            <w:tcW w:w="1015" w:type="dxa"/>
            <w:tcBorders/>
            <w:shd w:fill="CCEEFF" w:val="clear"/>
            <w:vAlign w:val="center"/>
          </w:tcPr>
          <w:p>
            <w:pPr>
              <w:pStyle w:val="TableContents"/>
              <w:bidi w:val="0"/>
              <w:spacing w:before="0" w:after="0"/>
              <w:ind w:left="0" w:right="0" w:hanging="0"/>
              <w:jc w:val="right"/>
              <w:rPr/>
            </w:pPr>
            <w:r>
              <w:rPr/>
              <w:t>—</w:t>
            </w:r>
          </w:p>
        </w:tc>
        <w:tc>
          <w:tcPr>
            <w:tcW w:w="156"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99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w:t>
            </w:r>
          </w:p>
        </w:tc>
        <w:tc>
          <w:tcPr>
            <w:tcW w:w="13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986" w:type="dxa"/>
            <w:tcBorders/>
            <w:shd w:fill="CCEEFF" w:val="clear"/>
            <w:vAlign w:val="center"/>
          </w:tcPr>
          <w:p>
            <w:pPr>
              <w:pStyle w:val="TableContents"/>
              <w:bidi w:val="0"/>
              <w:spacing w:before="0" w:after="0"/>
              <w:ind w:left="0" w:right="0" w:hanging="0"/>
              <w:jc w:val="right"/>
              <w:rPr/>
            </w:pPr>
            <w:r>
              <w:rPr/>
              <w:t>—</w:t>
            </w:r>
          </w:p>
        </w:tc>
        <w:tc>
          <w:tcPr>
            <w:tcW w:w="152"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105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w:t>
            </w:r>
          </w:p>
        </w:tc>
      </w:tr>
      <w:tr>
        <w:trPr/>
        <w:tc>
          <w:tcPr>
            <w:tcW w:w="45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 in fair value of acquisition contingent earn-outs</w:t>
            </w:r>
          </w:p>
        </w:tc>
        <w:tc>
          <w:tcPr>
            <w:tcW w:w="282" w:type="dxa"/>
            <w:tcBorders/>
            <w:vAlign w:val="center"/>
          </w:tcPr>
          <w:p>
            <w:pPr>
              <w:pStyle w:val="TableContents"/>
              <w:bidi w:val="0"/>
              <w:spacing w:before="0" w:after="0"/>
              <w:ind w:left="0" w:right="0" w:hanging="0"/>
              <w:jc w:val="left"/>
              <w:rPr/>
            </w:pPr>
            <w:r>
              <w:rPr/>
              <w:t>​</w:t>
            </w:r>
          </w:p>
        </w:tc>
        <w:tc>
          <w:tcPr>
            <w:tcW w:w="101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w:t>
            </w:r>
          </w:p>
        </w:tc>
        <w:tc>
          <w:tcPr>
            <w:tcW w:w="156"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w:t>
            </w:r>
          </w:p>
        </w:tc>
        <w:tc>
          <w:tcPr>
            <w:tcW w:w="99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2,300</w:t>
            </w:r>
          </w:p>
        </w:tc>
        <w:tc>
          <w:tcPr>
            <w:tcW w:w="13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98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(5,838)</w:t>
            </w:r>
          </w:p>
        </w:tc>
        <w:tc>
          <w:tcPr>
            <w:tcW w:w="152"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105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(12,400)</w:t>
            </w:r>
          </w:p>
        </w:tc>
      </w:tr>
      <w:tr>
        <w:trPr/>
        <w:tc>
          <w:tcPr>
            <w:tcW w:w="459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Acquisition-related retained employee compensation</w:t>
            </w:r>
            <w:r>
              <w:rPr>
                <w:rFonts w:ascii="Times New Roman;Times;serif" w:hAnsi="Times New Roman;Times;serif"/>
                <w:sz w:val="14"/>
              </w:rPr>
              <w:t>(3)</w:t>
            </w:r>
          </w:p>
        </w:tc>
        <w:tc>
          <w:tcPr>
            <w:tcW w:w="282" w:type="dxa"/>
            <w:tcBorders/>
            <w:shd w:fill="CCEEFF" w:val="clear"/>
            <w:vAlign w:val="center"/>
          </w:tcPr>
          <w:p>
            <w:pPr>
              <w:pStyle w:val="TableContents"/>
              <w:bidi w:val="0"/>
              <w:spacing w:before="0" w:after="0"/>
              <w:ind w:left="0" w:right="0" w:hanging="0"/>
              <w:jc w:val="left"/>
              <w:rPr/>
            </w:pPr>
            <w:r>
              <w:rPr/>
              <w:t>​</w:t>
            </w:r>
          </w:p>
        </w:tc>
        <w:tc>
          <w:tcPr>
            <w:tcW w:w="101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1,250</w:t>
            </w:r>
          </w:p>
        </w:tc>
        <w:tc>
          <w:tcPr>
            <w:tcW w:w="156"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997" w:type="dxa"/>
            <w:tcBorders/>
            <w:shd w:fill="CCEEFF" w:val="clear"/>
            <w:vAlign w:val="center"/>
          </w:tcPr>
          <w:p>
            <w:pPr>
              <w:pStyle w:val="TableContents"/>
              <w:bidi w:val="0"/>
              <w:spacing w:before="0" w:after="0"/>
              <w:ind w:left="0" w:right="0" w:hanging="0"/>
              <w:jc w:val="right"/>
              <w:rPr/>
            </w:pPr>
            <w:r>
              <w:rPr/>
              <w:t>—</w:t>
            </w:r>
          </w:p>
        </w:tc>
        <w:tc>
          <w:tcPr>
            <w:tcW w:w="13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98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1,667</w:t>
            </w:r>
          </w:p>
        </w:tc>
        <w:tc>
          <w:tcPr>
            <w:tcW w:w="152"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1055" w:type="dxa"/>
            <w:tcBorders/>
            <w:shd w:fill="CCEEFF" w:val="clear"/>
            <w:vAlign w:val="center"/>
          </w:tcPr>
          <w:p>
            <w:pPr>
              <w:pStyle w:val="TableContents"/>
              <w:bidi w:val="0"/>
              <w:spacing w:before="0" w:after="0"/>
              <w:ind w:left="0" w:right="0" w:hanging="0"/>
              <w:jc w:val="right"/>
              <w:rPr/>
            </w:pPr>
            <w:r>
              <w:rPr/>
              <w:t>—</w:t>
            </w:r>
          </w:p>
        </w:tc>
      </w:tr>
      <w:tr>
        <w:trPr/>
        <w:tc>
          <w:tcPr>
            <w:tcW w:w="459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Transaction costs </w:t>
            </w:r>
            <w:r>
              <w:rPr>
                <w:rFonts w:ascii="Times New Roman;Times;serif" w:hAnsi="Times New Roman;Times;serif"/>
                <w:sz w:val="14"/>
              </w:rPr>
              <w:t>(4)</w:t>
            </w:r>
          </w:p>
        </w:tc>
        <w:tc>
          <w:tcPr>
            <w:tcW w:w="28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7,375</w:t>
            </w:r>
          </w:p>
        </w:tc>
        <w:tc>
          <w:tcPr>
            <w:tcW w:w="156" w:type="dxa"/>
            <w:tcBorders/>
            <w:vAlign w:val="center"/>
          </w:tcPr>
          <w:p>
            <w:pPr>
              <w:pStyle w:val="TableContents"/>
              <w:bidi w:val="0"/>
              <w:spacing w:before="0" w:after="0"/>
              <w:ind w:left="0" w:right="0" w:hanging="0"/>
              <w:jc w:val="left"/>
              <w:rPr/>
            </w:pPr>
            <w:r>
              <w:rPr/>
              <w:t>​</w:t>
            </w:r>
          </w:p>
        </w:tc>
        <w:tc>
          <w:tcPr>
            <w:tcW w:w="28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2,980</w:t>
            </w:r>
          </w:p>
        </w:tc>
        <w:tc>
          <w:tcPr>
            <w:tcW w:w="136" w:type="dxa"/>
            <w:tcBorders/>
            <w:vAlign w:val="center"/>
          </w:tcPr>
          <w:p>
            <w:pPr>
              <w:pStyle w:val="TableContents"/>
              <w:bidi w:val="0"/>
              <w:spacing w:before="0" w:after="0"/>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13,359</w:t>
            </w:r>
          </w:p>
        </w:tc>
        <w:tc>
          <w:tcPr>
            <w:tcW w:w="152" w:type="dxa"/>
            <w:tcBorders/>
            <w:vAlign w:val="center"/>
          </w:tcPr>
          <w:p>
            <w:pPr>
              <w:pStyle w:val="TableContents"/>
              <w:bidi w:val="0"/>
              <w:spacing w:before="0" w:after="0"/>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5,640</w:t>
            </w:r>
          </w:p>
        </w:tc>
      </w:tr>
      <w:tr>
        <w:trPr/>
        <w:tc>
          <w:tcPr>
            <w:tcW w:w="459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Adjusted EBITDA (Non-GAAP)</w:t>
            </w:r>
          </w:p>
        </w:tc>
        <w:tc>
          <w:tcPr>
            <w:tcW w:w="282"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10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51,015</w:t>
            </w:r>
          </w:p>
        </w:tc>
        <w:tc>
          <w:tcPr>
            <w:tcW w:w="156" w:type="dxa"/>
            <w:tcBorders/>
            <w:shd w:fill="CCEEFF" w:val="clear"/>
            <w:vAlign w:val="center"/>
          </w:tcPr>
          <w:p>
            <w:pPr>
              <w:pStyle w:val="TableContents"/>
              <w:bidi w:val="0"/>
              <w:spacing w:before="0" w:after="0"/>
              <w:ind w:left="0" w:right="0" w:hanging="0"/>
              <w:jc w:val="left"/>
              <w:rPr/>
            </w:pPr>
            <w:r>
              <w:rPr/>
              <w:t>​</w:t>
            </w:r>
          </w:p>
        </w:tc>
        <w:tc>
          <w:tcPr>
            <w:tcW w:w="282"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9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38,369</w:t>
            </w:r>
          </w:p>
        </w:tc>
        <w:tc>
          <w:tcPr>
            <w:tcW w:w="136" w:type="dxa"/>
            <w:tcBorders/>
            <w:shd w:fill="CCEEFF" w:val="clear"/>
            <w:vAlign w:val="center"/>
          </w:tcPr>
          <w:p>
            <w:pPr>
              <w:pStyle w:val="TableContents"/>
              <w:bidi w:val="0"/>
              <w:spacing w:before="0" w:after="0"/>
              <w:ind w:left="0" w:right="0" w:hanging="0"/>
              <w:jc w:val="left"/>
              <w:rPr/>
            </w:pPr>
            <w:r>
              <w:rPr/>
              <w:t>​</w:t>
            </w:r>
          </w:p>
        </w:tc>
        <w:tc>
          <w:tcPr>
            <w:tcW w:w="274"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9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95,078</w:t>
            </w:r>
          </w:p>
        </w:tc>
        <w:tc>
          <w:tcPr>
            <w:tcW w:w="152" w:type="dxa"/>
            <w:tcBorders/>
            <w:shd w:fill="CCEEFF" w:val="clear"/>
            <w:vAlign w:val="center"/>
          </w:tcPr>
          <w:p>
            <w:pPr>
              <w:pStyle w:val="TableContents"/>
              <w:bidi w:val="0"/>
              <w:spacing w:before="0" w:after="0"/>
              <w:ind w:left="0" w:right="0" w:hanging="0"/>
              <w:jc w:val="left"/>
              <w:rPr/>
            </w:pPr>
            <w:r>
              <w:rPr/>
              <w:t>​</w:t>
            </w:r>
          </w:p>
        </w:tc>
        <w:tc>
          <w:tcPr>
            <w:tcW w:w="274"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10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75,588</w:t>
            </w:r>
          </w:p>
        </w:tc>
      </w:tr>
      <w:tr>
        <w:trPr/>
        <w:tc>
          <w:tcPr>
            <w:tcW w:w="10205" w:type="dxa"/>
            <w:gridSpan w:val="12"/>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2"/>
              </w:rPr>
              <w:t>(1)</w:t>
            </w:r>
            <w:r>
              <w:rPr>
                <w:rFonts w:ascii="Times New Roman;Times;serif" w:hAnsi="Times New Roman;Times;serif"/>
                <w:sz w:val="16"/>
              </w:rPr>
              <w:t xml:space="preserve"> Other segment items include professional fees, contracted labor, transaction costs, acquisition related earn-out adjustments and foreign currency exchange gains (losses). </w:t>
            </w:r>
          </w:p>
        </w:tc>
      </w:tr>
      <w:tr>
        <w:trPr/>
        <w:tc>
          <w:tcPr>
            <w:tcW w:w="10205" w:type="dxa"/>
            <w:gridSpan w:val="12"/>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2"/>
              </w:rPr>
              <w:t xml:space="preserve">(2) </w:t>
            </w:r>
            <w:r>
              <w:rPr>
                <w:rFonts w:ascii="Times New Roman;Times;serif" w:hAnsi="Times New Roman;Times;serif"/>
                <w:sz w:val="16"/>
              </w:rPr>
              <w:t>The three and six months ended June 30, 2026 include $1,713 and $7,883, respectively, in severance costs related to the Value Creation Plan. For further information, refer to Note 15, “Restructuring” to the condensed consolidated financial statements.</w:t>
            </w:r>
          </w:p>
        </w:tc>
      </w:tr>
      <w:tr>
        <w:trPr/>
        <w:tc>
          <w:tcPr>
            <w:tcW w:w="10205" w:type="dxa"/>
            <w:gridSpan w:val="12"/>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2"/>
              </w:rPr>
              <w:t xml:space="preserve">(3) </w:t>
            </w:r>
            <w:r>
              <w:rPr>
                <w:rFonts w:ascii="Times New Roman;Times;serif" w:hAnsi="Times New Roman;Times;serif"/>
                <w:sz w:val="16"/>
              </w:rPr>
              <w:t>The acquisition-related compensation expenses recorded for the three and six months ended June 30, 2026 are related to the Additional Cash Consideration obligation associated with the acquisition of Brinta. For further information, refer to Note 3, “Acquisitions” to the condensed consolidated financial statements.</w:t>
            </w:r>
          </w:p>
        </w:tc>
      </w:tr>
      <w:tr>
        <w:trPr/>
        <w:tc>
          <w:tcPr>
            <w:tcW w:w="10205" w:type="dxa"/>
            <w:gridSpan w:val="12"/>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2"/>
              </w:rPr>
              <w:t>(4)</w:t>
            </w:r>
            <w:r>
              <w:rPr>
                <w:rFonts w:ascii="Times New Roman;Times;serif" w:hAnsi="Times New Roman;Times;serif"/>
                <w:sz w:val="16"/>
              </w:rPr>
              <w:t xml:space="preserve">The three and six months ended June 30, 2026 periods include $6,250 and $8,800, respectively, in costs incurred to support the execution of our Value Creation Plan. For further information, refer to Note 15, “ Restructuring” to the condensed consolidated financial statements. Amounts also include legal expenses associated with pending litigation related to claims the Company has made against a competitor. For further information, refer to Note 12, “Commitments and Contingencies” to the condensed consolidated financial statements. </w:t>
            </w:r>
          </w:p>
        </w:tc>
      </w:tr>
    </w:tbl>
    <w:p>
      <w:pPr>
        <w:pStyle w:val="TextBody"/>
        <w:bidi w:val="0"/>
        <w:spacing w:before="0" w:after="1"/>
        <w:ind w:left="0" w:right="0" w:firstLine="360"/>
        <w:jc w:val="left"/>
        <w:rPr/>
      </w:pPr>
      <w:r>
        <w:rPr/>
        <w:t>​</w:t>
      </w:r>
    </w:p>
    <w:p>
      <w:pPr>
        <w:pStyle w:val="TextBody"/>
        <w:bidi w:val="0"/>
        <w:spacing w:before="0" w:after="1"/>
        <w:ind w:left="0" w:right="0" w:firstLine="360"/>
        <w:jc w:val="left"/>
        <w:rPr>
          <w:rFonts w:ascii="Times New Roman;Times;serif" w:hAnsi="Times New Roman;Times;serif"/>
          <w:sz w:val="20"/>
        </w:rPr>
      </w:pPr>
      <w:r>
        <w:rPr>
          <w:rFonts w:ascii="Times New Roman;Times;serif" w:hAnsi="Times New Roman;Times;serif"/>
          <w:sz w:val="20"/>
        </w:rPr>
        <w:t xml:space="preserve">Additionally, the Company considers stock-based compensation expense a significant expense category. For further information, refer to Note 11, “Stock-Based Award Plans.”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766" w:type="dxa"/>
        <w:jc w:val="left"/>
        <w:tblInd w:w="0" w:type="dxa"/>
        <w:tblLayout w:type="fixed"/>
        <w:tblCellMar>
          <w:top w:w="0" w:type="dxa"/>
          <w:left w:w="0" w:type="dxa"/>
          <w:bottom w:w="0" w:type="dxa"/>
          <w:right w:w="0" w:type="dxa"/>
        </w:tblCellMar>
      </w:tblPr>
      <w:tblGrid>
        <w:gridCol w:w="6766"/>
      </w:tblGrid>
      <w:tr>
        <w:trPr/>
        <w:tc>
          <w:tcPr>
            <w:tcW w:w="6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As the Company operates solely within one segment, total assets, property and equipment, net, and capitalized software, net are reported at the consolidated level on the condensed consolidated balance sheets. The Company’s assets include both current and long-lived assets, and corporate assets. As of June 30, 2026 and December 31, 2025, $1,480 and $1,347, respectively, of the Company’s property and equipment assets were held outside of the U.S. </w:t>
      </w:r>
    </w:p>
    <w:p>
      <w:pPr>
        <w:pStyle w:val="TextBody"/>
        <w:bidi w:val="0"/>
        <w:spacing w:before="0" w:after="240"/>
        <w:ind w:left="0" w:right="0" w:firstLine="72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Depreciation and amortization, property and equipment additions, and capital software additions are reported at the consolidated level on the condensed consolidated statements of cash flows.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disaggregates revenue from contracts with customers based on geographical regions, timing of revenue recognition, and the major product and service types. For both the three and six months ended June 30, 2026, approximately 11% of the Company’s revenues were generated from customers located outside the U.S. For both the three and six months ended June 30, 2025, approximately 9% of the Company’s revenues were generated from customers located outside the U.S. None of the Company’s customers represented more than 10% of total revenues for the three or six months ended June 30, 2026 or 2025. For further information, including disaggregation of revenues, refer to Note 2, “Revenue Recognition.”</w:t>
      </w:r>
    </w:p>
    <w:p>
      <w:pPr>
        <w:pStyle w:val="TextBody"/>
        <w:bidi w:val="0"/>
        <w:spacing w:before="0" w:after="240"/>
        <w:ind w:left="0" w:right="0" w:firstLine="360"/>
        <w:jc w:val="both"/>
        <w:rPr/>
      </w:pPr>
      <w:r>
        <w:rPr/>
        <w:t>​</w:t>
      </w:r>
    </w:p>
    <w:p>
      <w:pPr>
        <w:pStyle w:val="TextBody"/>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14.   INCOME TAXES</w:t>
      </w:r>
      <w:r>
        <w:rPr>
          <w:rFonts w:ascii="Times New Roman;Times;serif" w:hAnsi="Times New Roman;Times;serif"/>
          <w:b/>
          <w:color w:val="FF0000"/>
          <w:sz w:val="20"/>
        </w:rPr>
        <w:t xml:space="preserve"> </w:t>
      </w:r>
    </w:p>
    <w:p>
      <w:pPr>
        <w:pStyle w:val="TextBody"/>
        <w:shd w:fill="FFFFFF" w:val="clear"/>
        <w:bidi w:val="0"/>
        <w:spacing w:before="0" w:after="160"/>
        <w:ind w:left="0" w:right="0" w:firstLine="360"/>
        <w:jc w:val="both"/>
        <w:rPr>
          <w:rFonts w:ascii="Times New Roman;Times;serif" w:hAnsi="Times New Roman;Times;serif"/>
          <w:sz w:val="20"/>
        </w:rPr>
      </w:pPr>
      <w:r>
        <w:rPr>
          <w:rFonts w:ascii="Times New Roman;Times;serif" w:hAnsi="Times New Roman;Times;serif"/>
          <w:sz w:val="20"/>
        </w:rPr>
        <w:t>The Company reported income tax (benefit) of $(13,142) and $(1,675) for the three months ended June 30, 2026 and 2025, respectively, and $(20,281) and $(6,780) for the six months ended June 30, 2026 and 2025, respectively. The effective income tax rate was 320.6% for the three months ended June 30, 2026, compared to 63.5% for the three months ended June 30, 2025, and 147.5% for the six months ended June 30, 2026, compared to (200.1)% for the six months ended June 30, 2025.</w:t>
      </w:r>
    </w:p>
    <w:p>
      <w:pPr>
        <w:pStyle w:val="TextBody"/>
        <w:bidi w:val="0"/>
        <w:spacing w:before="0" w:after="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In determining interim provisions for income taxes, the Company uses the annual estimated effective tax rate applied to the actual year-to-date income (loss) adjusted for discrete items arising year-to-date. The Company’s effective tax rate differs from the U.S. federal statutory rate of 21% primarily due to fluctuations in valuation allowances on net deferred tax assets established for U.S. and certain foreign jurisdictions, state taxes, tax credits, tax benefits on the exercises and vesting of stock awards, limitations on deductions of certain employees’ compensation under Internal Revenue Code Section 162(m), foreign taxes, and fluctuations in nondeductible contingent consideration liabilities.</w:t>
      </w:r>
    </w:p>
    <w:p>
      <w:pPr>
        <w:pStyle w:val="TextBody"/>
        <w:bidi w:val="0"/>
        <w:spacing w:before="0" w:after="0"/>
        <w:ind w:left="0" w:right="0" w:firstLine="360"/>
        <w:jc w:val="both"/>
        <w:rPr>
          <w:shd w:fill="FFFFFF" w:val="clear"/>
        </w:rPr>
      </w:pPr>
      <w:r>
        <w:rPr>
          <w:shd w:fill="FFFFFF" w:val="clea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income tax benefit for the three months ended June 30, 2026 was primarily attributable to fluctuations in valuation allowances on net deferred tax assets established for U.S. and certain foreign jurisdictions, as well as the impact from the estimated annual effective tax rate applied to pre-tax loss for the three months ended June 30, 2026. The income tax benefit for the six months ended June 30, 2026 was primarily attributable to fluctuations in valuation allowances on net deferred tax assets established for U.S. and certain foreign jurisdictions, as well as the impact from the estimated annual effective tax rate applied to pre-tax loss for the six months ended June 30, 2026.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18"/>
        </w:rPr>
      </w:pPr>
      <w:r>
        <w:rPr>
          <w:rFonts w:ascii="Times New Roman;Times;serif" w:hAnsi="Times New Roman;Times;serif"/>
          <w:sz w:val="19"/>
        </w:rPr>
        <w:t>The income tax benefit for the three months ended June 30, 2025 was primarily attributable to tax benefits from stock-based awards exercised or vested, net of limitations on deductions of certain employees’ compensation, and fluctuations in valuation allowances on net deferred tax assets established for U.S. and certain foreign jurisdictions. The income tax benefit for the six months ended June 30, 2025 was primarily attributable to tax benefits from stock-based awards exercised or vested, tax credits, and fluctuations in nondeductible contingent consideration liabilities, net of limitations on deductions of certain employees’ compensation, fluctuations in valuation allowances on net deferred tax assets established for U.S. and certain foreign jurisdictions, and state taxes.</w:t>
      </w:r>
      <w:r>
        <w:rPr>
          <w:rFonts w:ascii="Times New Roman;Times;serif" w:hAnsi="Times New Roman;Times;serif"/>
          <w:sz w:val="18"/>
        </w:rPr>
        <w:t xml:space="preserve"> </w:t>
      </w:r>
    </w:p>
    <w:p>
      <w:pPr>
        <w:pStyle w:val="TextBody"/>
        <w:bidi w:val="0"/>
        <w:spacing w:lineRule="auto" w:line="304" w:before="0" w:after="0"/>
        <w:ind w:left="0" w:right="0" w:firstLine="360"/>
        <w:jc w:val="both"/>
        <w:rPr/>
      </w:pPr>
      <w:r>
        <w:rPr/>
        <w:t>​</w:t>
      </w:r>
    </w:p>
    <w:p>
      <w:pPr>
        <w:pStyle w:val="TextBody"/>
        <w:bidi w:val="0"/>
        <w:spacing w:before="0" w:after="160"/>
        <w:ind w:left="0" w:right="0" w:hanging="0"/>
        <w:jc w:val="both"/>
        <w:rPr>
          <w:rFonts w:ascii="Times New Roman;Times;serif" w:hAnsi="Times New Roman;Times;serif"/>
          <w:b/>
          <w:sz w:val="20"/>
        </w:rPr>
      </w:pPr>
      <w:r>
        <w:rPr>
          <w:rFonts w:ascii="Times New Roman;Times;serif" w:hAnsi="Times New Roman;Times;serif"/>
          <w:b/>
          <w:sz w:val="20"/>
        </w:rPr>
        <w:t>15.   RESTRUCTURING</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April 28, 2026, the Company announced its Board approved a global Value Creation Plan (the “Plan”) with the intention to become a more AI-enabled company, focusing investments on key growth opportunities and driving operational efficiency to better align the Company’s workforce and resources with its long-term strategic priorities.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766" w:type="dxa"/>
        <w:jc w:val="left"/>
        <w:tblInd w:w="0" w:type="dxa"/>
        <w:tblLayout w:type="fixed"/>
        <w:tblCellMar>
          <w:top w:w="0" w:type="dxa"/>
          <w:left w:w="0" w:type="dxa"/>
          <w:bottom w:w="0" w:type="dxa"/>
          <w:right w:w="0" w:type="dxa"/>
        </w:tblCellMar>
      </w:tblPr>
      <w:tblGrid>
        <w:gridCol w:w="6766"/>
      </w:tblGrid>
      <w:tr>
        <w:trPr/>
        <w:tc>
          <w:tcPr>
            <w:tcW w:w="6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bookmarkStart w:id="2196" w:name="Tc_ba3vpIWNlk6zCLsOCCr6XQ_9_0"/>
      <w:bookmarkStart w:id="2197" w:name="Tc_FDLKF3Qp3k-Gi31E8NxcbQ_8_1"/>
      <w:bookmarkStart w:id="2198" w:name="Tc_V7-1pn3rHE2vYs4ygBUjcw_8_0"/>
      <w:bookmarkStart w:id="2199" w:name="Tc_CjRD4HOQbUybTBCjc-cEQA_7_0"/>
      <w:bookmarkStart w:id="2200" w:name="Tc_guLztW-25USApy9c8MjyVw_5_0"/>
      <w:bookmarkStart w:id="2201" w:name="Tc_K_Fyl0WyWUW-dJQctuyxoA_4_2"/>
      <w:bookmarkStart w:id="2202" w:name="Tc_WRS4afyllk6T0eRZ8kyixw_4_1"/>
      <w:bookmarkStart w:id="2203" w:name="Tc_PTkEqbMD90qRwEcs65hqzg_4_0"/>
      <w:bookmarkStart w:id="2204" w:name="Tc_x91OepL3vkSxTs1qi5vYnQ_3_2"/>
      <w:bookmarkStart w:id="2205" w:name="Tc_sT8OyuwAuES3EDnZgpuMeQ_2_2"/>
      <w:bookmarkStart w:id="2206" w:name="Tc_MPXOlxHLREuntwpjC6c6cw_1_2"/>
      <w:bookmarkEnd w:id="2196"/>
      <w:bookmarkEnd w:id="2197"/>
      <w:bookmarkEnd w:id="2198"/>
      <w:bookmarkEnd w:id="2199"/>
      <w:bookmarkEnd w:id="2200"/>
      <w:bookmarkEnd w:id="2201"/>
      <w:bookmarkEnd w:id="2202"/>
      <w:bookmarkEnd w:id="2203"/>
      <w:bookmarkEnd w:id="2204"/>
      <w:bookmarkEnd w:id="2205"/>
      <w:bookmarkEnd w:id="2206"/>
      <w:r>
        <w:rPr>
          <w:rFonts w:ascii="Times New Roman;Times;serif" w:hAnsi="Times New Roman;Times;serif"/>
          <w:sz w:val="20"/>
        </w:rPr>
        <w:t>Plan includes a reduction in force of approximately 170 employees along with a significant reduction of third party spend across the Company. In connection with the Plan, the Company recognized pre-tax charges of $1,713 and $7,883 during the three and six months ended June 30, 2026, respectively, which are also included in the general and administrative expense line of the condensed consolidated statements of comprehensive income (loss). These charges consist primarily of cash expenditures related to employee severance, notice pay, statutory termination indemnities, and other employee separation benefits. All related cash payments are expected to be made during 2026. Any changes to the estimates or timing of the Plan will be reflected in the Company’s results of operations in future periods.</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Total liabilities related to the Plan are recorded in the accrued salaries and benefits line of the condensed consolidated balance sheet at June 30, 2026. The following table summarizes the Company’s restructuring liability activities for the six months ended June 30, 2026:</w:t>
      </w:r>
    </w:p>
    <w:p>
      <w:pPr>
        <w:pStyle w:val="TextBody"/>
        <w:bidi w:val="0"/>
        <w:spacing w:before="0" w:after="240"/>
        <w:ind w:left="0" w:right="0" w:firstLine="360"/>
        <w:jc w:val="both"/>
        <w:rPr/>
      </w:pPr>
      <w:r>
        <w:rPr/>
        <w:t>​</w:t>
      </w:r>
    </w:p>
    <w:p>
      <w:pPr>
        <w:pStyle w:val="TextBody"/>
        <w:bidi w:val="0"/>
        <w:spacing w:before="0" w:after="240"/>
        <w:ind w:left="0" w:right="0" w:hanging="0"/>
        <w:jc w:val="both"/>
        <w:rPr/>
      </w:pPr>
      <w:r>
        <w:rPr/>
        <w:t>​</w:t>
      </w:r>
    </w:p>
    <w:tbl>
      <w:tblPr>
        <w:tblW w:w="9390" w:type="dxa"/>
        <w:jc w:val="left"/>
        <w:tblInd w:w="0" w:type="dxa"/>
        <w:tblLayout w:type="fixed"/>
        <w:tblCellMar>
          <w:top w:w="0" w:type="dxa"/>
          <w:left w:w="0" w:type="dxa"/>
          <w:bottom w:w="0" w:type="dxa"/>
          <w:right w:w="0" w:type="dxa"/>
        </w:tblCellMar>
      </w:tblPr>
      <w:tblGrid>
        <w:gridCol w:w="6257"/>
        <w:gridCol w:w="611"/>
        <w:gridCol w:w="2522"/>
      </w:tblGrid>
      <w:tr>
        <w:trPr/>
        <w:tc>
          <w:tcPr>
            <w:tcW w:w="6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3973195" cy="175260"/>
                      <wp:effectExtent l="0" t="0" r="0" b="0"/>
                      <wp:wrapNone/>
                      <wp:docPr id="405" name="Frame405"/>
                      <a:graphic xmlns:a="http://schemas.openxmlformats.org/drawingml/2006/main">
                        <a:graphicData uri="http://schemas.microsoft.com/office/word/2010/wordprocessingShape">
                          <wps:wsp>
                            <wps:cNvSpPr txBox="1"/>
                            <wps:spPr>
                              <a:xfrm>
                                <a:off x="0" y="0"/>
                                <a:ext cx="3973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387985" cy="175260"/>
                      <wp:effectExtent l="0" t="0" r="0" b="0"/>
                      <wp:wrapNone/>
                      <wp:docPr id="406" name="Frame406"/>
                      <a:graphic xmlns:a="http://schemas.openxmlformats.org/drawingml/2006/main">
                        <a:graphicData uri="http://schemas.microsoft.com/office/word/2010/wordprocessingShape">
                          <wps:wsp>
                            <wps:cNvSpPr txBox="1"/>
                            <wps:spPr>
                              <a:xfrm>
                                <a:off x="0" y="0"/>
                                <a:ext cx="387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1601470" cy="175260"/>
                      <wp:effectExtent l="0" t="0" r="0" b="0"/>
                      <wp:wrapNone/>
                      <wp:docPr id="407" name="Frame407"/>
                      <a:graphic xmlns:a="http://schemas.openxmlformats.org/drawingml/2006/main">
                        <a:graphicData uri="http://schemas.microsoft.com/office/word/2010/wordprocessingShape">
                          <wps:wsp>
                            <wps:cNvSpPr txBox="1"/>
                            <wps:spPr>
                              <a:xfrm>
                                <a:off x="0" y="0"/>
                                <a:ext cx="16014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257" w:type="dxa"/>
            <w:tcBorders/>
            <w:vAlign w:val="center"/>
          </w:tcPr>
          <w:p>
            <w:pPr>
              <w:pStyle w:val="TableContents"/>
              <w:bidi w:val="0"/>
              <w:spacing w:before="0" w:after="1"/>
              <w:ind w:left="0" w:right="0" w:hanging="0"/>
              <w:jc w:val="left"/>
              <w:rPr/>
            </w:pPr>
            <w:r>
              <w:rPr/>
              <w:t>​</w:t>
            </w:r>
          </w:p>
        </w:tc>
        <w:tc>
          <w:tcPr>
            <w:tcW w:w="611" w:type="dxa"/>
            <w:tcBorders/>
            <w:vAlign w:val="center"/>
          </w:tcPr>
          <w:p>
            <w:pPr>
              <w:pStyle w:val="TableContents"/>
              <w:bidi w:val="0"/>
              <w:spacing w:before="0" w:after="1"/>
              <w:ind w:left="0" w:right="0" w:hanging="0"/>
              <w:jc w:val="left"/>
              <w:rPr/>
            </w:pPr>
            <w:r>
              <w:rPr/>
              <w:t>​</w:t>
            </w:r>
          </w:p>
        </w:tc>
        <w:tc>
          <w:tcPr>
            <w:tcW w:w="2522"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Value</w:t>
            </w:r>
          </w:p>
        </w:tc>
      </w:tr>
      <w:tr>
        <w:trPr/>
        <w:tc>
          <w:tcPr>
            <w:tcW w:w="6257" w:type="dxa"/>
            <w:tcBorders/>
            <w:vAlign w:val="center"/>
          </w:tcPr>
          <w:p>
            <w:pPr>
              <w:pStyle w:val="TableContents"/>
              <w:bidi w:val="0"/>
              <w:spacing w:before="0" w:after="1"/>
              <w:ind w:left="0" w:right="0" w:hanging="0"/>
              <w:jc w:val="left"/>
              <w:rPr/>
            </w:pPr>
            <w:r>
              <w:rPr/>
              <w:t>​</w:t>
            </w:r>
          </w:p>
        </w:tc>
        <w:tc>
          <w:tcPr>
            <w:tcW w:w="611" w:type="dxa"/>
            <w:tcBorders/>
            <w:vAlign w:val="center"/>
          </w:tcPr>
          <w:p>
            <w:pPr>
              <w:pStyle w:val="TableContents"/>
              <w:bidi w:val="0"/>
              <w:spacing w:before="0" w:after="1"/>
              <w:ind w:left="0" w:right="0" w:hanging="0"/>
              <w:jc w:val="left"/>
              <w:rPr/>
            </w:pPr>
            <w:r>
              <w:rPr/>
              <w:t>​</w:t>
            </w:r>
          </w:p>
        </w:tc>
        <w:tc>
          <w:tcPr>
            <w:tcW w:w="2522"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Creation </w:t>
            </w:r>
          </w:p>
        </w:tc>
      </w:tr>
      <w:tr>
        <w:trPr/>
        <w:tc>
          <w:tcPr>
            <w:tcW w:w="6257" w:type="dxa"/>
            <w:tcBorders/>
            <w:vAlign w:val="center"/>
          </w:tcPr>
          <w:p>
            <w:pPr>
              <w:pStyle w:val="TableContents"/>
              <w:bidi w:val="0"/>
              <w:spacing w:before="0" w:after="1"/>
              <w:ind w:left="0" w:right="0" w:hanging="0"/>
              <w:jc w:val="left"/>
              <w:rPr/>
            </w:pPr>
            <w:r>
              <w:rPr/>
              <w:t>​</w:t>
            </w:r>
          </w:p>
        </w:tc>
        <w:tc>
          <w:tcPr>
            <w:tcW w:w="6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52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Plan</w:t>
            </w:r>
          </w:p>
        </w:tc>
      </w:tr>
      <w:tr>
        <w:trPr/>
        <w:tc>
          <w:tcPr>
            <w:tcW w:w="62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January 1, 2026</w:t>
            </w:r>
          </w:p>
        </w:tc>
        <w:tc>
          <w:tcPr>
            <w:tcW w:w="6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522" w:type="dxa"/>
            <w:tcBorders/>
            <w:shd w:fill="CCEEFF" w:val="clear"/>
            <w:vAlign w:val="center"/>
          </w:tcPr>
          <w:p>
            <w:pPr>
              <w:pStyle w:val="TableContents"/>
              <w:bidi w:val="0"/>
              <w:spacing w:before="0" w:after="1"/>
              <w:ind w:left="0" w:right="0" w:hanging="0"/>
              <w:jc w:val="right"/>
              <w:rPr/>
            </w:pPr>
            <w:r>
              <w:rPr/>
              <w:t>—</w:t>
            </w:r>
          </w:p>
        </w:tc>
      </w:tr>
      <w:tr>
        <w:trPr/>
        <w:tc>
          <w:tcPr>
            <w:tcW w:w="6257"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Initial provision </w:t>
            </w:r>
            <w:r>
              <w:rPr>
                <w:rFonts w:ascii="Times New Roman;Times;serif" w:hAnsi="Times New Roman;Times;serif"/>
                <w:sz w:val="15"/>
              </w:rPr>
              <w:t>(1)</w:t>
            </w:r>
          </w:p>
        </w:tc>
        <w:tc>
          <w:tcPr>
            <w:tcW w:w="611" w:type="dxa"/>
            <w:tcBorders/>
            <w:vAlign w:val="center"/>
          </w:tcPr>
          <w:p>
            <w:pPr>
              <w:pStyle w:val="TableContents"/>
              <w:bidi w:val="0"/>
              <w:spacing w:before="0" w:after="1"/>
              <w:ind w:left="0" w:right="0" w:hanging="0"/>
              <w:jc w:val="center"/>
              <w:rPr/>
            </w:pPr>
            <w:r>
              <w:rPr/>
              <w:t>​</w:t>
            </w:r>
          </w:p>
        </w:tc>
        <w:tc>
          <w:tcPr>
            <w:tcW w:w="25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6,170</w:t>
            </w:r>
          </w:p>
        </w:tc>
      </w:tr>
      <w:tr>
        <w:trPr/>
        <w:tc>
          <w:tcPr>
            <w:tcW w:w="6257"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Charges</w:t>
            </w:r>
            <w:r>
              <w:rPr>
                <w:rFonts w:ascii="Times New Roman;Times;serif" w:hAnsi="Times New Roman;Times;serif"/>
                <w:caps w:val="false"/>
                <w:smallCaps w:val="false"/>
                <w:sz w:val="20"/>
              </w:rPr>
              <w:t xml:space="preserve"> </w:t>
            </w:r>
            <w:r>
              <w:rPr>
                <w:rFonts w:ascii="Times New Roman;Times;serif" w:hAnsi="Times New Roman;Times;serif"/>
                <w:b w:val="false"/>
                <w:i w:val="false"/>
                <w:caps w:val="false"/>
                <w:smallCaps w:val="false"/>
                <w:sz w:val="15"/>
              </w:rPr>
              <w:t>(1)</w:t>
            </w:r>
          </w:p>
        </w:tc>
        <w:tc>
          <w:tcPr>
            <w:tcW w:w="611" w:type="dxa"/>
            <w:tcBorders/>
            <w:shd w:fill="CCEEFF" w:val="clear"/>
            <w:vAlign w:val="center"/>
          </w:tcPr>
          <w:p>
            <w:pPr>
              <w:pStyle w:val="TableContents"/>
              <w:bidi w:val="0"/>
              <w:spacing w:before="0" w:after="1"/>
              <w:ind w:left="0" w:right="0" w:hanging="0"/>
              <w:jc w:val="center"/>
              <w:rPr/>
            </w:pPr>
            <w:r>
              <w:rPr/>
              <w:t>​</w:t>
            </w:r>
          </w:p>
        </w:tc>
        <w:tc>
          <w:tcPr>
            <w:tcW w:w="25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1,713</w:t>
            </w:r>
          </w:p>
        </w:tc>
      </w:tr>
      <w:tr>
        <w:trPr/>
        <w:tc>
          <w:tcPr>
            <w:tcW w:w="625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Payments</w:t>
            </w:r>
          </w:p>
        </w:tc>
        <w:tc>
          <w:tcPr>
            <w:tcW w:w="6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25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(4,348)</w:t>
            </w:r>
          </w:p>
        </w:tc>
      </w:tr>
      <w:tr>
        <w:trPr/>
        <w:tc>
          <w:tcPr>
            <w:tcW w:w="62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June 30, 2026</w:t>
            </w:r>
          </w:p>
        </w:tc>
        <w:tc>
          <w:tcPr>
            <w:tcW w:w="6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5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3,535</w:t>
            </w:r>
          </w:p>
        </w:tc>
      </w:tr>
      <w:tr>
        <w:trPr/>
        <w:tc>
          <w:tcPr>
            <w:tcW w:w="9390" w:type="dxa"/>
            <w:gridSpan w:val="3"/>
            <w:tcBorders/>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2"/>
              </w:rPr>
              <w:t>(1)</w:t>
            </w:r>
            <w:r>
              <w:rPr>
                <w:rFonts w:ascii="Times New Roman;Times;serif" w:hAnsi="Times New Roman;Times;serif"/>
                <w:sz w:val="16"/>
              </w:rPr>
              <w:t xml:space="preserve"> Included in the general and administrative expense line of the condensed consolidated statements of comprehensive income (loss).</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pPr>
      <w:r>
        <w:rPr/>
        <w:t>​</w:t>
      </w:r>
    </w:p>
    <w:p>
      <w:pPr>
        <w:pStyle w:val="TextBody"/>
        <w:bidi w:val="0"/>
        <w:spacing w:before="0" w:after="240"/>
        <w:ind w:left="0" w:right="0" w:firstLine="360"/>
        <w:jc w:val="both"/>
        <w:rPr/>
      </w:pPr>
      <w:r>
        <w:rPr/>
        <w:t>​</w:t>
      </w:r>
    </w:p>
    <w:p>
      <w:pPr>
        <w:pStyle w:val="TextBody"/>
        <w:bidi w:val="0"/>
        <w:spacing w:before="0" w:after="240"/>
        <w:ind w:left="0" w:right="0" w:firstLine="36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2207" w:name="Item2MANAGEMENTSDISCUSSIONANDANALYSIS_19"/>
      <w:bookmarkStart w:id="2208" w:name="_02094660_b098_47e7_9b97_2c8c1eccf458"/>
      <w:bookmarkStart w:id="2209" w:name="Item2MANAGEMENTSDISCUSSIONANDANALYSIS_19"/>
      <w:bookmarkStart w:id="2210" w:name="_02094660_b098_47e7_9b97_2c8c1eccf458"/>
      <w:bookmarkEnd w:id="2209"/>
      <w:bookmarkEnd w:id="2210"/>
    </w:p>
    <w:tbl>
      <w:tblPr>
        <w:tblW w:w="10205" w:type="dxa"/>
        <w:jc w:val="left"/>
        <w:tblInd w:w="0" w:type="dxa"/>
        <w:tblLayout w:type="fixed"/>
        <w:tblCellMar>
          <w:top w:w="0" w:type="dxa"/>
          <w:left w:w="0" w:type="dxa"/>
          <w:bottom w:w="0" w:type="dxa"/>
          <w:right w:w="0" w:type="dxa"/>
        </w:tblCellMar>
      </w:tblPr>
      <w:tblGrid>
        <w:gridCol w:w="693"/>
        <w:gridCol w:w="9512"/>
      </w:tblGrid>
      <w:tr>
        <w:trPr/>
        <w:tc>
          <w:tcPr>
            <w:tcW w:w="693"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2.</w:t>
            </w:r>
          </w:p>
        </w:tc>
        <w:tc>
          <w:tcPr>
            <w:tcW w:w="95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b/>
                <w:sz w:val="20"/>
              </w:rPr>
              <w:t>MANAGEMENT’S DISCUSSION AND ANALYSIS OF FINANCIAL CONDITION AND RESULTS</w:t>
            </w:r>
            <w:r>
              <w:rPr>
                <w:rFonts w:ascii="Times New Roman;Times;serif" w:hAnsi="Times New Roman;Times;serif"/>
                <w:sz w:val="20"/>
              </w:rPr>
              <w:t xml:space="preserve"> </w:t>
            </w:r>
            <w:r>
              <w:rPr>
                <w:rFonts w:ascii="Times New Roman;Times;serif" w:hAnsi="Times New Roman;Times;serif"/>
                <w:b/>
                <w:sz w:val="20"/>
              </w:rPr>
              <w:t>OF OPERATIONS</w:t>
            </w:r>
          </w:p>
        </w:tc>
      </w:tr>
    </w:tbl>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You should read the following discussion and analysis of our financial condition and results of operations in conjunction with the condensed consolidated financial statements and the notes thereto included elsewhere in this Quarterly Report on Form 10-Q, as well as our audited consolidated financial statements and related notes as disclosed in our Annual Report on Form 10-K filed with the Securities and Exchange Commission (the “SEC”) on February 24, 2026 (the “2025 Annual Report”). In addition to historical financial information, the following discussion contains forward-looking statements that reflect our plans, estimates, beliefs, and expectations that involve risks and uncertainties. Our actual results and the timing of events could differ materially from those discussed in the forward-looking statements. Factors that could cause or contribute to these differences include those discussed below and elsewhere in this Quarterly Report on Form 10-Q, particularly in the section titled “Special Note Regarding Forward-Looking Statements” above, and in Part I, Item 1A of the 2025 Annual Report and as may be subsequently updated by our other SEC filings.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Overview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Vertex is the Decision-to-Defense™ global indirect tax and compliance company. Vertex helps enterprises bring control to indirect tax and compliance across the full transaction lifecycle — from tax determination and e-invoicing through reporting, filing, and audit defense — to make outcomes easier to prove and improve over time. Trusted by more than 60% of the Fortune 500, Vertex combines decades of tax expertise, deep global tax and compliance knowledge, and embedded integrations to help organizations operate globally with confidence. With headquarters in North America and offices in South America and Europe, Vertex's purpose is to ensure businesses and communities thrive through trusted transactions. Vertex employs approximately 2,000 professionals and serves companies across the globe.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Vertex provides cloud-based and on-premise solutions that can be tailored to specific industries for every major line of indirect tax, including sales and consumer use, value added (including e-invoicing), and payroll.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derive the majority of our revenue from software subscriptions. These subscriptions include use of our software and ongoing monthly content updates. Our software is offered on a subscription basis to our customers, regardless of their deployment preferences. On-premise subscriptions and cloud-based subscriptions are typically sold through one- to three-year contracts. We bill the majority of our customers annually in advance of the subscription period.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customers include the majority of the Fortune 500, as well as a majority of the top 10 companies by revenue in multiple industries such as retail, technology, and manufacturing, in addition to leading marketplaces. Our customer base also includes many of Europe’s largest companies in the industrial and chemical manufacturing, pharmaceutical, medical device and metals and mining industries. As our customers expand geographically and pursue omnichannel business models, their tax determination and compliance requirements increase and become more complex, providing sustainable organic growth opportunities for our business. Our flexible, tiered transaction-based pricing model also results in our customers growing their spend with us as they grow and continue to use our solutions. We principally price our solutions based on a customer’s revenue base, in addition to a number of other factors.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employ a hybrid deployment model to align to our customers’ technology preferences for their core financial management software across on-premise, cloud deployments or any combination of these models. Over time, we expect both existing and newly acquired customers to continue to shift towards cloud deployment models. Cloud-based subscription sales to new customers have grown at a faster rate than on-premise software subscription sales, which is a trend that we expect to continue over time. We generated 58% and 55% of software subscription revenue from cloud-based subscriptions during the three months ended June 30, 2026 and 2025, respectively, and 58% and 54% for the six months ended June 30, 2026 and 2025, respectively. While our on-premise software subscription revenue comprised 42% and 45% of our software subscription revenue during the three months ended June 30, 2026 and 2025, respectively, and 42% and 46% during the six months ended June 30, 2026 and 2025, respectively, it continues to decrease as a percentage of total software subscriptions revenues as cloud-based subscriptions grow.</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license our solutions primarily through our direct sales force, which focuses on selling to qualified leads provided by our marketing efforts, and through our network of referral partners. We also utilize indirect sales to a lesser extent to efficiently grow and scale our enterprise and mid-market revenues.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partner ecosystem is a differentiating, competitive strength in both our software development and our sales and marketing activities. We integrate with key technology partners that span Enterprise Resource Planning (“ERP”), Customer Relationship Management, procurement, billing, Point of Sale and e-commerce. These partners include Adobe/Magento, Coupa, Kintsugi AI, Inc., Microsoft Dynamics, NetSuite, Oracle, Salesforce, SAP, SAP Ariba, Shopify, Workday and Zuora. We also collaborate with numerous accounting firms who have built implementation practices around our software to serve their customer base.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that global commerce and the compliance environment provides durable and accelerating growth opportunities for our business. We generated revenue of $204.0 million and $184.6 million for the three months ended June 30, 2026 and 2025, respectively, and $400.6 million and $361.6 million for the six months ended June 30, 2026 and 2025, respectively. We had net income (loss) of $9.0 million and $(1.0) million for the three months ended June 30, 2026 and 2025, respectively, and $6.5 million and $10.2 million for the six months ended June 30, 2026 and 2025, respectively. These amounts are presented in accordance with United States (“U.S.”) generally accepted accounting principles (“GAAP”).</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define Adjusted EBITDA as net loss or income before interest, taxes, depreciation, and amortization, as adjusted to exclude charges for stock-based compensation expense, amortization of cloud computing arrangement implementation costs, severance expense, acquisition contingent consideration, changes in the fair value of acquisition contingent earn-outs, acquisition-related retained employee compensation, and transaction costs. Adjusted EBITDA was $51.0 million and $38.4 million for the three months ended June 30, 2026 and 2025, respectively, and $95.1 million and $75.6 million for the six months ended June 30, 2026 and 2025, respectively. Adjusted EBITDA is a non-GAAP financial measure. Refer to “Management’s Discussion and Analysis of Financial Condition and Results of Operations—Key Business Metrics” and “Management’s Discussion and Analysis of Financial Condition and Results of Operations—Use and Reconciliation of Non-GAAP Financial Measures” for further discussion of key business metrics and non-GAAP financial measures and their comparison to GAAP financial measures.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that we currently have ample liquidity and capital resources to continue to meet our operating needs, and our ability to continue to service our debt or other financial obligations is not currently impaired. For a further description of our liquidity, see “Management’s Discussion and Analysis of Financial Condition and Results of Operations—Liquidity and Capital Resources.”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Recent Developments</w:t>
      </w:r>
      <w:r>
        <w:rPr>
          <w:rFonts w:ascii="Times New Roman;Times;serif" w:hAnsi="Times New Roman;Times;serif"/>
          <w:sz w:val="20"/>
        </w:rPr>
        <w:t xml:space="preserve"> </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Brinta Acquisition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March 2, 2026 (the “Acquisition Date”), we completed our acquisition of 100% of the equity interests of Finta Inc. and its subsidiaries (collectively, “Brinta” or the “Acquisition”). Headquartered in Uruguay, Brinta is a Latin American provider of business-to-business integration services, specializing in indirect tax calculation, tax filing, and e-invoicing. We plan to fully integrate Brinta, leveraging its e-invoicing capabilities to immediately expand the Company’s coverage across the Latin American region. Total purchase consideration for the Acquisition was $22.1 million, net of $0.04 million of cash acquired. For further information, refer to Note 3, “Acquisitions” to the condensed consolidated financial statements included in this Quarterly Report on Form 10-Q.</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 xml:space="preserve">Value Creation Plan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April 28, 2026, we announced that our Board approved a global Value Creation Plan (the “Plan”) with the intention to become a more AI-enabled company, focusing investments on key growth opportunities and driving operational efficiency to better align our workforce and resources with our long-term strategic priorities. The Plan includes a reduction in force of approximately 170 employees along with a significant reduction of third party spend across the Company. In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connection with the Plan, we recognized pre-tax charges of $1.7 million and $7.9 million in the three and six months ended June 30, 2026, respectively. These charges consist primarily of cash expenditures related to employee severance, notice pay, statutory termination indemnities, and other employee separation benefits. All related cash payments are expected to be made during 2026. Any changes to our estimates or timing of the Plan will be reflected in our results of operations in future periods.</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Components of Our Results of Operations</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Revenue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generate revenue from software subscriptions and services.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Revenue is recognized upon transfer of control of promised products or services to customers in an amount that reflects the consideration expected to be received in exchange for those products or services. We enter into contracts that include various combinations of products and services, which are generally capable of being distinct and accounted for as separate performance obligations. Revenue is recognized net of allowance for subscription and non-renewal cancellations and any taxes collected from customers that are subsequently remitted to governmental authorities.</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Software Subscriptions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Licenses for on-premise software subscriptions provide the customer with a right to use the software as it exists when made available to the customer. Customers purchase a subscription to these licenses, which includes the related software and tax content updates and product support. The updates and support, which are part of the subscription agreement, are essential to the continued utility of the software; therefore, we have determined the software and the related updates and support to be a single performance obligation. Accordingly, when on-premise software is licensed, the revenue associated with this combined performance obligation is recognized ratably over the license term as these subscriptions are provided for the duration of the license term. Revenue recognition begins on the later of the beginning of the subscription period or the date the software is made available to the customer to download.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cloud-based subscriptions allow customers to use Vertex-hosted software over the contract period without taking possession of the software. The contracts are generally for one to three years and are generally billed annually in advance of the subscription period. Our cloud-based offerings also include related updates and support. Revenue recognition begins on the later of the beginning of the subscription period or the date the customer is provided access to the cloud-based solutions. All services within the cloud-based contracts consistently provide a benefit to the customer during the subscription period; thus, the associated revenue is recognized ratably over the subscription period.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Revenue is impacted by the timing of sales and our customers’ growth or contractions resulting in their need to expand or contract their subscription usage, the purchase of new solutions, or the non-renewal of existing solutions. In addition, revenue will fluctuate with the cessation of extended product support fees charged for older versions of our software subscription solutions when they are retired and these fees are no longer charged. Contracts for on-premise licenses permit cancellations at the end of the license term. Legacy cloud-based subscription contracts for multi-year periods previously provided customers the right to terminate their contract for services prior to the end of the subscription period at a significant penalty. This penalty requires the payment of a percentage of the remaining months of the then-current contract term. Current cloud-based contracts do not contain such termination rights. Terminations of cloud-based subscriptions prior to the end of the subscription term have occurred infrequently, and the impact has been immaterial. The allowance for subscription and non-renewal cancellations reflects an estimate of the amount of such cancellations and non-renewals based on past experience, current information, and forward-looking economic considerations.</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Services Revenue</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We generate services revenue primarily in support of our customers’ needs associated with our software and to enable them to realize the full benefit of our solutions. These software subscription-related services include configuration, data migration and implementation, and premium support and training. In addition, we generate services revenue through our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managed services offering which allows customers to outsource all or a portion of their indirect tax operations to us. These services include indirect tax return preparation, filing and tax payment, and notice management. We generally bill for services on a per-transaction or time and materials basis, and we recognize revenue from deliverable-based professional services as services are performed.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Fluctuations in services revenue are directly correlated to fluctuations in our subscription revenues with respect to implementation and training services as we have historically experienced an attachment rate to subscription sales for these services of approximately 60%. In addition, our managed services offering has continued to experience increased revenues associated with returns processing volume increases attributable to regulatory changes, as customers expanded their tax filings into more jurisdictions.</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Cost of Revenue</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Software Subscriptions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Cost of software subscriptions revenue consists of costs related to providing and supporting our software subscriptions and includes personnel and related expenses, including salaries, benefits, bonuses, and stock-based compensation. In addition, cost of revenue includes direct costs associated with information technology, such as data center and software hosting costs, and tax content maintenance. Cost of software subscriptions revenue also includes amortization associated with capitalized internal-use software for cloud-based subscription solutions and software developed for sale for new products and enhancements to existing products, and costs associated with the amortization of certain acquired intangible assets. We plan to continue to significantly expand our infrastructure and personnel to support our future growth and increases in transaction volumes of our cloud-based solutions, including through acquisitions. We expect growth in our business will result in an increase in cost of software subscriptions revenue in absolute dollars.</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Services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Cost of services revenue consists of direct costs of software subscription-related services and our managed services offering. These costs include personnel and related expenses, including salaries, benefits, bonuses, stock-based compensation, and the cost of third-party contractors and other direct expenses. We plan to continue to expand our infrastructure and personnel as necessary to support our future growth in our managed service offerings and related increases in our service revenue. We expect growth in our business will result in an increase in the cost of services revenue in absolute dollars.</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Research and Development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Research and development expenses consist primarily of personnel and related expenses for our research and development activities, including salaries, benefits, bonuses and stock-based compensation, and the cost of third-party developers and other contractors. Research and development costs, other than software development expenses qualifying for capitalization, are expensed as incurred.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devote substantial resources to developing new products and enhancing existing products, conducting quality assurance testing, improving our core technology, and integrating acquired technology with our products. We believe continued investments in research and development are critical to attain our strategic objectives and expect research and development costs to increase in absolute dollars. These investments include enhancing our solution offerings to address changing customer needs to support their growth, as well as implementing changes required to keep pace with our partners’ technology to ensure the continued ability of our solutions to work together and deliver value to our customers. The market for our solutions is characterized by rapid technological change, frequent new product and service introductions and enhancements, changing customer demands, and evolving industry standards. As a result, although we are making significant research and development expenditures, certain of which may be capitalized, there is no guarantee these solutions will be accepted by the market. This could result in increased costs or an impairment of capitalized development costs with no resulting future revenue benefit.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Selling and Marketing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Selling and marketing expenses consist primarily of personnel and related expenses in support of sales and marketing efforts. These costs include salaries, benefits, bonuses and stock-based compensation. In addition, selling and marketing expenses include costs related to advertising and promotion efforts, branding costs, partner-based commissions, costs associated with our annual customer conferences and amortization of certain acquired intangible assets. We intend to continue to invest in our sales and marketing capabilities in the future to continue to increase our brand awareness and expect these costs to increase on an absolute dollar basis as we grow our business and continue to expand our market and partner ecosystem penetration. Sales and marketing expense in absolute dollars and as a percentage of total revenue may fluctuate from period-to-period based on total revenue levels and the timing of our investments in our sales and marketing functions, as these investments will occur in advance of experiencing the benefits from such investments and may vary in scope and scale over future periods.</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 xml:space="preserve">General and Administrative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General and administrative expenses consist primarily of personnel and related expenses for administrative, finance, information technology, legal, risk management, facilities, and human resources staffing, including salaries, benefits, bonuses, severance, stock-based compensation, professional fees, insurance premiums, facility costs, amortization of cloud computing arrangement implementation costs, and other internal support and infrastructure costs. The three and six months ended June 30, 2026 periods include severance and other costs related to the Plan. For further information, refer to Note 15, “Restructuring” to the condensed consolidated financial statements included in this Quarterly Report on Form 10-Q. Additionally, the three and six months ended June 30, 2026 periods include compensation expense recognized related to the Additional Cash Consideration (as defined in the notes to the condensed consolidated financial statements) to the obligation associated with the acquisition of Brinta. For further information, refer to Note 3, “Acquisitions” to the condensed consolidated financial statements included in this Quarterly Report on Form 10-Q.</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expect our general and administrative expenses to increase in absolute dollars as we continue to expand our operations, hire additional personnel, and integrate current and future acquisitions. </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Depreciation and Amortization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Depreciation and amortization expense consists of the allocation of purchased and developed asset costs over the future periods benefited by the use of these assets. These assets include leasehold improvements for our facilities, computers and equipment needed to support our customers and our internal infrastructure and capitalized internal-use software associated with our internal tools. Depreciation and amortization will fluctuate in correlation with our ongoing investment in internal infrastructure costs to support our growth.</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 xml:space="preserve">Change in Fair Value of Acquisition Contingent Earn-Outs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change in fair value of acquisition contingent earn-outs consists of fair value adjustments to our Cash Earn-outs (as defined below)</w:t>
      </w:r>
      <w:r>
        <w:rPr>
          <w:rFonts w:ascii="Times New Roman;Times;serif" w:hAnsi="Times New Roman;Times;serif"/>
          <w:color w:val="FF0000"/>
          <w:sz w:val="20"/>
        </w:rPr>
        <w:t xml:space="preserve"> </w:t>
      </w:r>
      <w:r>
        <w:rPr>
          <w:rFonts w:ascii="Times New Roman;Times;serif" w:hAnsi="Times New Roman;Times;serif"/>
          <w:sz w:val="20"/>
        </w:rPr>
        <w:t>and Stock Earn-outs (as defined below) (collectively with the Cash Earn-outs, the “Earn-outs”) related to our 2024 acquisition of ecosio GmbH (“ecosio”). The Earn-outs will be revalued and adjusted quarterly until the end of the Earn-out periods.</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Other Operating Expense (Income), net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Other operating expense (income), net consists primarily of transactions costs associated with merger and acquisition activities, periodic remeasurement of contingent consideration associated with completed acquisitions, realized gains and losses on foreign currency changes, and other operating gains and losses. These amounts will fluctuate as a result of ongoing merger and acquisition activities and for changes in foreign currency rates.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Interest Expense (Income), net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Interest expense (income), net reflects the net amount of our interest expense and interest income within the same period.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Interest expense consists primarily of interest incurred related to the Notes (as defined below), a Credit Agreement (as defined below), and leases. Interest expense includes amortization of deferred financing fees over the term of the credit facility or write-downs of such costs upon redemption of debt. Interest expense will vary as a result of fluctuations in the level of debt outstanding as well as interest rates on such debt.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Interest income reflects earnings on investments of our cash on hand and our investment securities. Interest income will vary as a result of fluctuations in the future level of funds available for investment and the rate of return available in the market on such funds.</w:t>
      </w:r>
    </w:p>
    <w:p>
      <w:pPr>
        <w:pStyle w:val="TextBody"/>
        <w:bidi w:val="0"/>
        <w:spacing w:before="0" w:after="0"/>
        <w:ind w:left="0" w:right="0" w:firstLine="360"/>
        <w:jc w:val="both"/>
        <w:rPr>
          <w:rFonts w:ascii="Times New Roman;Times;serif" w:hAnsi="Times New Roman;Times;serif"/>
          <w:b/>
          <w:sz w:val="20"/>
        </w:rPr>
      </w:pPr>
      <w:r>
        <w:rPr>
          <w:rFonts w:ascii="Times New Roman;Times;serif" w:hAnsi="Times New Roman;Times;serif"/>
          <w:b/>
          <w:sz w:val="20"/>
        </w:rPr>
        <w:t xml:space="preserve">Income Tax Expense (Benefit)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Income tax expense (benefit) consists primarily of federal, foreign, state, and local taxes on our loss or income. In determining our annualized effective income tax rates, net deferred tax assets, valuation allowances, and cash paid for income taxes, we are required to make judgments and estimates about domestic and foreign profitability, the timing and usage of net operating loss and credit carryforwards, applicable tax rates, and transfer pricing methodologies. Judgments and estimates related to our projections and assumptions are inherently uncertain; therefore, actual results could materially differ from our projections.</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 xml:space="preserve">You should read the following discussion and analysis of our financial condition and results of operations in conjunction with our condensed consolidated financial statements and the notes thereto included elsewhere in this Quarterly Report on Form 10-Q, and our consolidated financial statements and the notes thereto included in our 2025 Annual Report. The period-to-period comparison of financial results is not necessarily indicative of financial results to be achieved in future periods. The following table sets forth our condensed consolidated statements of comprehensive income (loss) for the periods indicated. </w:t>
      </w:r>
    </w:p>
    <w:tbl>
      <w:tblPr>
        <w:tblW w:w="10205" w:type="dxa"/>
        <w:jc w:val="left"/>
        <w:tblInd w:w="0" w:type="dxa"/>
        <w:tblLayout w:type="fixed"/>
        <w:tblCellMar>
          <w:top w:w="0" w:type="dxa"/>
          <w:left w:w="0" w:type="dxa"/>
          <w:bottom w:w="0" w:type="dxa"/>
          <w:right w:w="0" w:type="dxa"/>
        </w:tblCellMar>
      </w:tblPr>
      <w:tblGrid>
        <w:gridCol w:w="1196"/>
        <w:gridCol w:w="346"/>
        <w:gridCol w:w="196"/>
        <w:gridCol w:w="691"/>
        <w:gridCol w:w="346"/>
        <w:gridCol w:w="196"/>
        <w:gridCol w:w="691"/>
        <w:gridCol w:w="109"/>
        <w:gridCol w:w="196"/>
        <w:gridCol w:w="661"/>
        <w:gridCol w:w="146"/>
        <w:gridCol w:w="706"/>
        <w:gridCol w:w="256"/>
        <w:gridCol w:w="226"/>
        <w:gridCol w:w="196"/>
        <w:gridCol w:w="691"/>
        <w:gridCol w:w="346"/>
        <w:gridCol w:w="196"/>
        <w:gridCol w:w="691"/>
        <w:gridCol w:w="109"/>
        <w:gridCol w:w="196"/>
        <w:gridCol w:w="661"/>
        <w:gridCol w:w="146"/>
        <w:gridCol w:w="706"/>
        <w:gridCol w:w="305"/>
      </w:tblGrid>
      <w:tr>
        <w:trPr/>
        <w:tc>
          <w:tcPr>
            <w:tcW w:w="1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759460" cy="175260"/>
                      <wp:effectExtent l="0" t="0" r="0" b="0"/>
                      <wp:wrapNone/>
                      <wp:docPr id="408" name="Frame408"/>
                      <a:graphic xmlns:a="http://schemas.openxmlformats.org/drawingml/2006/main">
                        <a:graphicData uri="http://schemas.microsoft.com/office/word/2010/wordprocessingShape">
                          <wps:wsp>
                            <wps:cNvSpPr txBox="1"/>
                            <wps:spPr>
                              <a:xfrm>
                                <a:off x="0" y="0"/>
                                <a:ext cx="759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219710" cy="175260"/>
                      <wp:effectExtent l="0" t="0" r="0" b="0"/>
                      <wp:wrapNone/>
                      <wp:docPr id="409" name="Frame4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124460" cy="175260"/>
                      <wp:effectExtent l="0" t="0" r="0" b="0"/>
                      <wp:wrapNone/>
                      <wp:docPr id="410" name="Frame41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438785" cy="175260"/>
                      <wp:effectExtent l="0" t="0" r="0" b="0"/>
                      <wp:wrapNone/>
                      <wp:docPr id="411" name="Frame41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219710" cy="175260"/>
                      <wp:effectExtent l="0" t="0" r="0" b="0"/>
                      <wp:wrapNone/>
                      <wp:docPr id="412" name="Frame4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124460" cy="175260"/>
                      <wp:effectExtent l="0" t="0" r="0" b="0"/>
                      <wp:wrapNone/>
                      <wp:docPr id="413" name="Frame41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438785" cy="175260"/>
                      <wp:effectExtent l="0" t="0" r="0" b="0"/>
                      <wp:wrapNone/>
                      <wp:docPr id="414" name="Frame41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69215" cy="175260"/>
                      <wp:effectExtent l="0" t="0" r="0" b="0"/>
                      <wp:wrapNone/>
                      <wp:docPr id="415" name="Frame4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124460" cy="175260"/>
                      <wp:effectExtent l="0" t="0" r="0" b="0"/>
                      <wp:wrapNone/>
                      <wp:docPr id="416" name="Frame41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419735" cy="175260"/>
                      <wp:effectExtent l="0" t="0" r="0" b="0"/>
                      <wp:wrapNone/>
                      <wp:docPr id="417" name="Frame417"/>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92710" cy="175260"/>
                      <wp:effectExtent l="0" t="0" r="0" b="0"/>
                      <wp:wrapNone/>
                      <wp:docPr id="418" name="Frame41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448310" cy="175260"/>
                      <wp:effectExtent l="0" t="0" r="0" b="0"/>
                      <wp:wrapNone/>
                      <wp:docPr id="419" name="Frame419"/>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162560" cy="175260"/>
                      <wp:effectExtent l="0" t="0" r="0" b="0"/>
                      <wp:wrapNone/>
                      <wp:docPr id="420" name="Frame420"/>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143510" cy="175260"/>
                      <wp:effectExtent l="0" t="0" r="0" b="0"/>
                      <wp:wrapNone/>
                      <wp:docPr id="421" name="Frame42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124460" cy="175260"/>
                      <wp:effectExtent l="0" t="0" r="0" b="0"/>
                      <wp:wrapNone/>
                      <wp:docPr id="422" name="Frame42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438785" cy="175260"/>
                      <wp:effectExtent l="0" t="0" r="0" b="0"/>
                      <wp:wrapNone/>
                      <wp:docPr id="423" name="Frame42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219710" cy="175260"/>
                      <wp:effectExtent l="0" t="0" r="0" b="0"/>
                      <wp:wrapNone/>
                      <wp:docPr id="424" name="Frame4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124460" cy="175260"/>
                      <wp:effectExtent l="0" t="0" r="0" b="0"/>
                      <wp:wrapNone/>
                      <wp:docPr id="425" name="Frame42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438785" cy="175260"/>
                      <wp:effectExtent l="0" t="0" r="0" b="0"/>
                      <wp:wrapNone/>
                      <wp:docPr id="426" name="Frame42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69215" cy="175260"/>
                      <wp:effectExtent l="0" t="0" r="0" b="0"/>
                      <wp:wrapNone/>
                      <wp:docPr id="427" name="Frame4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124460" cy="175260"/>
                      <wp:effectExtent l="0" t="0" r="0" b="0"/>
                      <wp:wrapNone/>
                      <wp:docPr id="428" name="Frame42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419735" cy="175260"/>
                      <wp:effectExtent l="0" t="0" r="0" b="0"/>
                      <wp:wrapNone/>
                      <wp:docPr id="429" name="Frame429"/>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92710" cy="175260"/>
                      <wp:effectExtent l="0" t="0" r="0" b="0"/>
                      <wp:wrapNone/>
                      <wp:docPr id="430" name="Frame43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448310" cy="175260"/>
                      <wp:effectExtent l="0" t="0" r="0" b="0"/>
                      <wp:wrapNone/>
                      <wp:docPr id="431" name="Frame431"/>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193675" cy="175260"/>
                      <wp:effectExtent l="0" t="0" r="0" b="0"/>
                      <wp:wrapNone/>
                      <wp:docPr id="432" name="Frame432"/>
                      <a:graphic xmlns:a="http://schemas.openxmlformats.org/drawingml/2006/main">
                        <a:graphicData uri="http://schemas.microsoft.com/office/word/2010/wordprocessingShape">
                          <wps:wsp>
                            <wps:cNvSpPr txBox="1"/>
                            <wps:spPr>
                              <a:xfrm>
                                <a:off x="0" y="0"/>
                                <a:ext cx="193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2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center"/>
              <w:rPr/>
            </w:pPr>
            <w:r>
              <w:rPr/>
              <w:t>​</w:t>
            </w:r>
          </w:p>
        </w:tc>
        <w:tc>
          <w:tcPr>
            <w:tcW w:w="25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212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center"/>
              <w:rPr/>
            </w:pPr>
            <w:r>
              <w:rPr/>
              <w:t>​</w:t>
            </w:r>
          </w:p>
        </w:tc>
        <w:tc>
          <w:tcPr>
            <w:tcW w:w="305" w:type="dxa"/>
            <w:tcBorders/>
            <w:vAlign w:val="center"/>
          </w:tcPr>
          <w:p>
            <w:pPr>
              <w:pStyle w:val="TableContents"/>
              <w:bidi w:val="0"/>
              <w:spacing w:before="0" w:after="0"/>
              <w:ind w:left="0" w:right="0" w:hanging="0"/>
              <w:jc w:val="right"/>
              <w:rPr/>
            </w:pPr>
            <w:r>
              <w:rPr/>
              <w:t>​</w:t>
            </w:r>
          </w:p>
        </w:tc>
      </w:tr>
      <w:tr>
        <w:trPr/>
        <w:tc>
          <w:tcPr>
            <w:tcW w:w="11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center"/>
              <w:rPr/>
            </w:pPr>
            <w:r>
              <w:rPr/>
              <w:t>​</w:t>
            </w:r>
          </w:p>
        </w:tc>
        <w:tc>
          <w:tcPr>
            <w:tcW w:w="25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21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center"/>
              <w:rPr/>
            </w:pPr>
            <w:r>
              <w:rPr/>
              <w:t>​</w:t>
            </w:r>
          </w:p>
        </w:tc>
        <w:tc>
          <w:tcPr>
            <w:tcW w:w="305" w:type="dxa"/>
            <w:tcBorders/>
            <w:vAlign w:val="center"/>
          </w:tcPr>
          <w:p>
            <w:pPr>
              <w:pStyle w:val="TableContents"/>
              <w:bidi w:val="0"/>
              <w:spacing w:before="0" w:after="0"/>
              <w:ind w:left="0" w:right="0" w:hanging="0"/>
              <w:jc w:val="right"/>
              <w:rPr/>
            </w:pPr>
            <w:r>
              <w:rPr/>
              <w:t>​</w:t>
            </w:r>
          </w:p>
        </w:tc>
      </w:tr>
      <w:tr>
        <w:trPr/>
        <w:tc>
          <w:tcPr>
            <w:tcW w:w="11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170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Period-Over-Period Change </w:t>
            </w:r>
          </w:p>
        </w:tc>
        <w:tc>
          <w:tcPr>
            <w:tcW w:w="25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170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Period-Over-Period Change </w:t>
            </w:r>
          </w:p>
        </w:tc>
        <w:tc>
          <w:tcPr>
            <w:tcW w:w="305" w:type="dxa"/>
            <w:tcBorders/>
            <w:vAlign w:val="center"/>
          </w:tcPr>
          <w:p>
            <w:pPr>
              <w:pStyle w:val="TableContents"/>
              <w:bidi w:val="0"/>
              <w:spacing w:before="0" w:after="0"/>
              <w:ind w:left="0" w:right="0" w:hanging="0"/>
              <w:jc w:val="right"/>
              <w:rPr/>
            </w:pPr>
            <w:r>
              <w:rPr/>
              <w:t>​</w:t>
            </w:r>
          </w:p>
        </w:tc>
      </w:tr>
      <w:tr>
        <w:trPr/>
        <w:tc>
          <w:tcPr>
            <w:tcW w:w="1196" w:type="dxa"/>
            <w:tcBorders/>
            <w:shd w:fill="CCEEFF" w:val="clear"/>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Revenues:</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pPr>
            <w:r>
              <w:rPr/>
              <w:t>​</w:t>
            </w:r>
          </w:p>
        </w:tc>
        <w:tc>
          <w:tcPr>
            <w:tcW w:w="25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pPr>
            <w:r>
              <w:rPr/>
              <w:t>​</w:t>
            </w:r>
          </w:p>
        </w:tc>
        <w:tc>
          <w:tcPr>
            <w:tcW w:w="305" w:type="dxa"/>
            <w:tcBorders/>
            <w:shd w:fill="CCEEFF" w:val="clear"/>
            <w:vAlign w:val="center"/>
          </w:tcPr>
          <w:p>
            <w:pPr>
              <w:pStyle w:val="TableContents"/>
              <w:bidi w:val="0"/>
              <w:spacing w:before="0" w:after="0"/>
              <w:ind w:left="0" w:right="0" w:hanging="0"/>
              <w:jc w:val="right"/>
              <w:rPr/>
            </w:pPr>
            <w:r>
              <w:rPr/>
              <w:t>​</w:t>
            </w:r>
          </w:p>
        </w:tc>
      </w:tr>
      <w:tr>
        <w:trPr/>
        <w:tc>
          <w:tcPr>
            <w:tcW w:w="1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Software subscriptions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174,753</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157,844</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16,909</w:t>
            </w:r>
          </w:p>
        </w:tc>
        <w:tc>
          <w:tcPr>
            <w:tcW w:w="14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10.7</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341,899</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308,605</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33,294</w:t>
            </w:r>
          </w:p>
        </w:tc>
        <w:tc>
          <w:tcPr>
            <w:tcW w:w="14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w:t>
            </w:r>
          </w:p>
        </w:tc>
        <w:tc>
          <w:tcPr>
            <w:tcW w:w="30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Services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29,217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26,715</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2,502</w:t>
            </w:r>
          </w:p>
        </w:tc>
        <w:tc>
          <w:tcPr>
            <w:tcW w:w="14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9.4</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58,717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53,016</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5,701</w:t>
            </w:r>
          </w:p>
        </w:tc>
        <w:tc>
          <w:tcPr>
            <w:tcW w:w="14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w:t>
            </w:r>
          </w:p>
        </w:tc>
        <w:tc>
          <w:tcPr>
            <w:tcW w:w="30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revenues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203,970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184,559</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19,411</w:t>
            </w:r>
          </w:p>
        </w:tc>
        <w:tc>
          <w:tcPr>
            <w:tcW w:w="14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400,616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361,621</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38,995</w:t>
            </w:r>
          </w:p>
        </w:tc>
        <w:tc>
          <w:tcPr>
            <w:tcW w:w="14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w:t>
            </w:r>
          </w:p>
        </w:tc>
        <w:tc>
          <w:tcPr>
            <w:tcW w:w="30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196" w:type="dxa"/>
            <w:tcBorders/>
            <w:shd w:fill="CCEEFF" w:val="clear"/>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Cost of revenues: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pPr>
            <w:r>
              <w:rPr/>
              <w:t>​</w:t>
            </w:r>
          </w:p>
        </w:tc>
        <w:tc>
          <w:tcPr>
            <w:tcW w:w="305" w:type="dxa"/>
            <w:tcBorders/>
            <w:shd w:fill="CCEEFF" w:val="clear"/>
            <w:vAlign w:val="center"/>
          </w:tcPr>
          <w:p>
            <w:pPr>
              <w:pStyle w:val="TableContents"/>
              <w:bidi w:val="0"/>
              <w:spacing w:before="0" w:after="0"/>
              <w:ind w:left="0" w:right="0" w:hanging="0"/>
              <w:jc w:val="left"/>
              <w:rPr/>
            </w:pPr>
            <w:r>
              <w:rPr/>
              <w:t>​</w:t>
            </w:r>
          </w:p>
        </w:tc>
      </w:tr>
      <w:tr>
        <w:trPr/>
        <w:tc>
          <w:tcPr>
            <w:tcW w:w="119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Software subscriptions </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52,170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44,459</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7,711</w:t>
            </w:r>
          </w:p>
        </w:tc>
        <w:tc>
          <w:tcPr>
            <w:tcW w:w="14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17.3</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103,346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88,704</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14,642</w:t>
            </w:r>
          </w:p>
        </w:tc>
        <w:tc>
          <w:tcPr>
            <w:tcW w:w="14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16.5</w:t>
            </w:r>
          </w:p>
        </w:tc>
        <w:tc>
          <w:tcPr>
            <w:tcW w:w="30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19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Services </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20,500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18,900</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1,600</w:t>
            </w:r>
          </w:p>
        </w:tc>
        <w:tc>
          <w:tcPr>
            <w:tcW w:w="14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41,101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38,723</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2,378</w:t>
            </w:r>
          </w:p>
        </w:tc>
        <w:tc>
          <w:tcPr>
            <w:tcW w:w="14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w:t>
            </w:r>
          </w:p>
        </w:tc>
        <w:tc>
          <w:tcPr>
            <w:tcW w:w="30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cost of revenues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72,670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63,359</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9,311</w:t>
            </w:r>
          </w:p>
        </w:tc>
        <w:tc>
          <w:tcPr>
            <w:tcW w:w="14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14.7</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144,447</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127,427</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17,020</w:t>
            </w:r>
          </w:p>
        </w:tc>
        <w:tc>
          <w:tcPr>
            <w:tcW w:w="14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13.4</w:t>
            </w:r>
          </w:p>
        </w:tc>
        <w:tc>
          <w:tcPr>
            <w:tcW w:w="30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131,300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121,200</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10,100</w:t>
            </w:r>
          </w:p>
        </w:tc>
        <w:tc>
          <w:tcPr>
            <w:tcW w:w="14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256,169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234,194</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21,975</w:t>
            </w:r>
          </w:p>
        </w:tc>
        <w:tc>
          <w:tcPr>
            <w:tcW w:w="14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9.4</w:t>
            </w:r>
          </w:p>
        </w:tc>
        <w:tc>
          <w:tcPr>
            <w:tcW w:w="30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196"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Operating expenses: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c>
          <w:tcPr>
            <w:tcW w:w="305" w:type="dxa"/>
            <w:tcBorders/>
            <w:vAlign w:val="center"/>
          </w:tcPr>
          <w:p>
            <w:pPr>
              <w:pStyle w:val="TableContents"/>
              <w:bidi w:val="0"/>
              <w:spacing w:before="0" w:after="0"/>
              <w:ind w:left="0" w:right="0" w:hanging="0"/>
              <w:jc w:val="left"/>
              <w:rPr/>
            </w:pPr>
            <w:r>
              <w:rPr/>
              <w:t>​</w:t>
            </w:r>
          </w:p>
        </w:tc>
      </w:tr>
      <w:tr>
        <w:trPr/>
        <w:tc>
          <w:tcPr>
            <w:tcW w:w="119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Research and development </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24,805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20,582</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4,223</w:t>
            </w:r>
          </w:p>
        </w:tc>
        <w:tc>
          <w:tcPr>
            <w:tcW w:w="14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20.5</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49,355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41,468</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7,887</w:t>
            </w:r>
          </w:p>
        </w:tc>
        <w:tc>
          <w:tcPr>
            <w:tcW w:w="14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19.0</w:t>
            </w:r>
          </w:p>
        </w:tc>
        <w:tc>
          <w:tcPr>
            <w:tcW w:w="30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19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Selling and marketing </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51,899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48,454</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3,445</w:t>
            </w:r>
          </w:p>
        </w:tc>
        <w:tc>
          <w:tcPr>
            <w:tcW w:w="14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104,534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96,609</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7,925</w:t>
            </w:r>
          </w:p>
        </w:tc>
        <w:tc>
          <w:tcPr>
            <w:tcW w:w="14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w:t>
            </w:r>
          </w:p>
        </w:tc>
        <w:tc>
          <w:tcPr>
            <w:tcW w:w="30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19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General and administrative </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51,142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43,392</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7,750</w:t>
            </w:r>
          </w:p>
        </w:tc>
        <w:tc>
          <w:tcPr>
            <w:tcW w:w="14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17.9</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105,481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88,420</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17,061</w:t>
            </w:r>
          </w:p>
        </w:tc>
        <w:tc>
          <w:tcPr>
            <w:tcW w:w="14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19.3</w:t>
            </w:r>
          </w:p>
        </w:tc>
        <w:tc>
          <w:tcPr>
            <w:tcW w:w="30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6,720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6,187</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533</w:t>
            </w:r>
          </w:p>
        </w:tc>
        <w:tc>
          <w:tcPr>
            <w:tcW w:w="14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8.6</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13,162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12,067</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1,095</w:t>
            </w:r>
          </w:p>
        </w:tc>
        <w:tc>
          <w:tcPr>
            <w:tcW w:w="14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w:t>
            </w:r>
          </w:p>
        </w:tc>
        <w:tc>
          <w:tcPr>
            <w:tcW w:w="30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 in fair value of acquisition contingent earn-outs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2,300</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(2,400)</w:t>
            </w:r>
          </w:p>
        </w:tc>
        <w:tc>
          <w:tcPr>
            <w:tcW w:w="14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(104.3)</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(5,838)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(12,400)</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6,562</w:t>
            </w:r>
          </w:p>
        </w:tc>
        <w:tc>
          <w:tcPr>
            <w:tcW w:w="14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(52.9)</w:t>
            </w:r>
          </w:p>
        </w:tc>
        <w:tc>
          <w:tcPr>
            <w:tcW w:w="30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operating expense, net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1,277</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4,149</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(2,872)</w:t>
            </w:r>
          </w:p>
        </w:tc>
        <w:tc>
          <w:tcPr>
            <w:tcW w:w="14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(69.2)</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4,524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7,408</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(2,884)</w:t>
            </w:r>
          </w:p>
        </w:tc>
        <w:tc>
          <w:tcPr>
            <w:tcW w:w="14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(38.9)</w:t>
            </w:r>
          </w:p>
        </w:tc>
        <w:tc>
          <w:tcPr>
            <w:tcW w:w="30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135,743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125,064</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10,679</w:t>
            </w:r>
          </w:p>
        </w:tc>
        <w:tc>
          <w:tcPr>
            <w:tcW w:w="14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271,218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233,572</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37,646</w:t>
            </w:r>
          </w:p>
        </w:tc>
        <w:tc>
          <w:tcPr>
            <w:tcW w:w="14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16.1</w:t>
            </w:r>
          </w:p>
        </w:tc>
        <w:tc>
          <w:tcPr>
            <w:tcW w:w="30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(loss) from operations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(4,443)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(3,864)</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(579)</w:t>
            </w:r>
          </w:p>
        </w:tc>
        <w:tc>
          <w:tcPr>
            <w:tcW w:w="14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15.0</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(15,049)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622</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(15,671)</w:t>
            </w:r>
          </w:p>
        </w:tc>
        <w:tc>
          <w:tcPr>
            <w:tcW w:w="14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(2,519.5)</w:t>
            </w:r>
          </w:p>
        </w:tc>
        <w:tc>
          <w:tcPr>
            <w:tcW w:w="30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income,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(1,228)</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884</w:t>
            </w:r>
          </w:p>
        </w:tc>
        <w:tc>
          <w:tcPr>
            <w:tcW w:w="14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(72.0)</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(2,767)</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1,466</w:t>
            </w:r>
          </w:p>
        </w:tc>
        <w:tc>
          <w:tcPr>
            <w:tcW w:w="14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(53.0)</w:t>
            </w:r>
          </w:p>
        </w:tc>
        <w:tc>
          <w:tcPr>
            <w:tcW w:w="30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(loss) before income taxes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(4,099)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(2,636)</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(1,463)</w:t>
            </w:r>
          </w:p>
        </w:tc>
        <w:tc>
          <w:tcPr>
            <w:tcW w:w="14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55.5</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(13,748)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3,389</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(17,137)</w:t>
            </w:r>
          </w:p>
        </w:tc>
        <w:tc>
          <w:tcPr>
            <w:tcW w:w="14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(505.7)</w:t>
            </w:r>
          </w:p>
        </w:tc>
        <w:tc>
          <w:tcPr>
            <w:tcW w:w="30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196" w:type="dxa"/>
            <w:tcBorders/>
            <w:shd w:fill="CCEEFF" w:val="clear"/>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Income tax benefit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(13,142)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(1,675)</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(11,467)</w:t>
            </w:r>
          </w:p>
        </w:tc>
        <w:tc>
          <w:tcPr>
            <w:tcW w:w="14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684.6</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(20,281)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(6,780)</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(13,501)</w:t>
            </w:r>
          </w:p>
        </w:tc>
        <w:tc>
          <w:tcPr>
            <w:tcW w:w="14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199.1</w:t>
            </w:r>
          </w:p>
        </w:tc>
        <w:tc>
          <w:tcPr>
            <w:tcW w:w="30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 (loss)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9,043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(961)</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10,004</w:t>
            </w:r>
          </w:p>
        </w:tc>
        <w:tc>
          <w:tcPr>
            <w:tcW w:w="14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(1,041.0)</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6,533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10,169</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(3,636)</w:t>
            </w:r>
          </w:p>
        </w:tc>
        <w:tc>
          <w:tcPr>
            <w:tcW w:w="14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(35.8)</w:t>
            </w:r>
          </w:p>
        </w:tc>
        <w:tc>
          <w:tcPr>
            <w:tcW w:w="30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comprehensive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pPr>
            <w:r>
              <w:rPr/>
              <w:t>​</w:t>
            </w:r>
          </w:p>
        </w:tc>
        <w:tc>
          <w:tcPr>
            <w:tcW w:w="305" w:type="dxa"/>
            <w:tcBorders/>
            <w:shd w:fill="CCEEFF" w:val="clear"/>
            <w:vAlign w:val="center"/>
          </w:tcPr>
          <w:p>
            <w:pPr>
              <w:pStyle w:val="TableContents"/>
              <w:bidi w:val="0"/>
              <w:spacing w:before="0" w:after="0"/>
              <w:ind w:left="0" w:right="0" w:hanging="0"/>
              <w:jc w:val="left"/>
              <w:rPr/>
            </w:pPr>
            <w:r>
              <w:rPr/>
              <w:t>​</w:t>
            </w:r>
          </w:p>
        </w:tc>
      </w:tr>
      <w:tr>
        <w:trPr/>
        <w:tc>
          <w:tcPr>
            <w:tcW w:w="1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Foreign currency translation adjustments, net of tax</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2,737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(29,734)</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32,471</w:t>
            </w:r>
          </w:p>
        </w:tc>
        <w:tc>
          <w:tcPr>
            <w:tcW w:w="14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(109.2)</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9,187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(44,839)</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54,026</w:t>
            </w:r>
          </w:p>
        </w:tc>
        <w:tc>
          <w:tcPr>
            <w:tcW w:w="14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(120.5)</w:t>
            </w:r>
          </w:p>
        </w:tc>
        <w:tc>
          <w:tcPr>
            <w:tcW w:w="30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Unrealized loss on investments, net of tax</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pPr>
            <w:r>
              <w:rPr/>
              <w:t>—</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w:t>
            </w:r>
          </w:p>
        </w:tc>
        <w:tc>
          <w:tcPr>
            <w:tcW w:w="14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0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other comprehensive income (loss), net of tax</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2,737</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(29,734)</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32,471</w:t>
            </w:r>
          </w:p>
        </w:tc>
        <w:tc>
          <w:tcPr>
            <w:tcW w:w="14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(109.2)</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9,187</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(44,830)</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54,017</w:t>
            </w:r>
          </w:p>
        </w:tc>
        <w:tc>
          <w:tcPr>
            <w:tcW w:w="14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(120.5)</w:t>
            </w:r>
          </w:p>
        </w:tc>
        <w:tc>
          <w:tcPr>
            <w:tcW w:w="30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comprehensive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6,306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28,773</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(22,467)</w:t>
            </w:r>
          </w:p>
        </w:tc>
        <w:tc>
          <w:tcPr>
            <w:tcW w:w="14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(78.1)</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(2,654)</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54,999</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(57,653)</w:t>
            </w:r>
          </w:p>
        </w:tc>
        <w:tc>
          <w:tcPr>
            <w:tcW w:w="14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(104.8)</w:t>
            </w:r>
          </w:p>
        </w:tc>
        <w:tc>
          <w:tcPr>
            <w:tcW w:w="30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bl>
    <w:tbl>
      <w:tblPr>
        <w:tblW w:w="5736" w:type="dxa"/>
        <w:jc w:val="left"/>
        <w:tblInd w:w="0" w:type="dxa"/>
        <w:tblLayout w:type="fixed"/>
        <w:tblCellMar>
          <w:top w:w="28" w:type="dxa"/>
          <w:left w:w="28" w:type="dxa"/>
          <w:bottom w:w="28" w:type="dxa"/>
          <w:right w:w="28" w:type="dxa"/>
        </w:tblCellMar>
      </w:tblPr>
      <w:tblGrid>
        <w:gridCol w:w="124"/>
        <w:gridCol w:w="256"/>
        <w:gridCol w:w="5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5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Includes stock-based compensation expenses as follows in the table below. </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tbl>
      <w:tblPr>
        <w:tblW w:w="7939" w:type="dxa"/>
        <w:jc w:val="left"/>
        <w:tblInd w:w="0" w:type="dxa"/>
        <w:tblLayout w:type="fixed"/>
        <w:tblCellMar>
          <w:top w:w="0" w:type="dxa"/>
          <w:left w:w="0" w:type="dxa"/>
          <w:bottom w:w="0" w:type="dxa"/>
          <w:right w:w="0" w:type="dxa"/>
        </w:tblCellMar>
      </w:tblPr>
      <w:tblGrid>
        <w:gridCol w:w="3451"/>
        <w:gridCol w:w="213"/>
        <w:gridCol w:w="684"/>
        <w:gridCol w:w="350"/>
        <w:gridCol w:w="213"/>
        <w:gridCol w:w="684"/>
        <w:gridCol w:w="109"/>
        <w:gridCol w:w="211"/>
        <w:gridCol w:w="676"/>
        <w:gridCol w:w="346"/>
        <w:gridCol w:w="211"/>
        <w:gridCol w:w="791"/>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2191385" cy="175260"/>
                      <wp:effectExtent l="0" t="0" r="0" b="0"/>
                      <wp:wrapNone/>
                      <wp:docPr id="433" name="Frame433"/>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135255" cy="175260"/>
                      <wp:effectExtent l="0" t="0" r="0" b="0"/>
                      <wp:wrapNone/>
                      <wp:docPr id="434" name="Frame434"/>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434340" cy="175260"/>
                      <wp:effectExtent l="0" t="0" r="0" b="0"/>
                      <wp:wrapNone/>
                      <wp:docPr id="435" name="Frame435"/>
                      <a:graphic xmlns:a="http://schemas.openxmlformats.org/drawingml/2006/main">
                        <a:graphicData uri="http://schemas.microsoft.com/office/word/2010/wordprocessingShape">
                          <wps:wsp>
                            <wps:cNvSpPr txBox="1"/>
                            <wps:spPr>
                              <a:xfrm>
                                <a:off x="0" y="0"/>
                                <a:ext cx="434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222250" cy="175260"/>
                      <wp:effectExtent l="0" t="0" r="0" b="0"/>
                      <wp:wrapNone/>
                      <wp:docPr id="436" name="Frame436"/>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135255" cy="175260"/>
                      <wp:effectExtent l="0" t="0" r="0" b="0"/>
                      <wp:wrapNone/>
                      <wp:docPr id="437" name="Frame437"/>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434340" cy="175260"/>
                      <wp:effectExtent l="0" t="0" r="0" b="0"/>
                      <wp:wrapNone/>
                      <wp:docPr id="438" name="Frame438"/>
                      <a:graphic xmlns:a="http://schemas.openxmlformats.org/drawingml/2006/main">
                        <a:graphicData uri="http://schemas.microsoft.com/office/word/2010/wordprocessingShape">
                          <wps:wsp>
                            <wps:cNvSpPr txBox="1"/>
                            <wps:spPr>
                              <a:xfrm>
                                <a:off x="0" y="0"/>
                                <a:ext cx="434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69215" cy="175260"/>
                      <wp:effectExtent l="0" t="0" r="0" b="0"/>
                      <wp:wrapNone/>
                      <wp:docPr id="439" name="Frame4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133985" cy="175260"/>
                      <wp:effectExtent l="0" t="0" r="0" b="0"/>
                      <wp:wrapNone/>
                      <wp:docPr id="440" name="Frame4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429260" cy="175260"/>
                      <wp:effectExtent l="0" t="0" r="0" b="0"/>
                      <wp:wrapNone/>
                      <wp:docPr id="441" name="Frame44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219710" cy="175260"/>
                      <wp:effectExtent l="0" t="0" r="0" b="0"/>
                      <wp:wrapNone/>
                      <wp:docPr id="442" name="Frame4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133985" cy="175260"/>
                      <wp:effectExtent l="0" t="0" r="0" b="0"/>
                      <wp:wrapNone/>
                      <wp:docPr id="443" name="Frame4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502285" cy="175260"/>
                      <wp:effectExtent l="0" t="0" r="0" b="0"/>
                      <wp:wrapNone/>
                      <wp:docPr id="444" name="Frame444"/>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0"/>
              <w:ind w:left="0" w:right="0" w:hanging="0"/>
              <w:jc w:val="left"/>
              <w:rPr/>
            </w:pPr>
            <w:r>
              <w:rPr/>
              <w:t>​</w:t>
            </w:r>
          </w:p>
        </w:tc>
        <w:tc>
          <w:tcPr>
            <w:tcW w:w="214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2024"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r>
      <w:tr>
        <w:trPr/>
        <w:tc>
          <w:tcPr>
            <w:tcW w:w="3451" w:type="dxa"/>
            <w:tcBorders/>
            <w:vAlign w:val="center"/>
          </w:tcPr>
          <w:p>
            <w:pPr>
              <w:pStyle w:val="TableContents"/>
              <w:bidi w:val="0"/>
              <w:spacing w:before="0" w:after="0"/>
              <w:ind w:left="0" w:right="0" w:hanging="0"/>
              <w:jc w:val="left"/>
              <w:rPr/>
            </w:pPr>
            <w:r>
              <w:rPr/>
              <w:t>​</w:t>
            </w:r>
          </w:p>
        </w:tc>
        <w:tc>
          <w:tcPr>
            <w:tcW w:w="214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0"/>
              <w:ind w:left="0" w:right="0" w:hanging="0"/>
              <w:jc w:val="center"/>
              <w:rPr/>
            </w:pPr>
            <w:r>
              <w:rPr/>
              <w:t>​</w:t>
            </w:r>
          </w:p>
        </w:tc>
        <w:tc>
          <w:tcPr>
            <w:tcW w:w="22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8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50" w:type="dxa"/>
            <w:tcBorders/>
            <w:vAlign w:val="center"/>
          </w:tcPr>
          <w:p>
            <w:pPr>
              <w:pStyle w:val="TableContents"/>
              <w:bidi w:val="0"/>
              <w:spacing w:before="0" w:after="0"/>
              <w:ind w:left="0" w:right="0" w:hanging="0"/>
              <w:jc w:val="left"/>
              <w:rPr/>
            </w:pPr>
            <w:r>
              <w:rPr/>
              <w:t>  ​ ​ ​</w:t>
            </w:r>
          </w:p>
        </w:tc>
        <w:tc>
          <w:tcPr>
            <w:tcW w:w="8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939"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3451" w:type="dxa"/>
            <w:tcBorders/>
            <w:vAlign w:val="center"/>
          </w:tcPr>
          <w:p>
            <w:pPr>
              <w:pStyle w:val="TableContents"/>
              <w:bidi w:val="0"/>
              <w:spacing w:before="0" w:after="0"/>
              <w:ind w:left="0" w:right="0" w:hanging="0"/>
              <w:jc w:val="left"/>
              <w:rPr/>
            </w:pPr>
            <w:r>
              <w:rPr/>
              <w:t>​</w:t>
            </w:r>
          </w:p>
        </w:tc>
        <w:tc>
          <w:tcPr>
            <w:tcW w:w="214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09" w:type="dxa"/>
            <w:tcBorders/>
            <w:vAlign w:val="center"/>
          </w:tcPr>
          <w:p>
            <w:pPr>
              <w:pStyle w:val="TableContents"/>
              <w:bidi w:val="0"/>
              <w:spacing w:before="0" w:after="0"/>
              <w:ind w:left="0" w:right="0" w:hanging="0"/>
              <w:jc w:val="center"/>
              <w:rPr/>
            </w:pPr>
            <w:r>
              <w:rPr/>
              <w:t>​</w:t>
            </w:r>
          </w:p>
        </w:tc>
        <w:tc>
          <w:tcPr>
            <w:tcW w:w="223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Stock-based compensation expense:</w:t>
            </w:r>
          </w:p>
        </w:tc>
        <w:tc>
          <w:tcPr>
            <w:tcW w:w="213"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91" w:type="dxa"/>
            <w:tcBorders/>
            <w:shd w:fill="CCEEFF" w:val="clear"/>
            <w:vAlign w:val="center"/>
          </w:tcPr>
          <w:p>
            <w:pPr>
              <w:pStyle w:val="TableContents"/>
              <w:bidi w:val="0"/>
              <w:spacing w:before="0" w:after="0"/>
              <w:ind w:left="0" w:right="0" w:hanging="0"/>
              <w:jc w:val="center"/>
              <w:rPr/>
            </w:pPr>
            <w:r>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revenues, software subscriptions</w:t>
            </w:r>
          </w:p>
        </w:tc>
        <w:tc>
          <w:tcPr>
            <w:tcW w:w="2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1,083</w:t>
            </w:r>
          </w:p>
        </w:tc>
        <w:tc>
          <w:tcPr>
            <w:tcW w:w="350"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1,233</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3,460</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revenues, services</w:t>
            </w:r>
          </w:p>
        </w:tc>
        <w:tc>
          <w:tcPr>
            <w:tcW w:w="213" w:type="dxa"/>
            <w:tcBorders/>
            <w:shd w:fill="CCEEFF" w:val="clear"/>
            <w:vAlign w:val="center"/>
          </w:tcPr>
          <w:p>
            <w:pPr>
              <w:pStyle w:val="TableContents"/>
              <w:bidi w:val="0"/>
              <w:spacing w:before="0" w:after="0"/>
              <w:ind w:left="0" w:right="0" w:hanging="0"/>
              <w:jc w:val="left"/>
              <w:rPr/>
            </w:pPr>
            <w:r>
              <w:rPr/>
              <w:t> </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934</w:t>
            </w:r>
          </w:p>
        </w:tc>
        <w:tc>
          <w:tcPr>
            <w:tcW w:w="350"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1,024</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2,720</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213"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2,440</w:t>
            </w:r>
          </w:p>
        </w:tc>
        <w:tc>
          <w:tcPr>
            <w:tcW w:w="350"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2,512</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6,306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6,864</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w:t>
            </w:r>
          </w:p>
        </w:tc>
        <w:tc>
          <w:tcPr>
            <w:tcW w:w="213" w:type="dxa"/>
            <w:tcBorders/>
            <w:shd w:fill="CCEEFF" w:val="clear"/>
            <w:vAlign w:val="center"/>
          </w:tcPr>
          <w:p>
            <w:pPr>
              <w:pStyle w:val="TableContents"/>
              <w:bidi w:val="0"/>
              <w:spacing w:before="0" w:after="0"/>
              <w:ind w:left="0" w:right="0" w:hanging="0"/>
              <w:jc w:val="left"/>
              <w:rPr/>
            </w:pPr>
            <w:r>
              <w:rPr/>
              <w:t> </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4,297</w:t>
            </w:r>
          </w:p>
        </w:tc>
        <w:tc>
          <w:tcPr>
            <w:tcW w:w="350"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3,235</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9,640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9,041</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5,008</w:t>
            </w:r>
          </w:p>
        </w:tc>
        <w:tc>
          <w:tcPr>
            <w:tcW w:w="350"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3,986</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10,891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10,949</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stock-based compensation expense</w:t>
            </w:r>
          </w:p>
        </w:tc>
        <w:tc>
          <w:tcPr>
            <w:tcW w:w="2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13,762</w:t>
            </w:r>
          </w:p>
        </w:tc>
        <w:tc>
          <w:tcPr>
            <w:tcW w:w="350" w:type="dxa"/>
            <w:tcBorders/>
            <w:shd w:fill="CCEEFF" w:val="clear"/>
            <w:vAlign w:val="center"/>
          </w:tcPr>
          <w:p>
            <w:pPr>
              <w:pStyle w:val="TableContents"/>
              <w:bidi w:val="0"/>
              <w:spacing w:before="0" w:after="0"/>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11,990</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33,034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firstLine="432"/>
        <w:jc w:val="both"/>
        <w:rPr>
          <w:rFonts w:ascii="Times New Roman;Times;serif" w:hAnsi="Times New Roman;Times;serif"/>
          <w:sz w:val="20"/>
        </w:rPr>
      </w:pPr>
      <w:r>
        <w:rPr>
          <w:rFonts w:ascii="Times New Roman;Times;serif" w:hAnsi="Times New Roman;Times;serif"/>
          <w:sz w:val="20"/>
        </w:rPr>
        <w:t>The following table sets forth our results of operations as a percentage of our total revenues for the periods presented.</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075"/>
        <w:gridCol w:w="346"/>
        <w:gridCol w:w="968"/>
        <w:gridCol w:w="612"/>
        <w:gridCol w:w="991"/>
        <w:gridCol w:w="361"/>
        <w:gridCol w:w="109"/>
        <w:gridCol w:w="912"/>
        <w:gridCol w:w="577"/>
        <w:gridCol w:w="934"/>
        <w:gridCol w:w="320"/>
      </w:tblGrid>
      <w:tr>
        <w:trPr/>
        <w:tc>
          <w:tcPr>
            <w:tcW w:w="40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2587625" cy="175260"/>
                      <wp:effectExtent l="0" t="0" r="0" b="0"/>
                      <wp:wrapNone/>
                      <wp:docPr id="445" name="Frame445"/>
                      <a:graphic xmlns:a="http://schemas.openxmlformats.org/drawingml/2006/main">
                        <a:graphicData uri="http://schemas.microsoft.com/office/word/2010/wordprocessingShape">
                          <wps:wsp>
                            <wps:cNvSpPr txBox="1"/>
                            <wps:spPr>
                              <a:xfrm>
                                <a:off x="0" y="0"/>
                                <a:ext cx="2587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219710" cy="175260"/>
                      <wp:effectExtent l="0" t="0" r="0" b="0"/>
                      <wp:wrapNone/>
                      <wp:docPr id="446" name="Frame4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614680" cy="175260"/>
                      <wp:effectExtent l="0" t="0" r="0" b="0"/>
                      <wp:wrapNone/>
                      <wp:docPr id="447" name="Frame447"/>
                      <a:graphic xmlns:a="http://schemas.openxmlformats.org/drawingml/2006/main">
                        <a:graphicData uri="http://schemas.microsoft.com/office/word/2010/wordprocessingShape">
                          <wps:wsp>
                            <wps:cNvSpPr txBox="1"/>
                            <wps:spPr>
                              <a:xfrm>
                                <a:off x="0" y="0"/>
                                <a:ext cx="614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388620" cy="175260"/>
                      <wp:effectExtent l="0" t="0" r="0" b="0"/>
                      <wp:wrapNone/>
                      <wp:docPr id="448" name="Frame448"/>
                      <a:graphic xmlns:a="http://schemas.openxmlformats.org/drawingml/2006/main">
                        <a:graphicData uri="http://schemas.microsoft.com/office/word/2010/wordprocessingShape">
                          <wps:wsp>
                            <wps:cNvSpPr txBox="1"/>
                            <wps:spPr>
                              <a:xfrm>
                                <a:off x="0" y="0"/>
                                <a:ext cx="388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629285" cy="175260"/>
                      <wp:effectExtent l="0" t="0" r="0" b="0"/>
                      <wp:wrapNone/>
                      <wp:docPr id="449" name="Frame449"/>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229235" cy="175260"/>
                      <wp:effectExtent l="0" t="0" r="0" b="0"/>
                      <wp:wrapNone/>
                      <wp:docPr id="450" name="Frame45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69215" cy="175260"/>
                      <wp:effectExtent l="0" t="0" r="0" b="0"/>
                      <wp:wrapNone/>
                      <wp:docPr id="451" name="Frame45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579120" cy="175260"/>
                      <wp:effectExtent l="0" t="0" r="0" b="0"/>
                      <wp:wrapNone/>
                      <wp:docPr id="452" name="Frame452"/>
                      <a:graphic xmlns:a="http://schemas.openxmlformats.org/drawingml/2006/main">
                        <a:graphicData uri="http://schemas.microsoft.com/office/word/2010/wordprocessingShape">
                          <wps:wsp>
                            <wps:cNvSpPr txBox="1"/>
                            <wps:spPr>
                              <a:xfrm>
                                <a:off x="0" y="0"/>
                                <a:ext cx="579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366395" cy="175260"/>
                      <wp:effectExtent l="0" t="0" r="0" b="0"/>
                      <wp:wrapNone/>
                      <wp:docPr id="453" name="Frame453"/>
                      <a:graphic xmlns:a="http://schemas.openxmlformats.org/drawingml/2006/main">
                        <a:graphicData uri="http://schemas.microsoft.com/office/word/2010/wordprocessingShape">
                          <wps:wsp>
                            <wps:cNvSpPr txBox="1"/>
                            <wps:spPr>
                              <a:xfrm>
                                <a:off x="0" y="0"/>
                                <a:ext cx="366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593090" cy="175260"/>
                      <wp:effectExtent l="0" t="0" r="0" b="0"/>
                      <wp:wrapNone/>
                      <wp:docPr id="454" name="Frame454"/>
                      <a:graphic xmlns:a="http://schemas.openxmlformats.org/drawingml/2006/main">
                        <a:graphicData uri="http://schemas.microsoft.com/office/word/2010/wordprocessingShape">
                          <wps:wsp>
                            <wps:cNvSpPr txBox="1"/>
                            <wps:spPr>
                              <a:xfrm>
                                <a:off x="0" y="0"/>
                                <a:ext cx="593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203200" cy="175260"/>
                      <wp:effectExtent l="0" t="0" r="0" b="0"/>
                      <wp:wrapNone/>
                      <wp:docPr id="455" name="Frame455"/>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7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71"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June 30, </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2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 </w:t>
            </w:r>
          </w:p>
        </w:tc>
        <w:tc>
          <w:tcPr>
            <w:tcW w:w="320" w:type="dxa"/>
            <w:tcBorders/>
            <w:vAlign w:val="center"/>
          </w:tcPr>
          <w:p>
            <w:pPr>
              <w:pStyle w:val="TableContents"/>
              <w:bidi w:val="0"/>
              <w:spacing w:before="0" w:after="0"/>
              <w:ind w:left="0" w:right="0" w:hanging="0"/>
              <w:jc w:val="center"/>
              <w:rPr/>
            </w:pPr>
            <w:r>
              <w:rPr/>
              <w:t>​</w:t>
            </w:r>
          </w:p>
        </w:tc>
      </w:tr>
      <w:tr>
        <w:trPr/>
        <w:tc>
          <w:tcPr>
            <w:tcW w:w="407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6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612" w:type="dxa"/>
            <w:tcBorders/>
            <w:vAlign w:val="center"/>
          </w:tcPr>
          <w:p>
            <w:pPr>
              <w:pStyle w:val="TableContents"/>
              <w:bidi w:val="0"/>
              <w:spacing w:before="0" w:after="0"/>
              <w:ind w:left="0" w:right="0" w:hanging="0"/>
              <w:jc w:val="left"/>
              <w:rPr/>
            </w:pPr>
            <w:r>
              <w:rPr/>
              <w:t>  ​ ​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0"/>
              <w:ind w:left="0" w:right="0" w:hanging="0"/>
              <w:jc w:val="center"/>
              <w:rPr/>
            </w:pPr>
            <w:r>
              <w:rPr/>
              <w:t> </w:t>
            </w:r>
          </w:p>
        </w:tc>
        <w:tc>
          <w:tcPr>
            <w:tcW w:w="109" w:type="dxa"/>
            <w:tcBorders/>
            <w:vAlign w:val="center"/>
          </w:tcPr>
          <w:p>
            <w:pPr>
              <w:pStyle w:val="TableContents"/>
              <w:bidi w:val="0"/>
              <w:spacing w:before="0" w:after="0"/>
              <w:ind w:left="0" w:right="0" w:hanging="0"/>
              <w:jc w:val="left"/>
              <w:rPr/>
            </w:pPr>
            <w:r>
              <w:rPr/>
              <w:t>​</w:t>
            </w:r>
          </w:p>
        </w:tc>
        <w:tc>
          <w:tcPr>
            <w:tcW w:w="91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577" w:type="dxa"/>
            <w:tcBorders/>
            <w:vAlign w:val="center"/>
          </w:tcPr>
          <w:p>
            <w:pPr>
              <w:pStyle w:val="TableContents"/>
              <w:bidi w:val="0"/>
              <w:spacing w:before="0" w:after="0"/>
              <w:ind w:left="0" w:right="0" w:hanging="0"/>
              <w:jc w:val="left"/>
              <w:rPr/>
            </w:pPr>
            <w:r>
              <w:rPr/>
              <w:t>  ​ ​ ​</w:t>
            </w:r>
          </w:p>
        </w:tc>
        <w:tc>
          <w:tcPr>
            <w:tcW w:w="93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0" w:type="dxa"/>
            <w:tcBorders/>
            <w:vAlign w:val="center"/>
          </w:tcPr>
          <w:p>
            <w:pPr>
              <w:pStyle w:val="TableContents"/>
              <w:bidi w:val="0"/>
              <w:spacing w:before="0" w:after="0"/>
              <w:ind w:left="0" w:right="0" w:hanging="0"/>
              <w:jc w:val="center"/>
              <w:rPr/>
            </w:pPr>
            <w:r>
              <w:rPr/>
              <w:t>​</w:t>
            </w:r>
          </w:p>
        </w:tc>
      </w:tr>
      <w:tr>
        <w:trPr/>
        <w:tc>
          <w:tcPr>
            <w:tcW w:w="40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46" w:type="dxa"/>
            <w:tcBorders/>
            <w:shd w:fill="CCEEFF" w:val="clear"/>
            <w:vAlign w:val="center"/>
          </w:tcPr>
          <w:p>
            <w:pPr>
              <w:pStyle w:val="TableContents"/>
              <w:bidi w:val="0"/>
              <w:spacing w:before="0" w:after="0"/>
              <w:ind w:left="0" w:right="0" w:hanging="0"/>
              <w:jc w:val="left"/>
              <w:rPr/>
            </w:pPr>
            <w:r>
              <w:rPr/>
              <w:t> </w:t>
            </w:r>
          </w:p>
        </w:tc>
        <w:tc>
          <w:tcPr>
            <w:tcW w:w="968" w:type="dxa"/>
            <w:tcBorders/>
            <w:shd w:fill="CCEEFF" w:val="clear"/>
            <w:vAlign w:val="center"/>
          </w:tcPr>
          <w:p>
            <w:pPr>
              <w:pStyle w:val="TableContents"/>
              <w:bidi w:val="0"/>
              <w:spacing w:before="0" w:after="0"/>
              <w:ind w:left="0" w:right="0" w:hanging="0"/>
              <w:jc w:val="right"/>
              <w:rPr/>
            </w:pPr>
            <w:r>
              <w:rPr/>
              <w:t>  ​</w:t>
            </w:r>
          </w:p>
        </w:tc>
        <w:tc>
          <w:tcPr>
            <w:tcW w:w="612"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pPr>
            <w:r>
              <w:rPr/>
              <w:t>  ​</w:t>
            </w:r>
          </w:p>
        </w:tc>
        <w:tc>
          <w:tcPr>
            <w:tcW w:w="577" w:type="dxa"/>
            <w:tcBorders/>
            <w:shd w:fill="CCEEFF" w:val="clear"/>
            <w:vAlign w:val="center"/>
          </w:tcPr>
          <w:p>
            <w:pPr>
              <w:pStyle w:val="TableContents"/>
              <w:bidi w:val="0"/>
              <w:spacing w:before="0" w:after="0"/>
              <w:ind w:left="0" w:right="0" w:hanging="0"/>
              <w:jc w:val="left"/>
              <w:rPr/>
            </w:pPr>
            <w:r>
              <w:rPr/>
              <w:t> </w:t>
            </w:r>
          </w:p>
        </w:tc>
        <w:tc>
          <w:tcPr>
            <w:tcW w:w="934" w:type="dxa"/>
            <w:tcBorders/>
            <w:shd w:fill="CCEEFF" w:val="clear"/>
            <w:vAlign w:val="center"/>
          </w:tcPr>
          <w:p>
            <w:pPr>
              <w:pStyle w:val="TableContents"/>
              <w:bidi w:val="0"/>
              <w:spacing w:before="0" w:after="0"/>
              <w:ind w:left="0" w:right="0" w:hanging="0"/>
              <w:jc w:val="right"/>
              <w:rPr/>
            </w:pPr>
            <w:r>
              <w:rPr/>
              <w:t>  ​</w:t>
            </w:r>
          </w:p>
        </w:tc>
        <w:tc>
          <w:tcPr>
            <w:tcW w:w="320" w:type="dxa"/>
            <w:tcBorders/>
            <w:shd w:fill="CCEEFF" w:val="clear"/>
            <w:vAlign w:val="center"/>
          </w:tcPr>
          <w:p>
            <w:pPr>
              <w:pStyle w:val="TableContents"/>
              <w:bidi w:val="0"/>
              <w:spacing w:before="0" w:after="0"/>
              <w:ind w:left="0" w:right="0" w:hanging="0"/>
              <w:jc w:val="right"/>
              <w:rPr/>
            </w:pPr>
            <w:r>
              <w:rPr/>
              <w:t>​</w:t>
            </w:r>
          </w:p>
        </w:tc>
      </w:tr>
      <w:tr>
        <w:trPr/>
        <w:tc>
          <w:tcPr>
            <w:tcW w:w="40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Software subscriptions</w:t>
            </w:r>
          </w:p>
        </w:tc>
        <w:tc>
          <w:tcPr>
            <w:tcW w:w="346" w:type="dxa"/>
            <w:tcBorders/>
            <w:vAlign w:val="center"/>
          </w:tcPr>
          <w:p>
            <w:pPr>
              <w:pStyle w:val="TableContents"/>
              <w:bidi w:val="0"/>
              <w:spacing w:before="0" w:after="0"/>
              <w:ind w:left="0" w:right="0" w:hanging="0"/>
              <w:jc w:val="left"/>
              <w:rPr/>
            </w:pPr>
            <w:r>
              <w:rPr/>
              <w:t> </w:t>
            </w:r>
          </w:p>
        </w:tc>
        <w:tc>
          <w:tcPr>
            <w:tcW w:w="9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85.7</w:t>
            </w:r>
          </w:p>
        </w:tc>
        <w:tc>
          <w:tcPr>
            <w:tcW w:w="6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85.3</w:t>
            </w:r>
          </w:p>
        </w:tc>
        <w:tc>
          <w:tcPr>
            <w:tcW w:w="5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85.3</w:t>
            </w:r>
          </w:p>
        </w:tc>
        <w:tc>
          <w:tcPr>
            <w:tcW w:w="3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Services</w:t>
            </w:r>
          </w:p>
        </w:tc>
        <w:tc>
          <w:tcPr>
            <w:tcW w:w="346" w:type="dxa"/>
            <w:tcBorders/>
            <w:shd w:fill="CCEEFF" w:val="clear"/>
            <w:vAlign w:val="center"/>
          </w:tcPr>
          <w:p>
            <w:pPr>
              <w:pStyle w:val="TableContents"/>
              <w:bidi w:val="0"/>
              <w:spacing w:before="0" w:after="0"/>
              <w:ind w:left="0" w:right="0" w:hanging="0"/>
              <w:jc w:val="left"/>
              <w:rPr/>
            </w:pPr>
            <w:r>
              <w:rPr/>
              <w:t> </w:t>
            </w:r>
          </w:p>
        </w:tc>
        <w:tc>
          <w:tcPr>
            <w:tcW w:w="9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c>
          <w:tcPr>
            <w:tcW w:w="6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w:t>
            </w:r>
          </w:p>
        </w:tc>
        <w:tc>
          <w:tcPr>
            <w:tcW w:w="5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w:t>
            </w:r>
          </w:p>
        </w:tc>
        <w:tc>
          <w:tcPr>
            <w:tcW w:w="3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46" w:type="dxa"/>
            <w:tcBorders/>
            <w:vAlign w:val="center"/>
          </w:tcPr>
          <w:p>
            <w:pPr>
              <w:pStyle w:val="TableContents"/>
              <w:bidi w:val="0"/>
              <w:spacing w:before="0" w:after="0"/>
              <w:ind w:left="0" w:right="0" w:hanging="0"/>
              <w:jc w:val="left"/>
              <w:rPr/>
            </w:pPr>
            <w:r>
              <w:rPr/>
              <w:t> </w:t>
            </w:r>
          </w:p>
        </w:tc>
        <w:tc>
          <w:tcPr>
            <w:tcW w:w="96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6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9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5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revenues:</w:t>
            </w:r>
          </w:p>
        </w:tc>
        <w:tc>
          <w:tcPr>
            <w:tcW w:w="346" w:type="dxa"/>
            <w:tcBorders/>
            <w:shd w:fill="CCEEFF" w:val="clear"/>
            <w:vAlign w:val="center"/>
          </w:tcPr>
          <w:p>
            <w:pPr>
              <w:pStyle w:val="TableContents"/>
              <w:bidi w:val="0"/>
              <w:spacing w:before="0" w:after="0"/>
              <w:ind w:left="0" w:right="0" w:hanging="0"/>
              <w:jc w:val="left"/>
              <w:rPr/>
            </w:pPr>
            <w:r>
              <w:rPr/>
              <w:t> </w:t>
            </w:r>
          </w:p>
        </w:tc>
        <w:tc>
          <w:tcPr>
            <w:tcW w:w="968" w:type="dxa"/>
            <w:tcBorders/>
            <w:shd w:fill="CCEEFF" w:val="clear"/>
            <w:vAlign w:val="center"/>
          </w:tcPr>
          <w:p>
            <w:pPr>
              <w:pStyle w:val="TableContents"/>
              <w:bidi w:val="0"/>
              <w:spacing w:before="0" w:after="0"/>
              <w:ind w:left="0" w:right="0" w:hanging="0"/>
              <w:jc w:val="right"/>
              <w:rPr/>
            </w:pPr>
            <w:r>
              <w:rPr/>
              <w:t>  ​</w:t>
            </w:r>
          </w:p>
        </w:tc>
        <w:tc>
          <w:tcPr>
            <w:tcW w:w="612"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pPr>
            <w:r>
              <w:rPr/>
              <w:t>  ​</w:t>
            </w:r>
          </w:p>
        </w:tc>
        <w:tc>
          <w:tcPr>
            <w:tcW w:w="577" w:type="dxa"/>
            <w:tcBorders/>
            <w:shd w:fill="CCEEFF" w:val="clear"/>
            <w:vAlign w:val="center"/>
          </w:tcPr>
          <w:p>
            <w:pPr>
              <w:pStyle w:val="TableContents"/>
              <w:bidi w:val="0"/>
              <w:spacing w:before="0" w:after="0"/>
              <w:ind w:left="0" w:right="0" w:hanging="0"/>
              <w:jc w:val="left"/>
              <w:rPr/>
            </w:pPr>
            <w:r>
              <w:rPr/>
              <w:t> </w:t>
            </w:r>
          </w:p>
        </w:tc>
        <w:tc>
          <w:tcPr>
            <w:tcW w:w="934" w:type="dxa"/>
            <w:tcBorders/>
            <w:shd w:fill="CCEEFF" w:val="clear"/>
            <w:vAlign w:val="center"/>
          </w:tcPr>
          <w:p>
            <w:pPr>
              <w:pStyle w:val="TableContents"/>
              <w:bidi w:val="0"/>
              <w:spacing w:before="0" w:after="0"/>
              <w:ind w:left="0" w:right="0" w:hanging="0"/>
              <w:jc w:val="right"/>
              <w:rPr/>
            </w:pPr>
            <w:r>
              <w:rPr/>
              <w:t>  ​</w:t>
            </w:r>
          </w:p>
        </w:tc>
        <w:tc>
          <w:tcPr>
            <w:tcW w:w="320" w:type="dxa"/>
            <w:tcBorders/>
            <w:shd w:fill="CCEEFF" w:val="clear"/>
            <w:vAlign w:val="center"/>
          </w:tcPr>
          <w:p>
            <w:pPr>
              <w:pStyle w:val="TableContents"/>
              <w:bidi w:val="0"/>
              <w:spacing w:before="0" w:after="0"/>
              <w:ind w:left="0" w:right="0" w:hanging="0"/>
              <w:jc w:val="left"/>
              <w:rPr/>
            </w:pPr>
            <w:r>
              <w:rPr/>
              <w:t>​</w:t>
            </w:r>
          </w:p>
        </w:tc>
      </w:tr>
      <w:tr>
        <w:trPr/>
        <w:tc>
          <w:tcPr>
            <w:tcW w:w="40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Software subscriptions</w:t>
            </w:r>
          </w:p>
        </w:tc>
        <w:tc>
          <w:tcPr>
            <w:tcW w:w="346" w:type="dxa"/>
            <w:tcBorders/>
            <w:vAlign w:val="center"/>
          </w:tcPr>
          <w:p>
            <w:pPr>
              <w:pStyle w:val="TableContents"/>
              <w:bidi w:val="0"/>
              <w:spacing w:before="0" w:after="0"/>
              <w:ind w:left="0" w:right="0" w:hanging="0"/>
              <w:jc w:val="left"/>
              <w:rPr/>
            </w:pPr>
            <w:r>
              <w:rPr/>
              <w:t> </w:t>
            </w:r>
          </w:p>
        </w:tc>
        <w:tc>
          <w:tcPr>
            <w:tcW w:w="9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w:t>
            </w:r>
          </w:p>
        </w:tc>
        <w:tc>
          <w:tcPr>
            <w:tcW w:w="6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w:t>
            </w:r>
          </w:p>
        </w:tc>
        <w:tc>
          <w:tcPr>
            <w:tcW w:w="5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w:t>
            </w:r>
          </w:p>
        </w:tc>
        <w:tc>
          <w:tcPr>
            <w:tcW w:w="3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Services</w:t>
            </w:r>
          </w:p>
        </w:tc>
        <w:tc>
          <w:tcPr>
            <w:tcW w:w="346" w:type="dxa"/>
            <w:tcBorders/>
            <w:shd w:fill="CCEEFF" w:val="clear"/>
            <w:vAlign w:val="center"/>
          </w:tcPr>
          <w:p>
            <w:pPr>
              <w:pStyle w:val="TableContents"/>
              <w:bidi w:val="0"/>
              <w:spacing w:before="0" w:after="0"/>
              <w:ind w:left="0" w:right="0" w:hanging="0"/>
              <w:jc w:val="left"/>
              <w:rPr/>
            </w:pPr>
            <w:r>
              <w:rPr/>
              <w:t> </w:t>
            </w:r>
          </w:p>
        </w:tc>
        <w:tc>
          <w:tcPr>
            <w:tcW w:w="9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6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c>
          <w:tcPr>
            <w:tcW w:w="5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3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 of revenues</w:t>
            </w:r>
          </w:p>
        </w:tc>
        <w:tc>
          <w:tcPr>
            <w:tcW w:w="346" w:type="dxa"/>
            <w:tcBorders/>
            <w:vAlign w:val="center"/>
          </w:tcPr>
          <w:p>
            <w:pPr>
              <w:pStyle w:val="TableContents"/>
              <w:bidi w:val="0"/>
              <w:spacing w:before="0" w:after="0"/>
              <w:ind w:left="0" w:right="0" w:hanging="0"/>
              <w:jc w:val="left"/>
              <w:rPr/>
            </w:pPr>
            <w:r>
              <w:rPr/>
              <w:t> </w:t>
            </w:r>
          </w:p>
        </w:tc>
        <w:tc>
          <w:tcPr>
            <w:tcW w:w="96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w:t>
            </w:r>
          </w:p>
        </w:tc>
        <w:tc>
          <w:tcPr>
            <w:tcW w:w="6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9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w:t>
            </w:r>
          </w:p>
        </w:tc>
        <w:tc>
          <w:tcPr>
            <w:tcW w:w="5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w:t>
            </w:r>
          </w:p>
        </w:tc>
        <w:tc>
          <w:tcPr>
            <w:tcW w:w="3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0"/>
              <w:ind w:left="0" w:right="0" w:hanging="0"/>
              <w:jc w:val="left"/>
              <w:rPr/>
            </w:pPr>
            <w:r>
              <w:rPr/>
              <w:t> </w:t>
            </w:r>
          </w:p>
        </w:tc>
        <w:tc>
          <w:tcPr>
            <w:tcW w:w="9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64.3</w:t>
            </w:r>
          </w:p>
        </w:tc>
        <w:tc>
          <w:tcPr>
            <w:tcW w:w="6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65.7</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63.9</w:t>
            </w:r>
          </w:p>
        </w:tc>
        <w:tc>
          <w:tcPr>
            <w:tcW w:w="5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64.8</w:t>
            </w:r>
          </w:p>
        </w:tc>
        <w:tc>
          <w:tcPr>
            <w:tcW w:w="3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vAlign w:val="center"/>
          </w:tcPr>
          <w:p>
            <w:pPr>
              <w:pStyle w:val="TableContents"/>
              <w:bidi w:val="0"/>
              <w:spacing w:before="0" w:after="0"/>
              <w:ind w:left="0" w:right="0" w:hanging="0"/>
              <w:jc w:val="left"/>
              <w:rPr/>
            </w:pPr>
            <w:r>
              <w:rPr/>
              <w:t> </w:t>
            </w:r>
          </w:p>
        </w:tc>
        <w:tc>
          <w:tcPr>
            <w:tcW w:w="968" w:type="dxa"/>
            <w:tcBorders/>
            <w:vAlign w:val="center"/>
          </w:tcPr>
          <w:p>
            <w:pPr>
              <w:pStyle w:val="TableContents"/>
              <w:bidi w:val="0"/>
              <w:spacing w:before="0" w:after="0"/>
              <w:ind w:left="0" w:right="0" w:hanging="0"/>
              <w:jc w:val="right"/>
              <w:rPr/>
            </w:pPr>
            <w:r>
              <w:rPr/>
              <w:t>  ​</w:t>
            </w:r>
          </w:p>
        </w:tc>
        <w:tc>
          <w:tcPr>
            <w:tcW w:w="612"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pPr>
            <w:r>
              <w:rPr/>
              <w:t>  ​</w:t>
            </w:r>
          </w:p>
        </w:tc>
        <w:tc>
          <w:tcPr>
            <w:tcW w:w="577" w:type="dxa"/>
            <w:tcBorders/>
            <w:vAlign w:val="center"/>
          </w:tcPr>
          <w:p>
            <w:pPr>
              <w:pStyle w:val="TableContents"/>
              <w:bidi w:val="0"/>
              <w:spacing w:before="0" w:after="0"/>
              <w:ind w:left="0" w:right="0" w:hanging="0"/>
              <w:jc w:val="left"/>
              <w:rPr/>
            </w:pPr>
            <w:r>
              <w:rPr/>
              <w:t> </w:t>
            </w:r>
          </w:p>
        </w:tc>
        <w:tc>
          <w:tcPr>
            <w:tcW w:w="934" w:type="dxa"/>
            <w:tcBorders/>
            <w:vAlign w:val="center"/>
          </w:tcPr>
          <w:p>
            <w:pPr>
              <w:pStyle w:val="TableContents"/>
              <w:bidi w:val="0"/>
              <w:spacing w:before="0" w:after="0"/>
              <w:ind w:left="0" w:right="0" w:hanging="0"/>
              <w:jc w:val="right"/>
              <w:rPr/>
            </w:pPr>
            <w:r>
              <w:rPr/>
              <w:t>  ​</w:t>
            </w:r>
          </w:p>
        </w:tc>
        <w:tc>
          <w:tcPr>
            <w:tcW w:w="320" w:type="dxa"/>
            <w:tcBorders/>
            <w:vAlign w:val="center"/>
          </w:tcPr>
          <w:p>
            <w:pPr>
              <w:pStyle w:val="TableContents"/>
              <w:bidi w:val="0"/>
              <w:spacing w:before="0" w:after="0"/>
              <w:ind w:left="0" w:right="0" w:hanging="0"/>
              <w:jc w:val="left"/>
              <w:rPr/>
            </w:pPr>
            <w:r>
              <w:rPr/>
              <w:t>​</w:t>
            </w:r>
          </w:p>
        </w:tc>
      </w:tr>
      <w:tr>
        <w:trPr/>
        <w:tc>
          <w:tcPr>
            <w:tcW w:w="40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0"/>
              <w:ind w:left="0" w:right="0" w:hanging="0"/>
              <w:jc w:val="left"/>
              <w:rPr/>
            </w:pPr>
            <w:r>
              <w:rPr/>
              <w:t> </w:t>
            </w:r>
          </w:p>
        </w:tc>
        <w:tc>
          <w:tcPr>
            <w:tcW w:w="9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c>
          <w:tcPr>
            <w:tcW w:w="6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5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c>
          <w:tcPr>
            <w:tcW w:w="3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w:t>
            </w:r>
          </w:p>
        </w:tc>
        <w:tc>
          <w:tcPr>
            <w:tcW w:w="346" w:type="dxa"/>
            <w:tcBorders/>
            <w:vAlign w:val="center"/>
          </w:tcPr>
          <w:p>
            <w:pPr>
              <w:pStyle w:val="TableContents"/>
              <w:bidi w:val="0"/>
              <w:spacing w:before="0" w:after="0"/>
              <w:ind w:left="0" w:right="0" w:hanging="0"/>
              <w:jc w:val="left"/>
              <w:rPr/>
            </w:pPr>
            <w:r>
              <w:rPr/>
              <w:t> </w:t>
            </w:r>
          </w:p>
        </w:tc>
        <w:tc>
          <w:tcPr>
            <w:tcW w:w="9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w:t>
            </w:r>
          </w:p>
        </w:tc>
        <w:tc>
          <w:tcPr>
            <w:tcW w:w="6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w:t>
            </w:r>
          </w:p>
        </w:tc>
        <w:tc>
          <w:tcPr>
            <w:tcW w:w="5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w:t>
            </w:r>
          </w:p>
        </w:tc>
        <w:tc>
          <w:tcPr>
            <w:tcW w:w="3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before="0" w:after="0"/>
              <w:ind w:left="0" w:right="0" w:hanging="0"/>
              <w:jc w:val="left"/>
              <w:rPr/>
            </w:pPr>
            <w:r>
              <w:rPr/>
              <w:t> </w:t>
            </w:r>
          </w:p>
        </w:tc>
        <w:tc>
          <w:tcPr>
            <w:tcW w:w="9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w:t>
            </w:r>
          </w:p>
        </w:tc>
        <w:tc>
          <w:tcPr>
            <w:tcW w:w="6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w:t>
            </w:r>
          </w:p>
        </w:tc>
        <w:tc>
          <w:tcPr>
            <w:tcW w:w="5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w:t>
            </w:r>
          </w:p>
        </w:tc>
        <w:tc>
          <w:tcPr>
            <w:tcW w:w="3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0"/>
              <w:ind w:left="0" w:right="0" w:hanging="0"/>
              <w:jc w:val="left"/>
              <w:rPr/>
            </w:pPr>
            <w:r>
              <w:rPr/>
              <w:t> </w:t>
            </w:r>
          </w:p>
        </w:tc>
        <w:tc>
          <w:tcPr>
            <w:tcW w:w="9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6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5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acquisition contingent earn-outs</w:t>
            </w:r>
          </w:p>
        </w:tc>
        <w:tc>
          <w:tcPr>
            <w:tcW w:w="346" w:type="dxa"/>
            <w:tcBorders/>
            <w:shd w:fill="CCEEFF" w:val="clear"/>
            <w:vAlign w:val="center"/>
          </w:tcPr>
          <w:p>
            <w:pPr>
              <w:pStyle w:val="TableContents"/>
              <w:bidi w:val="0"/>
              <w:spacing w:before="0" w:after="0"/>
              <w:ind w:left="0" w:right="0" w:hanging="0"/>
              <w:jc w:val="left"/>
              <w:rPr/>
            </w:pPr>
            <w:r>
              <w:rPr/>
              <w:t>​</w:t>
            </w:r>
          </w:p>
        </w:tc>
        <w:tc>
          <w:tcPr>
            <w:tcW w:w="968" w:type="dxa"/>
            <w:tcBorders/>
            <w:shd w:fill="CCEEFF" w:val="clear"/>
            <w:vAlign w:val="center"/>
          </w:tcPr>
          <w:p>
            <w:pPr>
              <w:pStyle w:val="TableContents"/>
              <w:bidi w:val="0"/>
              <w:spacing w:before="0" w:after="0"/>
              <w:ind w:left="0" w:right="0" w:hanging="0"/>
              <w:jc w:val="right"/>
              <w:rPr/>
            </w:pPr>
            <w:r>
              <w:rPr/>
              <w:t>—</w:t>
            </w:r>
          </w:p>
        </w:tc>
        <w:tc>
          <w:tcPr>
            <w:tcW w:w="6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5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operating expense, net</w:t>
            </w:r>
          </w:p>
        </w:tc>
        <w:tc>
          <w:tcPr>
            <w:tcW w:w="346" w:type="dxa"/>
            <w:tcBorders/>
            <w:vAlign w:val="center"/>
          </w:tcPr>
          <w:p>
            <w:pPr>
              <w:pStyle w:val="TableContents"/>
              <w:bidi w:val="0"/>
              <w:spacing w:before="0" w:after="0"/>
              <w:ind w:left="0" w:right="0" w:hanging="0"/>
              <w:jc w:val="left"/>
              <w:rPr/>
            </w:pPr>
            <w:r>
              <w:rPr/>
              <w:t> </w:t>
            </w:r>
          </w:p>
        </w:tc>
        <w:tc>
          <w:tcPr>
            <w:tcW w:w="96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6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9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5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9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66.6</w:t>
            </w:r>
          </w:p>
        </w:tc>
        <w:tc>
          <w:tcPr>
            <w:tcW w:w="6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67.6</w:t>
            </w:r>
          </w:p>
        </w:tc>
        <w:tc>
          <w:tcPr>
            <w:tcW w:w="5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64.6</w:t>
            </w:r>
          </w:p>
        </w:tc>
        <w:tc>
          <w:tcPr>
            <w:tcW w:w="3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from operations</w:t>
            </w:r>
          </w:p>
        </w:tc>
        <w:tc>
          <w:tcPr>
            <w:tcW w:w="346" w:type="dxa"/>
            <w:tcBorders/>
            <w:vAlign w:val="center"/>
          </w:tcPr>
          <w:p>
            <w:pPr>
              <w:pStyle w:val="TableContents"/>
              <w:bidi w:val="0"/>
              <w:spacing w:before="0" w:after="0"/>
              <w:ind w:left="0" w:right="0" w:hanging="0"/>
              <w:jc w:val="left"/>
              <w:rPr/>
            </w:pPr>
            <w:r>
              <w:rPr/>
              <w:t> </w:t>
            </w:r>
          </w:p>
        </w:tc>
        <w:tc>
          <w:tcPr>
            <w:tcW w:w="9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6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5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net</w:t>
            </w:r>
          </w:p>
        </w:tc>
        <w:tc>
          <w:tcPr>
            <w:tcW w:w="346" w:type="dxa"/>
            <w:tcBorders/>
            <w:shd w:fill="CCEEFF" w:val="clear"/>
            <w:vAlign w:val="center"/>
          </w:tcPr>
          <w:p>
            <w:pPr>
              <w:pStyle w:val="TableContents"/>
              <w:bidi w:val="0"/>
              <w:spacing w:before="0" w:after="0"/>
              <w:ind w:left="0" w:right="0" w:hanging="0"/>
              <w:jc w:val="left"/>
              <w:rPr/>
            </w:pPr>
            <w:r>
              <w:rPr/>
              <w:t> </w:t>
            </w:r>
          </w:p>
        </w:tc>
        <w:tc>
          <w:tcPr>
            <w:tcW w:w="9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6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5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3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before income taxes</w:t>
            </w:r>
          </w:p>
        </w:tc>
        <w:tc>
          <w:tcPr>
            <w:tcW w:w="346" w:type="dxa"/>
            <w:tcBorders/>
            <w:vAlign w:val="center"/>
          </w:tcPr>
          <w:p>
            <w:pPr>
              <w:pStyle w:val="TableContents"/>
              <w:bidi w:val="0"/>
              <w:spacing w:before="0" w:after="0"/>
              <w:ind w:left="0" w:right="0" w:hanging="0"/>
              <w:jc w:val="left"/>
              <w:rPr/>
            </w:pPr>
            <w:r>
              <w:rPr/>
              <w:t> </w:t>
            </w:r>
          </w:p>
        </w:tc>
        <w:tc>
          <w:tcPr>
            <w:tcW w:w="9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6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5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w:t>
            </w:r>
          </w:p>
        </w:tc>
        <w:tc>
          <w:tcPr>
            <w:tcW w:w="346" w:type="dxa"/>
            <w:tcBorders/>
            <w:shd w:fill="CCEEFF" w:val="clear"/>
            <w:vAlign w:val="center"/>
          </w:tcPr>
          <w:p>
            <w:pPr>
              <w:pStyle w:val="TableContents"/>
              <w:bidi w:val="0"/>
              <w:spacing w:before="0" w:after="0"/>
              <w:ind w:left="0" w:right="0" w:hanging="0"/>
              <w:jc w:val="left"/>
              <w:rPr/>
            </w:pPr>
            <w:r>
              <w:rPr/>
              <w:t> </w:t>
            </w:r>
          </w:p>
        </w:tc>
        <w:tc>
          <w:tcPr>
            <w:tcW w:w="9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6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5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vAlign w:val="center"/>
          </w:tcPr>
          <w:p>
            <w:pPr>
              <w:pStyle w:val="TableContents"/>
              <w:bidi w:val="0"/>
              <w:spacing w:before="0" w:after="0"/>
              <w:ind w:left="0" w:right="0" w:hanging="0"/>
              <w:jc w:val="left"/>
              <w:rPr/>
            </w:pPr>
            <w:r>
              <w:rPr/>
              <w:t> </w:t>
            </w:r>
          </w:p>
        </w:tc>
        <w:tc>
          <w:tcPr>
            <w:tcW w:w="9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6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5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968" w:type="dxa"/>
            <w:tcBorders/>
            <w:shd w:fill="CCEEFF" w:val="clear"/>
            <w:vAlign w:val="center"/>
          </w:tcPr>
          <w:p>
            <w:pPr>
              <w:pStyle w:val="TableContents"/>
              <w:bidi w:val="0"/>
              <w:spacing w:before="0" w:after="0"/>
              <w:ind w:left="0" w:right="0" w:hanging="0"/>
              <w:jc w:val="right"/>
              <w:rPr/>
            </w:pPr>
            <w:r>
              <w:rPr/>
              <w:t>​</w:t>
            </w:r>
          </w:p>
        </w:tc>
        <w:tc>
          <w:tcPr>
            <w:tcW w:w="612"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pPr>
            <w:r>
              <w:rPr/>
              <w:t>​</w:t>
            </w:r>
          </w:p>
        </w:tc>
        <w:tc>
          <w:tcPr>
            <w:tcW w:w="577" w:type="dxa"/>
            <w:tcBorders/>
            <w:shd w:fill="CCEEFF" w:val="clear"/>
            <w:vAlign w:val="center"/>
          </w:tcPr>
          <w:p>
            <w:pPr>
              <w:pStyle w:val="TableContents"/>
              <w:bidi w:val="0"/>
              <w:spacing w:before="0" w:after="0"/>
              <w:ind w:left="0" w:right="0" w:hanging="0"/>
              <w:jc w:val="left"/>
              <w:rPr/>
            </w:pPr>
            <w:r>
              <w:rPr/>
              <w:t>​</w:t>
            </w:r>
          </w:p>
        </w:tc>
        <w:tc>
          <w:tcPr>
            <w:tcW w:w="934" w:type="dxa"/>
            <w:tcBorders/>
            <w:shd w:fill="CCEEFF" w:val="clear"/>
            <w:vAlign w:val="center"/>
          </w:tcPr>
          <w:p>
            <w:pPr>
              <w:pStyle w:val="TableContents"/>
              <w:bidi w:val="0"/>
              <w:spacing w:before="0" w:after="0"/>
              <w:ind w:left="0" w:right="0" w:hanging="0"/>
              <w:jc w:val="right"/>
              <w:rPr/>
            </w:pPr>
            <w:r>
              <w:rPr/>
              <w:t>​</w:t>
            </w:r>
          </w:p>
        </w:tc>
        <w:tc>
          <w:tcPr>
            <w:tcW w:w="320" w:type="dxa"/>
            <w:tcBorders/>
            <w:shd w:fill="CCEEFF" w:val="clear"/>
            <w:vAlign w:val="center"/>
          </w:tcPr>
          <w:p>
            <w:pPr>
              <w:pStyle w:val="TableContents"/>
              <w:bidi w:val="0"/>
              <w:spacing w:before="0" w:after="0"/>
              <w:ind w:left="0" w:right="0" w:hanging="0"/>
              <w:jc w:val="left"/>
              <w:rPr/>
            </w:pPr>
            <w:r>
              <w:rPr/>
              <w:t>​</w:t>
            </w:r>
          </w:p>
        </w:tc>
      </w:tr>
      <w:tr>
        <w:trPr/>
        <w:tc>
          <w:tcPr>
            <w:tcW w:w="40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 net of tax</w:t>
            </w:r>
          </w:p>
        </w:tc>
        <w:tc>
          <w:tcPr>
            <w:tcW w:w="346" w:type="dxa"/>
            <w:tcBorders/>
            <w:vAlign w:val="center"/>
          </w:tcPr>
          <w:p>
            <w:pPr>
              <w:pStyle w:val="TableContents"/>
              <w:bidi w:val="0"/>
              <w:spacing w:before="0" w:after="0"/>
              <w:ind w:left="0" w:right="0" w:hanging="0"/>
              <w:jc w:val="left"/>
              <w:rPr/>
            </w:pPr>
            <w:r>
              <w:rPr/>
              <w:t>​</w:t>
            </w:r>
          </w:p>
        </w:tc>
        <w:tc>
          <w:tcPr>
            <w:tcW w:w="9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6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5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3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loss on investments, net of tax</w:t>
            </w:r>
          </w:p>
        </w:tc>
        <w:tc>
          <w:tcPr>
            <w:tcW w:w="346" w:type="dxa"/>
            <w:tcBorders/>
            <w:shd w:fill="CCEEFF" w:val="clear"/>
            <w:vAlign w:val="center"/>
          </w:tcPr>
          <w:p>
            <w:pPr>
              <w:pStyle w:val="TableContents"/>
              <w:bidi w:val="0"/>
              <w:spacing w:before="0" w:after="0"/>
              <w:ind w:left="0" w:right="0" w:hanging="0"/>
              <w:jc w:val="left"/>
              <w:rPr/>
            </w:pPr>
            <w:r>
              <w:rPr/>
              <w:t>​</w:t>
            </w:r>
          </w:p>
        </w:tc>
        <w:tc>
          <w:tcPr>
            <w:tcW w:w="9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9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comprehensive income (loss), net of tax</w:t>
            </w:r>
          </w:p>
        </w:tc>
        <w:tc>
          <w:tcPr>
            <w:tcW w:w="346" w:type="dxa"/>
            <w:tcBorders/>
            <w:vAlign w:val="center"/>
          </w:tcPr>
          <w:p>
            <w:pPr>
              <w:pStyle w:val="TableContents"/>
              <w:bidi w:val="0"/>
              <w:spacing w:before="0" w:after="0"/>
              <w:ind w:left="0" w:right="0" w:hanging="0"/>
              <w:jc w:val="left"/>
              <w:rPr/>
            </w:pPr>
            <w:r>
              <w:rPr/>
              <w:t> </w:t>
            </w:r>
          </w:p>
        </w:tc>
        <w:tc>
          <w:tcPr>
            <w:tcW w:w="96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6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9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5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3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comprehensive income (loss)</w:t>
            </w:r>
          </w:p>
        </w:tc>
        <w:tc>
          <w:tcPr>
            <w:tcW w:w="346" w:type="dxa"/>
            <w:tcBorders/>
            <w:shd w:fill="CCEEFF" w:val="clear"/>
            <w:vAlign w:val="center"/>
          </w:tcPr>
          <w:p>
            <w:pPr>
              <w:pStyle w:val="TableContents"/>
              <w:bidi w:val="0"/>
              <w:spacing w:before="0" w:after="0"/>
              <w:ind w:left="0" w:right="0" w:hanging="0"/>
              <w:jc w:val="left"/>
              <w:rPr/>
            </w:pPr>
            <w:r>
              <w:rPr/>
              <w:t> </w:t>
            </w:r>
          </w:p>
        </w:tc>
        <w:tc>
          <w:tcPr>
            <w:tcW w:w="96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6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5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w:t>
            </w:r>
          </w:p>
        </w:tc>
        <w:tc>
          <w:tcPr>
            <w:tcW w:w="3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b/>
          <w:sz w:val="20"/>
        </w:rPr>
      </w:pPr>
      <w:r>
        <w:rPr>
          <w:rFonts w:ascii="Times New Roman;Times;serif" w:hAnsi="Times New Roman;Times;serif"/>
          <w:b/>
          <w:sz w:val="20"/>
        </w:rPr>
        <w:t xml:space="preserve">Three Months Ended June 30, 2026 Compared to Three Months Ended June 30, 2025 </w:t>
      </w:r>
    </w:p>
    <w:p>
      <w:pPr>
        <w:pStyle w:val="TextBody"/>
        <w:bidi w:val="0"/>
        <w:spacing w:before="0" w:after="0"/>
        <w:ind w:left="0" w:right="0" w:firstLine="360"/>
        <w:jc w:val="both"/>
        <w:rPr>
          <w:rFonts w:ascii="Times New Roman;Times;serif" w:hAnsi="Times New Roman;Times;serif"/>
          <w:b/>
          <w:sz w:val="20"/>
        </w:rPr>
      </w:pPr>
      <w:r>
        <w:rPr>
          <w:rFonts w:ascii="Times New Roman;Times;serif" w:hAnsi="Times New Roman;Times;serif"/>
          <w:b/>
          <w:sz w:val="20"/>
        </w:rPr>
        <w:t>Revenues</w:t>
      </w:r>
    </w:p>
    <w:tbl>
      <w:tblPr>
        <w:tblW w:w="7450" w:type="dxa"/>
        <w:jc w:val="left"/>
        <w:tblInd w:w="0" w:type="dxa"/>
        <w:tblLayout w:type="fixed"/>
        <w:tblCellMar>
          <w:top w:w="0" w:type="dxa"/>
          <w:left w:w="0" w:type="dxa"/>
          <w:bottom w:w="0" w:type="dxa"/>
          <w:right w:w="0" w:type="dxa"/>
        </w:tblCellMar>
      </w:tblPr>
      <w:tblGrid>
        <w:gridCol w:w="1951"/>
        <w:gridCol w:w="346"/>
        <w:gridCol w:w="211"/>
        <w:gridCol w:w="781"/>
        <w:gridCol w:w="346"/>
        <w:gridCol w:w="211"/>
        <w:gridCol w:w="781"/>
        <w:gridCol w:w="346"/>
        <w:gridCol w:w="304"/>
        <w:gridCol w:w="974"/>
        <w:gridCol w:w="210"/>
        <w:gridCol w:w="673"/>
        <w:gridCol w:w="316"/>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1238885" cy="175260"/>
                      <wp:effectExtent l="0" t="0" r="0" b="0"/>
                      <wp:wrapNone/>
                      <wp:docPr id="456" name="Frame456"/>
                      <a:graphic xmlns:a="http://schemas.openxmlformats.org/drawingml/2006/main">
                        <a:graphicData uri="http://schemas.microsoft.com/office/word/2010/wordprocessingShape">
                          <wps:wsp>
                            <wps:cNvSpPr txBox="1"/>
                            <wps:spPr>
                              <a:xfrm>
                                <a:off x="0" y="0"/>
                                <a:ext cx="1238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219710" cy="175260"/>
                      <wp:effectExtent l="0" t="0" r="0" b="0"/>
                      <wp:wrapNone/>
                      <wp:docPr id="457" name="Frame4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133985" cy="175260"/>
                      <wp:effectExtent l="0" t="0" r="0" b="0"/>
                      <wp:wrapNone/>
                      <wp:docPr id="458" name="Frame4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495935" cy="175260"/>
                      <wp:effectExtent l="0" t="0" r="0" b="0"/>
                      <wp:wrapNone/>
                      <wp:docPr id="459" name="Frame45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219710" cy="175260"/>
                      <wp:effectExtent l="0" t="0" r="0" b="0"/>
                      <wp:wrapNone/>
                      <wp:docPr id="460" name="Frame4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133985" cy="175260"/>
                      <wp:effectExtent l="0" t="0" r="0" b="0"/>
                      <wp:wrapNone/>
                      <wp:docPr id="461" name="Frame4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495935" cy="175260"/>
                      <wp:effectExtent l="0" t="0" r="0" b="0"/>
                      <wp:wrapNone/>
                      <wp:docPr id="462" name="Frame46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219710" cy="175260"/>
                      <wp:effectExtent l="0" t="0" r="0" b="0"/>
                      <wp:wrapNone/>
                      <wp:docPr id="463" name="Frame4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193040" cy="175260"/>
                      <wp:effectExtent l="0" t="0" r="0" b="0"/>
                      <wp:wrapNone/>
                      <wp:docPr id="464" name="Frame464"/>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618490" cy="175260"/>
                      <wp:effectExtent l="0" t="0" r="0" b="0"/>
                      <wp:wrapNone/>
                      <wp:docPr id="465" name="Frame465"/>
                      <a:graphic xmlns:a="http://schemas.openxmlformats.org/drawingml/2006/main">
                        <a:graphicData uri="http://schemas.microsoft.com/office/word/2010/wordprocessingShape">
                          <wps:wsp>
                            <wps:cNvSpPr txBox="1"/>
                            <wps:spPr>
                              <a:xfrm>
                                <a:off x="0" y="0"/>
                                <a:ext cx="618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133350" cy="175260"/>
                      <wp:effectExtent l="0" t="0" r="0" b="0"/>
                      <wp:wrapNone/>
                      <wp:docPr id="466" name="Frame466"/>
                      <a:graphic xmlns:a="http://schemas.openxmlformats.org/drawingml/2006/main">
                        <a:graphicData uri="http://schemas.microsoft.com/office/word/2010/wordprocessingShape">
                          <wps:wsp>
                            <wps:cNvSpPr txBox="1"/>
                            <wps:spPr>
                              <a:xfrm>
                                <a:off x="0" y="0"/>
                                <a:ext cx="133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427355" cy="175260"/>
                      <wp:effectExtent l="0" t="0" r="0" b="0"/>
                      <wp:wrapNone/>
                      <wp:docPr id="467" name="Frame467"/>
                      <a:graphic xmlns:a="http://schemas.openxmlformats.org/drawingml/2006/main">
                        <a:graphicData uri="http://schemas.microsoft.com/office/word/2010/wordprocessingShape">
                          <wps:wsp>
                            <wps:cNvSpPr txBox="1"/>
                            <wps:spPr>
                              <a:xfrm>
                                <a:off x="0" y="0"/>
                                <a:ext cx="427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200660" cy="175260"/>
                      <wp:effectExtent l="0" t="0" r="0" b="0"/>
                      <wp:wrapNone/>
                      <wp:docPr id="468" name="Frame46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3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4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center"/>
              <w:rPr/>
            </w:pPr>
            <w:r>
              <w:rPr/>
              <w:t>​</w:t>
            </w:r>
          </w:p>
        </w:tc>
        <w:tc>
          <w:tcPr>
            <w:tcW w:w="210" w:type="dxa"/>
            <w:tcBorders/>
            <w:vAlign w:val="center"/>
          </w:tcPr>
          <w:p>
            <w:pPr>
              <w:pStyle w:val="TableContents"/>
              <w:bidi w:val="0"/>
              <w:spacing w:before="0" w:after="0"/>
              <w:ind w:left="0" w:right="0" w:hanging="0"/>
              <w:jc w:val="left"/>
              <w:rPr/>
            </w:pPr>
            <w:r>
              <w:rPr/>
              <w:t>​</w:t>
            </w:r>
          </w:p>
        </w:tc>
        <w:tc>
          <w:tcPr>
            <w:tcW w:w="673"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center"/>
              <w:rPr/>
            </w:pPr>
            <w:r>
              <w:rPr/>
              <w:t>​</w:t>
            </w:r>
          </w:p>
        </w:tc>
        <w:tc>
          <w:tcPr>
            <w:tcW w:w="210" w:type="dxa"/>
            <w:tcBorders/>
            <w:vAlign w:val="center"/>
          </w:tcPr>
          <w:p>
            <w:pPr>
              <w:pStyle w:val="TableContents"/>
              <w:bidi w:val="0"/>
              <w:spacing w:before="0" w:after="0"/>
              <w:ind w:left="0" w:right="0" w:hanging="0"/>
              <w:jc w:val="left"/>
              <w:rPr/>
            </w:pPr>
            <w:r>
              <w:rPr/>
              <w:t>​</w:t>
            </w:r>
          </w:p>
        </w:tc>
        <w:tc>
          <w:tcPr>
            <w:tcW w:w="673"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2161"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Period-Over-Period Change</w:t>
            </w:r>
          </w:p>
        </w:tc>
        <w:tc>
          <w:tcPr>
            <w:tcW w:w="316" w:type="dxa"/>
            <w:tcBorders/>
            <w:vAlign w:val="center"/>
          </w:tcPr>
          <w:p>
            <w:pPr>
              <w:pStyle w:val="TableContents"/>
              <w:bidi w:val="0"/>
              <w:spacing w:before="0" w:after="0"/>
              <w:ind w:left="0" w:right="0" w:hanging="0"/>
              <w:jc w:val="center"/>
              <w:rPr/>
            </w:pPr>
            <w:r>
              <w:rPr/>
              <w:t>​</w:t>
            </w:r>
          </w:p>
        </w:tc>
      </w:tr>
      <w:tr>
        <w:trPr/>
        <w:tc>
          <w:tcPr>
            <w:tcW w:w="19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304"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pPr>
            <w:r>
              <w:rPr/>
              <w:t>  ​</w:t>
            </w:r>
          </w:p>
        </w:tc>
        <w:tc>
          <w:tcPr>
            <w:tcW w:w="210" w:type="dxa"/>
            <w:tcBorders/>
            <w:shd w:fill="CCEEFF" w:val="clear"/>
            <w:vAlign w:val="center"/>
          </w:tcPr>
          <w:p>
            <w:pPr>
              <w:pStyle w:val="TableContents"/>
              <w:bidi w:val="0"/>
              <w:spacing w:before="0" w:after="0"/>
              <w:ind w:left="0" w:right="0" w:hanging="0"/>
              <w:jc w:val="left"/>
              <w:rPr/>
            </w:pPr>
            <w:r>
              <w:rPr/>
              <w:t> </w:t>
            </w:r>
          </w:p>
        </w:tc>
        <w:tc>
          <w:tcPr>
            <w:tcW w:w="673" w:type="dxa"/>
            <w:tcBorders/>
            <w:shd w:fill="CCEEFF" w:val="clear"/>
            <w:vAlign w:val="center"/>
          </w:tcPr>
          <w:p>
            <w:pPr>
              <w:pStyle w:val="TableContents"/>
              <w:bidi w:val="0"/>
              <w:spacing w:before="0" w:after="0"/>
              <w:ind w:left="0" w:right="0" w:hanging="0"/>
              <w:jc w:val="right"/>
              <w:rPr/>
            </w:pPr>
            <w:r>
              <w:rPr/>
              <w:t>  ​</w:t>
            </w:r>
          </w:p>
        </w:tc>
        <w:tc>
          <w:tcPr>
            <w:tcW w:w="316" w:type="dxa"/>
            <w:tcBorders/>
            <w:shd w:fill="CCEEFF" w:val="clear"/>
            <w:vAlign w:val="center"/>
          </w:tcPr>
          <w:p>
            <w:pPr>
              <w:pStyle w:val="TableContents"/>
              <w:bidi w:val="0"/>
              <w:spacing w:before="0" w:after="0"/>
              <w:ind w:left="0" w:right="0" w:hanging="0"/>
              <w:jc w:val="right"/>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Software subscriptions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174,753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157,844</w:t>
            </w:r>
          </w:p>
        </w:tc>
        <w:tc>
          <w:tcPr>
            <w:tcW w:w="34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16,909</w:t>
            </w:r>
          </w:p>
        </w:tc>
        <w:tc>
          <w:tcPr>
            <w:tcW w:w="210" w:type="dxa"/>
            <w:tcBorders/>
            <w:vAlign w:val="center"/>
          </w:tcPr>
          <w:p>
            <w:pPr>
              <w:pStyle w:val="TableContents"/>
              <w:bidi w:val="0"/>
              <w:spacing w:before="0" w:after="0"/>
              <w:ind w:left="0" w:right="0" w:hanging="0"/>
              <w:jc w:val="left"/>
              <w:rPr/>
            </w:pPr>
            <w:r>
              <w:rPr/>
              <w:t> </w:t>
            </w:r>
          </w:p>
        </w:tc>
        <w:tc>
          <w:tcPr>
            <w:tcW w:w="6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9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26,715</w:t>
            </w:r>
          </w:p>
        </w:tc>
        <w:tc>
          <w:tcPr>
            <w:tcW w:w="346" w:type="dxa"/>
            <w:tcBorders/>
            <w:shd w:fill="CCEEFF" w:val="clear"/>
            <w:vAlign w:val="center"/>
          </w:tcPr>
          <w:p>
            <w:pPr>
              <w:pStyle w:val="TableContents"/>
              <w:bidi w:val="0"/>
              <w:spacing w:before="0" w:after="0"/>
              <w:ind w:left="0" w:right="0" w:hanging="0"/>
              <w:jc w:val="left"/>
              <w:rPr/>
            </w:pPr>
            <w:r>
              <w:rPr/>
              <w:t>​</w:t>
            </w:r>
          </w:p>
        </w:tc>
        <w:tc>
          <w:tcPr>
            <w:tcW w:w="3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2,502</w:t>
            </w:r>
          </w:p>
        </w:tc>
        <w:tc>
          <w:tcPr>
            <w:tcW w:w="210" w:type="dxa"/>
            <w:tcBorders/>
            <w:shd w:fill="CCEEFF" w:val="clear"/>
            <w:vAlign w:val="center"/>
          </w:tcPr>
          <w:p>
            <w:pPr>
              <w:pStyle w:val="TableContents"/>
              <w:bidi w:val="0"/>
              <w:spacing w:before="0" w:after="0"/>
              <w:ind w:left="0" w:right="0" w:hanging="0"/>
              <w:jc w:val="left"/>
              <w:rPr/>
            </w:pPr>
            <w:r>
              <w:rPr/>
              <w:t> </w:t>
            </w:r>
          </w:p>
        </w:tc>
        <w:tc>
          <w:tcPr>
            <w:tcW w:w="6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203,970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184,559</w:t>
            </w:r>
          </w:p>
        </w:tc>
        <w:tc>
          <w:tcPr>
            <w:tcW w:w="346" w:type="dxa"/>
            <w:tcBorders/>
            <w:vAlign w:val="center"/>
          </w:tcPr>
          <w:p>
            <w:pPr>
              <w:pStyle w:val="TableContents"/>
              <w:bidi w:val="0"/>
              <w:spacing w:before="0" w:after="0"/>
              <w:ind w:left="0" w:right="0" w:hanging="0"/>
              <w:jc w:val="left"/>
              <w:rPr/>
            </w:pPr>
            <w:r>
              <w:rPr/>
              <w:t>​</w:t>
            </w:r>
          </w:p>
        </w:tc>
        <w:tc>
          <w:tcPr>
            <w:tcW w:w="30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19,411</w:t>
            </w:r>
          </w:p>
        </w:tc>
        <w:tc>
          <w:tcPr>
            <w:tcW w:w="210" w:type="dxa"/>
            <w:tcBorders/>
            <w:vAlign w:val="center"/>
          </w:tcPr>
          <w:p>
            <w:pPr>
              <w:pStyle w:val="TableContents"/>
              <w:bidi w:val="0"/>
              <w:spacing w:before="0" w:after="0"/>
              <w:ind w:left="0" w:right="0" w:hanging="0"/>
              <w:jc w:val="left"/>
              <w:rPr/>
            </w:pPr>
            <w:r>
              <w:rPr/>
              <w:t>​</w:t>
            </w:r>
          </w:p>
        </w:tc>
        <w:tc>
          <w:tcPr>
            <w:tcW w:w="6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Revenues increased $19.4 million, or 10.5%, to $204.0 million for the three months ended June 30, 2026 compared to $184.6 million for the same period in 2025. The increase in software subscriptions revenues of $16.9 million, or 10.7%, was primarily driven by increases from our existing customers through cross-selling new products, and to a lesser extent, increases due to expanded use and price increases. Software subscriptions revenues derived from new customers averaged 6.0% and 8.4% of total software subscriptions revenues in the three months ended June 30, 2026 and 2025, respectively.</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$2.5 million increase in services revenues was primarily driven by a $1.8 million increase in recurring services revenues due to returns processing volume increases related to customer business growth and regulatory changes as customers expanded their tax filings into more jurisdictions, as well as an increase in interest received from our funds held for customers. Additionally, our managed services offering experienced a $0.7 million increase in service revenues associated with the growth in subscription revenues, which includes new customers implementing our solutions and existing customers upgrading to newer versions of our solutions. </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b/>
          <w:sz w:val="20"/>
        </w:rPr>
      </w:pPr>
      <w:r>
        <w:rPr>
          <w:rFonts w:ascii="Times New Roman;Times;serif" w:hAnsi="Times New Roman;Times;serif"/>
          <w:b/>
          <w:sz w:val="20"/>
        </w:rPr>
        <w:t xml:space="preserve">Cost of Software Subscriptions Revenues </w:t>
      </w:r>
    </w:p>
    <w:tbl>
      <w:tblPr>
        <w:tblW w:w="8629" w:type="dxa"/>
        <w:jc w:val="left"/>
        <w:tblInd w:w="0" w:type="dxa"/>
        <w:tblLayout w:type="fixed"/>
        <w:tblCellMar>
          <w:top w:w="0" w:type="dxa"/>
          <w:left w:w="0" w:type="dxa"/>
          <w:bottom w:w="0" w:type="dxa"/>
          <w:right w:w="0" w:type="dxa"/>
        </w:tblCellMar>
      </w:tblPr>
      <w:tblGrid>
        <w:gridCol w:w="3316"/>
        <w:gridCol w:w="346"/>
        <w:gridCol w:w="213"/>
        <w:gridCol w:w="684"/>
        <w:gridCol w:w="350"/>
        <w:gridCol w:w="213"/>
        <w:gridCol w:w="684"/>
        <w:gridCol w:w="346"/>
        <w:gridCol w:w="327"/>
        <w:gridCol w:w="885"/>
        <w:gridCol w:w="226"/>
        <w:gridCol w:w="723"/>
        <w:gridCol w:w="316"/>
      </w:tblGrid>
      <w:tr>
        <w:trPr/>
        <w:tc>
          <w:tcPr>
            <w:tcW w:w="3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2105660" cy="175260"/>
                      <wp:effectExtent l="0" t="0" r="0" b="0"/>
                      <wp:wrapNone/>
                      <wp:docPr id="469" name="Frame469"/>
                      <a:graphic xmlns:a="http://schemas.openxmlformats.org/drawingml/2006/main">
                        <a:graphicData uri="http://schemas.microsoft.com/office/word/2010/wordprocessingShape">
                          <wps:wsp>
                            <wps:cNvSpPr txBox="1"/>
                            <wps:spPr>
                              <a:xfrm>
                                <a:off x="0" y="0"/>
                                <a:ext cx="2105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219710" cy="175260"/>
                      <wp:effectExtent l="0" t="0" r="0" b="0"/>
                      <wp:wrapNone/>
                      <wp:docPr id="470" name="Frame4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135255" cy="175260"/>
                      <wp:effectExtent l="0" t="0" r="0" b="0"/>
                      <wp:wrapNone/>
                      <wp:docPr id="471" name="Frame471"/>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434340" cy="175260"/>
                      <wp:effectExtent l="0" t="0" r="0" b="0"/>
                      <wp:wrapNone/>
                      <wp:docPr id="472" name="Frame472"/>
                      <a:graphic xmlns:a="http://schemas.openxmlformats.org/drawingml/2006/main">
                        <a:graphicData uri="http://schemas.microsoft.com/office/word/2010/wordprocessingShape">
                          <wps:wsp>
                            <wps:cNvSpPr txBox="1"/>
                            <wps:spPr>
                              <a:xfrm>
                                <a:off x="0" y="0"/>
                                <a:ext cx="434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222250" cy="175260"/>
                      <wp:effectExtent l="0" t="0" r="0" b="0"/>
                      <wp:wrapNone/>
                      <wp:docPr id="473" name="Frame473"/>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135255" cy="175260"/>
                      <wp:effectExtent l="0" t="0" r="0" b="0"/>
                      <wp:wrapNone/>
                      <wp:docPr id="474" name="Frame474"/>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434340" cy="175260"/>
                      <wp:effectExtent l="0" t="0" r="0" b="0"/>
                      <wp:wrapNone/>
                      <wp:docPr id="475" name="Frame475"/>
                      <a:graphic xmlns:a="http://schemas.openxmlformats.org/drawingml/2006/main">
                        <a:graphicData uri="http://schemas.microsoft.com/office/word/2010/wordprocessingShape">
                          <wps:wsp>
                            <wps:cNvSpPr txBox="1"/>
                            <wps:spPr>
                              <a:xfrm>
                                <a:off x="0" y="0"/>
                                <a:ext cx="434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219710" cy="175260"/>
                      <wp:effectExtent l="0" t="0" r="0" b="0"/>
                      <wp:wrapNone/>
                      <wp:docPr id="476" name="Frame4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207645" cy="175260"/>
                      <wp:effectExtent l="0" t="0" r="0" b="0"/>
                      <wp:wrapNone/>
                      <wp:docPr id="477" name="Frame477"/>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561975" cy="175260"/>
                      <wp:effectExtent l="0" t="0" r="0" b="0"/>
                      <wp:wrapNone/>
                      <wp:docPr id="478" name="Frame478"/>
                      <a:graphic xmlns:a="http://schemas.openxmlformats.org/drawingml/2006/main">
                        <a:graphicData uri="http://schemas.microsoft.com/office/word/2010/wordprocessingShape">
                          <wps:wsp>
                            <wps:cNvSpPr txBox="1"/>
                            <wps:spPr>
                              <a:xfrm>
                                <a:off x="0" y="0"/>
                                <a:ext cx="561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143510" cy="175260"/>
                      <wp:effectExtent l="0" t="0" r="0" b="0"/>
                      <wp:wrapNone/>
                      <wp:docPr id="479" name="Frame47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459105" cy="175260"/>
                      <wp:effectExtent l="0" t="0" r="0" b="0"/>
                      <wp:wrapNone/>
                      <wp:docPr id="480" name="Frame480"/>
                      <a:graphic xmlns:a="http://schemas.openxmlformats.org/drawingml/2006/main">
                        <a:graphicData uri="http://schemas.microsoft.com/office/word/2010/wordprocessingShape">
                          <wps:wsp>
                            <wps:cNvSpPr txBox="1"/>
                            <wps:spPr>
                              <a:xfrm>
                                <a:off x="0" y="0"/>
                                <a:ext cx="459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200660" cy="175260"/>
                      <wp:effectExtent l="0" t="0" r="0" b="0"/>
                      <wp:wrapNone/>
                      <wp:docPr id="481" name="Frame481"/>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4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4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885"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33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4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885"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46" w:type="dxa"/>
            <w:tcBorders/>
            <w:vAlign w:val="center"/>
          </w:tcPr>
          <w:p>
            <w:pPr>
              <w:pStyle w:val="TableContents"/>
              <w:bidi w:val="0"/>
              <w:spacing w:before="0" w:after="0"/>
              <w:ind w:left="0" w:right="0" w:hanging="0"/>
              <w:jc w:val="left"/>
              <w:rPr/>
            </w:pPr>
            <w:r>
              <w:rPr/>
              <w:t>  ​ ​ ​</w:t>
            </w:r>
          </w:p>
        </w:tc>
        <w:tc>
          <w:tcPr>
            <w:tcW w:w="8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50" w:type="dxa"/>
            <w:tcBorders/>
            <w:vAlign w:val="center"/>
          </w:tcPr>
          <w:p>
            <w:pPr>
              <w:pStyle w:val="TableContents"/>
              <w:bidi w:val="0"/>
              <w:spacing w:before="0" w:after="0"/>
              <w:ind w:left="0" w:right="0" w:hanging="0"/>
              <w:jc w:val="left"/>
              <w:rPr/>
            </w:pPr>
            <w:r>
              <w:rPr/>
              <w:t>  ​ ​ ​</w:t>
            </w:r>
          </w:p>
        </w:tc>
        <w:tc>
          <w:tcPr>
            <w:tcW w:w="8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2161"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Period-Over-Period Change</w:t>
            </w:r>
          </w:p>
        </w:tc>
        <w:tc>
          <w:tcPr>
            <w:tcW w:w="316" w:type="dxa"/>
            <w:tcBorders/>
            <w:vAlign w:val="center"/>
          </w:tcPr>
          <w:p>
            <w:pPr>
              <w:pStyle w:val="TableContents"/>
              <w:bidi w:val="0"/>
              <w:spacing w:before="0" w:after="0"/>
              <w:ind w:left="0" w:right="0" w:hanging="0"/>
              <w:jc w:val="center"/>
              <w:rPr/>
            </w:pPr>
            <w:r>
              <w:rPr/>
              <w:t>​</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software subscriptions revenues</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52,170</w:t>
            </w:r>
          </w:p>
        </w:tc>
        <w:tc>
          <w:tcPr>
            <w:tcW w:w="350"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44,459</w:t>
            </w:r>
          </w:p>
        </w:tc>
        <w:tc>
          <w:tcPr>
            <w:tcW w:w="34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7,711</w:t>
            </w:r>
          </w:p>
        </w:tc>
        <w:tc>
          <w:tcPr>
            <w:tcW w:w="226" w:type="dxa"/>
            <w:tcBorders/>
            <w:shd w:fill="CCEEFF" w:val="clear"/>
            <w:vAlign w:val="center"/>
          </w:tcPr>
          <w:p>
            <w:pPr>
              <w:pStyle w:val="TableContents"/>
              <w:bidi w:val="0"/>
              <w:spacing w:before="0" w:after="0"/>
              <w:ind w:left="0" w:right="0" w:hanging="0"/>
              <w:jc w:val="left"/>
              <w:rPr/>
            </w:pPr>
            <w:r>
              <w:rPr/>
              <w:t> </w:t>
            </w:r>
          </w:p>
        </w:tc>
        <w:tc>
          <w:tcPr>
            <w:tcW w:w="7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Cost of software subscriptions revenues increased $7.7 million, or 17.3%, to $52.2 million for the three months ended June 30, 2026 compared to $44.5 million for the same period in 2025. The increase was primarily driven by a $5.2 million increase in depreciation and amortization of capitalized software and acquired intangible assets associated with our ongoing investments in internal-use software for cloud-based subscription solutions, software developed for sale for new products and enhancements to existing products, and costs associated with the increased amortization of acquired intangible assets. Additionally, there was a $2.5 million increase in costs of personnel supporting period-over-period growth of sales and customers, ongoing infrastructure investments and support costs to enable the continued expansion of customer transaction volumes for our cloud-based subscription customers.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b/>
          <w:sz w:val="20"/>
        </w:rPr>
      </w:pPr>
      <w:r>
        <w:rPr>
          <w:rFonts w:ascii="Times New Roman;Times;serif" w:hAnsi="Times New Roman;Times;serif"/>
          <w:b/>
          <w:sz w:val="20"/>
        </w:rPr>
        <w:t xml:space="preserve">Cost of Services Revenues </w:t>
      </w:r>
    </w:p>
    <w:tbl>
      <w:tblPr>
        <w:tblW w:w="7474" w:type="dxa"/>
        <w:jc w:val="left"/>
        <w:tblInd w:w="0" w:type="dxa"/>
        <w:tblLayout w:type="fixed"/>
        <w:tblCellMar>
          <w:top w:w="0" w:type="dxa"/>
          <w:left w:w="0" w:type="dxa"/>
          <w:bottom w:w="0" w:type="dxa"/>
          <w:right w:w="0" w:type="dxa"/>
        </w:tblCellMar>
      </w:tblPr>
      <w:tblGrid>
        <w:gridCol w:w="2161"/>
        <w:gridCol w:w="346"/>
        <w:gridCol w:w="213"/>
        <w:gridCol w:w="684"/>
        <w:gridCol w:w="350"/>
        <w:gridCol w:w="213"/>
        <w:gridCol w:w="684"/>
        <w:gridCol w:w="346"/>
        <w:gridCol w:w="353"/>
        <w:gridCol w:w="957"/>
        <w:gridCol w:w="244"/>
        <w:gridCol w:w="607"/>
        <w:gridCol w:w="316"/>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1372235" cy="175260"/>
                      <wp:effectExtent l="0" t="0" r="0" b="0"/>
                      <wp:wrapNone/>
                      <wp:docPr id="482" name="Frame482"/>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219710" cy="175260"/>
                      <wp:effectExtent l="0" t="0" r="0" b="0"/>
                      <wp:wrapNone/>
                      <wp:docPr id="483" name="Frame4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135255" cy="175260"/>
                      <wp:effectExtent l="0" t="0" r="0" b="0"/>
                      <wp:wrapNone/>
                      <wp:docPr id="484" name="Frame484"/>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434340" cy="175260"/>
                      <wp:effectExtent l="0" t="0" r="0" b="0"/>
                      <wp:wrapNone/>
                      <wp:docPr id="485" name="Frame485"/>
                      <a:graphic xmlns:a="http://schemas.openxmlformats.org/drawingml/2006/main">
                        <a:graphicData uri="http://schemas.microsoft.com/office/word/2010/wordprocessingShape">
                          <wps:wsp>
                            <wps:cNvSpPr txBox="1"/>
                            <wps:spPr>
                              <a:xfrm>
                                <a:off x="0" y="0"/>
                                <a:ext cx="434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222250" cy="175260"/>
                      <wp:effectExtent l="0" t="0" r="0" b="0"/>
                      <wp:wrapNone/>
                      <wp:docPr id="486" name="Frame486"/>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135255" cy="175260"/>
                      <wp:effectExtent l="0" t="0" r="0" b="0"/>
                      <wp:wrapNone/>
                      <wp:docPr id="487" name="Frame487"/>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434340" cy="175260"/>
                      <wp:effectExtent l="0" t="0" r="0" b="0"/>
                      <wp:wrapNone/>
                      <wp:docPr id="488" name="Frame488"/>
                      <a:graphic xmlns:a="http://schemas.openxmlformats.org/drawingml/2006/main">
                        <a:graphicData uri="http://schemas.microsoft.com/office/word/2010/wordprocessingShape">
                          <wps:wsp>
                            <wps:cNvSpPr txBox="1"/>
                            <wps:spPr>
                              <a:xfrm>
                                <a:off x="0" y="0"/>
                                <a:ext cx="434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219710" cy="175260"/>
                      <wp:effectExtent l="0" t="0" r="0" b="0"/>
                      <wp:wrapNone/>
                      <wp:docPr id="489" name="Frame4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224155" cy="175260"/>
                      <wp:effectExtent l="0" t="0" r="0" b="0"/>
                      <wp:wrapNone/>
                      <wp:docPr id="490" name="Frame490"/>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607695" cy="175260"/>
                      <wp:effectExtent l="0" t="0" r="0" b="0"/>
                      <wp:wrapNone/>
                      <wp:docPr id="491" name="Frame491"/>
                      <a:graphic xmlns:a="http://schemas.openxmlformats.org/drawingml/2006/main">
                        <a:graphicData uri="http://schemas.microsoft.com/office/word/2010/wordprocessingShape">
                          <wps:wsp>
                            <wps:cNvSpPr txBox="1"/>
                            <wps:spPr>
                              <a:xfrm>
                                <a:off x="0" y="0"/>
                                <a:ext cx="607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154940" cy="175260"/>
                      <wp:effectExtent l="0" t="0" r="0" b="0"/>
                      <wp:wrapNone/>
                      <wp:docPr id="492" name="Frame492"/>
                      <a:graphic xmlns:a="http://schemas.openxmlformats.org/drawingml/2006/main">
                        <a:graphicData uri="http://schemas.microsoft.com/office/word/2010/wordprocessingShape">
                          <wps:wsp>
                            <wps:cNvSpPr txBox="1"/>
                            <wps:spPr>
                              <a:xfrm>
                                <a:off x="0" y="0"/>
                                <a:ext cx="154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385445" cy="175260"/>
                      <wp:effectExtent l="0" t="0" r="0" b="0"/>
                      <wp:wrapNone/>
                      <wp:docPr id="493" name="Frame493"/>
                      <a:graphic xmlns:a="http://schemas.openxmlformats.org/drawingml/2006/main">
                        <a:graphicData uri="http://schemas.microsoft.com/office/word/2010/wordprocessingShape">
                          <wps:wsp>
                            <wps:cNvSpPr txBox="1"/>
                            <wps:spPr>
                              <a:xfrm>
                                <a:off x="0" y="0"/>
                                <a:ext cx="385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200660" cy="175260"/>
                      <wp:effectExtent l="0" t="0" r="0" b="0"/>
                      <wp:wrapNone/>
                      <wp:docPr id="494" name="Frame49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4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46"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center"/>
              <w:rPr/>
            </w:pPr>
            <w:r>
              <w:rPr/>
              <w:t>​</w:t>
            </w:r>
          </w:p>
        </w:tc>
        <w:tc>
          <w:tcPr>
            <w:tcW w:w="244" w:type="dxa"/>
            <w:tcBorders/>
            <w:vAlign w:val="center"/>
          </w:tcPr>
          <w:p>
            <w:pPr>
              <w:pStyle w:val="TableContents"/>
              <w:bidi w:val="0"/>
              <w:spacing w:before="0" w:after="0"/>
              <w:ind w:left="0" w:right="0" w:hanging="0"/>
              <w:jc w:val="left"/>
              <w:rPr/>
            </w:pPr>
            <w:r>
              <w:rPr/>
              <w:t>​</w:t>
            </w:r>
          </w:p>
        </w:tc>
        <w:tc>
          <w:tcPr>
            <w:tcW w:w="607"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21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4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center"/>
              <w:rPr/>
            </w:pPr>
            <w:r>
              <w:rPr/>
              <w:t>​</w:t>
            </w:r>
          </w:p>
        </w:tc>
        <w:tc>
          <w:tcPr>
            <w:tcW w:w="244" w:type="dxa"/>
            <w:tcBorders/>
            <w:vAlign w:val="center"/>
          </w:tcPr>
          <w:p>
            <w:pPr>
              <w:pStyle w:val="TableContents"/>
              <w:bidi w:val="0"/>
              <w:spacing w:before="0" w:after="0"/>
              <w:ind w:left="0" w:right="0" w:hanging="0"/>
              <w:jc w:val="left"/>
              <w:rPr/>
            </w:pPr>
            <w:r>
              <w:rPr/>
              <w:t>​</w:t>
            </w:r>
          </w:p>
        </w:tc>
        <w:tc>
          <w:tcPr>
            <w:tcW w:w="607"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46" w:type="dxa"/>
            <w:tcBorders/>
            <w:vAlign w:val="center"/>
          </w:tcPr>
          <w:p>
            <w:pPr>
              <w:pStyle w:val="TableContents"/>
              <w:bidi w:val="0"/>
              <w:spacing w:before="0" w:after="0"/>
              <w:ind w:left="0" w:right="0" w:hanging="0"/>
              <w:jc w:val="left"/>
              <w:rPr/>
            </w:pPr>
            <w:r>
              <w:rPr/>
              <w:t>  ​ ​ ​</w:t>
            </w:r>
          </w:p>
        </w:tc>
        <w:tc>
          <w:tcPr>
            <w:tcW w:w="8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50" w:type="dxa"/>
            <w:tcBorders/>
            <w:vAlign w:val="center"/>
          </w:tcPr>
          <w:p>
            <w:pPr>
              <w:pStyle w:val="TableContents"/>
              <w:bidi w:val="0"/>
              <w:spacing w:before="0" w:after="0"/>
              <w:ind w:left="0" w:right="0" w:hanging="0"/>
              <w:jc w:val="left"/>
              <w:rPr/>
            </w:pPr>
            <w:r>
              <w:rPr/>
              <w:t>  ​ ​ ​</w:t>
            </w:r>
          </w:p>
        </w:tc>
        <w:tc>
          <w:tcPr>
            <w:tcW w:w="8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2161"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Period-Over-Period Change</w:t>
            </w:r>
          </w:p>
        </w:tc>
        <w:tc>
          <w:tcPr>
            <w:tcW w:w="316" w:type="dxa"/>
            <w:tcBorders/>
            <w:vAlign w:val="center"/>
          </w:tcPr>
          <w:p>
            <w:pPr>
              <w:pStyle w:val="TableContents"/>
              <w:bidi w:val="0"/>
              <w:spacing w:before="0" w:after="0"/>
              <w:ind w:left="0" w:right="0" w:hanging="0"/>
              <w:jc w:val="center"/>
              <w:rPr/>
            </w:pPr>
            <w:r>
              <w:rPr/>
              <w:t>​</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services revenues</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20,500</w:t>
            </w:r>
          </w:p>
        </w:tc>
        <w:tc>
          <w:tcPr>
            <w:tcW w:w="350"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18,900</w:t>
            </w:r>
          </w:p>
        </w:tc>
        <w:tc>
          <w:tcPr>
            <w:tcW w:w="346"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1,600</w:t>
            </w:r>
          </w:p>
        </w:tc>
        <w:tc>
          <w:tcPr>
            <w:tcW w:w="244" w:type="dxa"/>
            <w:tcBorders/>
            <w:shd w:fill="CCEEFF" w:val="clear"/>
            <w:vAlign w:val="center"/>
          </w:tcPr>
          <w:p>
            <w:pPr>
              <w:pStyle w:val="TableContents"/>
              <w:bidi w:val="0"/>
              <w:spacing w:before="0" w:after="0"/>
              <w:ind w:left="0" w:right="0" w:hanging="0"/>
              <w:jc w:val="left"/>
              <w:rPr/>
            </w:pPr>
            <w:r>
              <w:rPr/>
              <w:t> </w:t>
            </w:r>
          </w:p>
        </w:tc>
        <w:tc>
          <w:tcPr>
            <w:tcW w:w="6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Cost of services revenues increased $1.6 million, or 8.5%, to $20.5 million for the three months ended June 30, 2026, compared to $18.9 million for the same period in 2025. The increase was primarily due to an increase in costs of service delivery personnel to support revenue growth in software subscription-related services and our managed services offering. </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b/>
          <w:sz w:val="20"/>
        </w:rPr>
      </w:pPr>
      <w:r>
        <w:rPr>
          <w:rFonts w:ascii="Times New Roman;Times;serif" w:hAnsi="Times New Roman;Times;serif"/>
          <w:b/>
          <w:sz w:val="20"/>
        </w:rPr>
        <w:t xml:space="preserve">Research and Development </w:t>
      </w:r>
    </w:p>
    <w:tbl>
      <w:tblPr>
        <w:tblW w:w="7624" w:type="dxa"/>
        <w:jc w:val="left"/>
        <w:tblInd w:w="0" w:type="dxa"/>
        <w:tblLayout w:type="fixed"/>
        <w:tblCellMar>
          <w:top w:w="0" w:type="dxa"/>
          <w:left w:w="0" w:type="dxa"/>
          <w:bottom w:w="0" w:type="dxa"/>
          <w:right w:w="0" w:type="dxa"/>
        </w:tblCellMar>
      </w:tblPr>
      <w:tblGrid>
        <w:gridCol w:w="2311"/>
        <w:gridCol w:w="346"/>
        <w:gridCol w:w="213"/>
        <w:gridCol w:w="684"/>
        <w:gridCol w:w="350"/>
        <w:gridCol w:w="213"/>
        <w:gridCol w:w="684"/>
        <w:gridCol w:w="346"/>
        <w:gridCol w:w="327"/>
        <w:gridCol w:w="885"/>
        <w:gridCol w:w="226"/>
        <w:gridCol w:w="723"/>
        <w:gridCol w:w="316"/>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1467485" cy="175260"/>
                      <wp:effectExtent l="0" t="0" r="0" b="0"/>
                      <wp:wrapNone/>
                      <wp:docPr id="495" name="Frame495"/>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219710" cy="175260"/>
                      <wp:effectExtent l="0" t="0" r="0" b="0"/>
                      <wp:wrapNone/>
                      <wp:docPr id="496" name="Frame4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135255" cy="175260"/>
                      <wp:effectExtent l="0" t="0" r="0" b="0"/>
                      <wp:wrapNone/>
                      <wp:docPr id="497" name="Frame497"/>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434340" cy="175260"/>
                      <wp:effectExtent l="0" t="0" r="0" b="0"/>
                      <wp:wrapNone/>
                      <wp:docPr id="498" name="Frame498"/>
                      <a:graphic xmlns:a="http://schemas.openxmlformats.org/drawingml/2006/main">
                        <a:graphicData uri="http://schemas.microsoft.com/office/word/2010/wordprocessingShape">
                          <wps:wsp>
                            <wps:cNvSpPr txBox="1"/>
                            <wps:spPr>
                              <a:xfrm>
                                <a:off x="0" y="0"/>
                                <a:ext cx="434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222250" cy="175260"/>
                      <wp:effectExtent l="0" t="0" r="0" b="0"/>
                      <wp:wrapNone/>
                      <wp:docPr id="499" name="Frame499"/>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135255" cy="175260"/>
                      <wp:effectExtent l="0" t="0" r="0" b="0"/>
                      <wp:wrapNone/>
                      <wp:docPr id="500" name="Frame500"/>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434340" cy="175260"/>
                      <wp:effectExtent l="0" t="0" r="0" b="0"/>
                      <wp:wrapNone/>
                      <wp:docPr id="501" name="Frame501"/>
                      <a:graphic xmlns:a="http://schemas.openxmlformats.org/drawingml/2006/main">
                        <a:graphicData uri="http://schemas.microsoft.com/office/word/2010/wordprocessingShape">
                          <wps:wsp>
                            <wps:cNvSpPr txBox="1"/>
                            <wps:spPr>
                              <a:xfrm>
                                <a:off x="0" y="0"/>
                                <a:ext cx="434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219710" cy="175260"/>
                      <wp:effectExtent l="0" t="0" r="0" b="0"/>
                      <wp:wrapNone/>
                      <wp:docPr id="502" name="Frame5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207645" cy="175260"/>
                      <wp:effectExtent l="0" t="0" r="0" b="0"/>
                      <wp:wrapNone/>
                      <wp:docPr id="503" name="Frame503"/>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561975" cy="175260"/>
                      <wp:effectExtent l="0" t="0" r="0" b="0"/>
                      <wp:wrapNone/>
                      <wp:docPr id="504" name="Frame504"/>
                      <a:graphic xmlns:a="http://schemas.openxmlformats.org/drawingml/2006/main">
                        <a:graphicData uri="http://schemas.microsoft.com/office/word/2010/wordprocessingShape">
                          <wps:wsp>
                            <wps:cNvSpPr txBox="1"/>
                            <wps:spPr>
                              <a:xfrm>
                                <a:off x="0" y="0"/>
                                <a:ext cx="561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143510" cy="175260"/>
                      <wp:effectExtent l="0" t="0" r="0" b="0"/>
                      <wp:wrapNone/>
                      <wp:docPr id="505" name="Frame50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459105" cy="175260"/>
                      <wp:effectExtent l="0" t="0" r="0" b="0"/>
                      <wp:wrapNone/>
                      <wp:docPr id="506" name="Frame506"/>
                      <a:graphic xmlns:a="http://schemas.openxmlformats.org/drawingml/2006/main">
                        <a:graphicData uri="http://schemas.microsoft.com/office/word/2010/wordprocessingShape">
                          <wps:wsp>
                            <wps:cNvSpPr txBox="1"/>
                            <wps:spPr>
                              <a:xfrm>
                                <a:off x="0" y="0"/>
                                <a:ext cx="459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200660" cy="175260"/>
                      <wp:effectExtent l="0" t="0" r="0" b="0"/>
                      <wp:wrapNone/>
                      <wp:docPr id="507" name="Frame507"/>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4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4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885"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2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4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885"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46" w:type="dxa"/>
            <w:tcBorders/>
            <w:vAlign w:val="center"/>
          </w:tcPr>
          <w:p>
            <w:pPr>
              <w:pStyle w:val="TableContents"/>
              <w:bidi w:val="0"/>
              <w:spacing w:before="0" w:after="0"/>
              <w:ind w:left="0" w:right="0" w:hanging="0"/>
              <w:jc w:val="left"/>
              <w:rPr/>
            </w:pPr>
            <w:r>
              <w:rPr/>
              <w:t>  ​ ​ ​</w:t>
            </w:r>
          </w:p>
        </w:tc>
        <w:tc>
          <w:tcPr>
            <w:tcW w:w="8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50" w:type="dxa"/>
            <w:tcBorders/>
            <w:vAlign w:val="center"/>
          </w:tcPr>
          <w:p>
            <w:pPr>
              <w:pStyle w:val="TableContents"/>
              <w:bidi w:val="0"/>
              <w:spacing w:before="0" w:after="0"/>
              <w:ind w:left="0" w:right="0" w:hanging="0"/>
              <w:jc w:val="left"/>
              <w:rPr/>
            </w:pPr>
            <w:r>
              <w:rPr/>
              <w:t>  ​ ​ ​</w:t>
            </w:r>
          </w:p>
        </w:tc>
        <w:tc>
          <w:tcPr>
            <w:tcW w:w="8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2161"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Period-Over-Period Change</w:t>
            </w:r>
          </w:p>
        </w:tc>
        <w:tc>
          <w:tcPr>
            <w:tcW w:w="316" w:type="dxa"/>
            <w:tcBorders/>
            <w:vAlign w:val="center"/>
          </w:tcPr>
          <w:p>
            <w:pPr>
              <w:pStyle w:val="TableContents"/>
              <w:bidi w:val="0"/>
              <w:spacing w:before="0" w:after="0"/>
              <w:ind w:left="0" w:right="0" w:hanging="0"/>
              <w:jc w:val="center"/>
              <w:rPr/>
            </w:pPr>
            <w:r>
              <w:rPr/>
              <w:t>​</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24,805</w:t>
            </w:r>
          </w:p>
        </w:tc>
        <w:tc>
          <w:tcPr>
            <w:tcW w:w="350"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20,582</w:t>
            </w:r>
          </w:p>
        </w:tc>
        <w:tc>
          <w:tcPr>
            <w:tcW w:w="34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4,223</w:t>
            </w:r>
          </w:p>
        </w:tc>
        <w:tc>
          <w:tcPr>
            <w:tcW w:w="226" w:type="dxa"/>
            <w:tcBorders/>
            <w:shd w:fill="CCEEFF" w:val="clear"/>
            <w:vAlign w:val="center"/>
          </w:tcPr>
          <w:p>
            <w:pPr>
              <w:pStyle w:val="TableContents"/>
              <w:bidi w:val="0"/>
              <w:spacing w:before="0" w:after="0"/>
              <w:ind w:left="0" w:right="0" w:hanging="0"/>
              <w:jc w:val="left"/>
              <w:rPr/>
            </w:pPr>
            <w:r>
              <w:rPr/>
              <w:t> </w:t>
            </w:r>
          </w:p>
        </w:tc>
        <w:tc>
          <w:tcPr>
            <w:tcW w:w="7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Research and development expenses increased $4.2 million, or 20.5%, to $24.8 million for the three months ended June 30, 2026 compared to $20.6 million for the same period in 2025. This increase in research and development expenses was primarily due to an increase in personnel costs related to development work associated with new solutions to address end-to-end data analysis and compliance needs of our customers, and continued expansion of connectors and application program interfaces to customer ERP and other software platforms. Additionally, this increase reflects additional research and development investments related to the commercialization of our AI-based Smart Categorization product, other AI-related internal tools and new product initiatives, and other emerging technologies.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b/>
          <w:sz w:val="20"/>
        </w:rPr>
      </w:pPr>
      <w:r>
        <w:rPr>
          <w:rFonts w:ascii="Times New Roman;Times;serif" w:hAnsi="Times New Roman;Times;serif"/>
          <w:b/>
          <w:sz w:val="20"/>
        </w:rPr>
        <w:t xml:space="preserve">Selling and Marketing </w:t>
      </w:r>
    </w:p>
    <w:tbl>
      <w:tblPr>
        <w:tblW w:w="7234" w:type="dxa"/>
        <w:jc w:val="left"/>
        <w:tblInd w:w="0" w:type="dxa"/>
        <w:tblLayout w:type="fixed"/>
        <w:tblCellMar>
          <w:top w:w="0" w:type="dxa"/>
          <w:left w:w="0" w:type="dxa"/>
          <w:bottom w:w="0" w:type="dxa"/>
          <w:right w:w="0" w:type="dxa"/>
        </w:tblCellMar>
      </w:tblPr>
      <w:tblGrid>
        <w:gridCol w:w="1921"/>
        <w:gridCol w:w="346"/>
        <w:gridCol w:w="213"/>
        <w:gridCol w:w="684"/>
        <w:gridCol w:w="350"/>
        <w:gridCol w:w="213"/>
        <w:gridCol w:w="684"/>
        <w:gridCol w:w="346"/>
        <w:gridCol w:w="353"/>
        <w:gridCol w:w="957"/>
        <w:gridCol w:w="244"/>
        <w:gridCol w:w="607"/>
        <w:gridCol w:w="316"/>
      </w:tblGrid>
      <w:tr>
        <w:trPr/>
        <w:tc>
          <w:tcPr>
            <w:tcW w:w="1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1219835" cy="175260"/>
                      <wp:effectExtent l="0" t="0" r="0" b="0"/>
                      <wp:wrapNone/>
                      <wp:docPr id="508" name="Frame508"/>
                      <a:graphic xmlns:a="http://schemas.openxmlformats.org/drawingml/2006/main">
                        <a:graphicData uri="http://schemas.microsoft.com/office/word/2010/wordprocessingShape">
                          <wps:wsp>
                            <wps:cNvSpPr txBox="1"/>
                            <wps:spPr>
                              <a:xfrm>
                                <a:off x="0" y="0"/>
                                <a:ext cx="1219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219710" cy="175260"/>
                      <wp:effectExtent l="0" t="0" r="0" b="0"/>
                      <wp:wrapNone/>
                      <wp:docPr id="509" name="Frame5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135255" cy="175260"/>
                      <wp:effectExtent l="0" t="0" r="0" b="0"/>
                      <wp:wrapNone/>
                      <wp:docPr id="510" name="Frame510"/>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434340" cy="175260"/>
                      <wp:effectExtent l="0" t="0" r="0" b="0"/>
                      <wp:wrapNone/>
                      <wp:docPr id="511" name="Frame511"/>
                      <a:graphic xmlns:a="http://schemas.openxmlformats.org/drawingml/2006/main">
                        <a:graphicData uri="http://schemas.microsoft.com/office/word/2010/wordprocessingShape">
                          <wps:wsp>
                            <wps:cNvSpPr txBox="1"/>
                            <wps:spPr>
                              <a:xfrm>
                                <a:off x="0" y="0"/>
                                <a:ext cx="434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222250" cy="175260"/>
                      <wp:effectExtent l="0" t="0" r="0" b="0"/>
                      <wp:wrapNone/>
                      <wp:docPr id="512" name="Frame512"/>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135255" cy="175260"/>
                      <wp:effectExtent l="0" t="0" r="0" b="0"/>
                      <wp:wrapNone/>
                      <wp:docPr id="513" name="Frame513"/>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434340" cy="175260"/>
                      <wp:effectExtent l="0" t="0" r="0" b="0"/>
                      <wp:wrapNone/>
                      <wp:docPr id="514" name="Frame514"/>
                      <a:graphic xmlns:a="http://schemas.openxmlformats.org/drawingml/2006/main">
                        <a:graphicData uri="http://schemas.microsoft.com/office/word/2010/wordprocessingShape">
                          <wps:wsp>
                            <wps:cNvSpPr txBox="1"/>
                            <wps:spPr>
                              <a:xfrm>
                                <a:off x="0" y="0"/>
                                <a:ext cx="434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219710" cy="175260"/>
                      <wp:effectExtent l="0" t="0" r="0" b="0"/>
                      <wp:wrapNone/>
                      <wp:docPr id="515" name="Frame5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224155" cy="175260"/>
                      <wp:effectExtent l="0" t="0" r="0" b="0"/>
                      <wp:wrapNone/>
                      <wp:docPr id="516" name="Frame516"/>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607695" cy="175260"/>
                      <wp:effectExtent l="0" t="0" r="0" b="0"/>
                      <wp:wrapNone/>
                      <wp:docPr id="517" name="Frame517"/>
                      <a:graphic xmlns:a="http://schemas.openxmlformats.org/drawingml/2006/main">
                        <a:graphicData uri="http://schemas.microsoft.com/office/word/2010/wordprocessingShape">
                          <wps:wsp>
                            <wps:cNvSpPr txBox="1"/>
                            <wps:spPr>
                              <a:xfrm>
                                <a:off x="0" y="0"/>
                                <a:ext cx="607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154940" cy="175260"/>
                      <wp:effectExtent l="0" t="0" r="0" b="0"/>
                      <wp:wrapNone/>
                      <wp:docPr id="518" name="Frame518"/>
                      <a:graphic xmlns:a="http://schemas.openxmlformats.org/drawingml/2006/main">
                        <a:graphicData uri="http://schemas.microsoft.com/office/word/2010/wordprocessingShape">
                          <wps:wsp>
                            <wps:cNvSpPr txBox="1"/>
                            <wps:spPr>
                              <a:xfrm>
                                <a:off x="0" y="0"/>
                                <a:ext cx="154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385445" cy="175260"/>
                      <wp:effectExtent l="0" t="0" r="0" b="0"/>
                      <wp:wrapNone/>
                      <wp:docPr id="519" name="Frame519"/>
                      <a:graphic xmlns:a="http://schemas.openxmlformats.org/drawingml/2006/main">
                        <a:graphicData uri="http://schemas.microsoft.com/office/word/2010/wordprocessingShape">
                          <wps:wsp>
                            <wps:cNvSpPr txBox="1"/>
                            <wps:spPr>
                              <a:xfrm>
                                <a:off x="0" y="0"/>
                                <a:ext cx="385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200660" cy="175260"/>
                      <wp:effectExtent l="0" t="0" r="0" b="0"/>
                      <wp:wrapNone/>
                      <wp:docPr id="520" name="Frame520"/>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4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46"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center"/>
              <w:rPr/>
            </w:pPr>
            <w:r>
              <w:rPr/>
              <w:t>​</w:t>
            </w:r>
          </w:p>
        </w:tc>
        <w:tc>
          <w:tcPr>
            <w:tcW w:w="244" w:type="dxa"/>
            <w:tcBorders/>
            <w:vAlign w:val="center"/>
          </w:tcPr>
          <w:p>
            <w:pPr>
              <w:pStyle w:val="TableContents"/>
              <w:bidi w:val="0"/>
              <w:spacing w:before="0" w:after="0"/>
              <w:ind w:left="0" w:right="0" w:hanging="0"/>
              <w:jc w:val="left"/>
              <w:rPr/>
            </w:pPr>
            <w:r>
              <w:rPr/>
              <w:t>​</w:t>
            </w:r>
          </w:p>
        </w:tc>
        <w:tc>
          <w:tcPr>
            <w:tcW w:w="607"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19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4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center"/>
              <w:rPr/>
            </w:pPr>
            <w:r>
              <w:rPr/>
              <w:t>​</w:t>
            </w:r>
          </w:p>
        </w:tc>
        <w:tc>
          <w:tcPr>
            <w:tcW w:w="244" w:type="dxa"/>
            <w:tcBorders/>
            <w:vAlign w:val="center"/>
          </w:tcPr>
          <w:p>
            <w:pPr>
              <w:pStyle w:val="TableContents"/>
              <w:bidi w:val="0"/>
              <w:spacing w:before="0" w:after="0"/>
              <w:ind w:left="0" w:right="0" w:hanging="0"/>
              <w:jc w:val="left"/>
              <w:rPr/>
            </w:pPr>
            <w:r>
              <w:rPr/>
              <w:t>​</w:t>
            </w:r>
          </w:p>
        </w:tc>
        <w:tc>
          <w:tcPr>
            <w:tcW w:w="607"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46" w:type="dxa"/>
            <w:tcBorders/>
            <w:vAlign w:val="center"/>
          </w:tcPr>
          <w:p>
            <w:pPr>
              <w:pStyle w:val="TableContents"/>
              <w:bidi w:val="0"/>
              <w:spacing w:before="0" w:after="0"/>
              <w:ind w:left="0" w:right="0" w:hanging="0"/>
              <w:jc w:val="left"/>
              <w:rPr/>
            </w:pPr>
            <w:r>
              <w:rPr/>
              <w:t>  ​ ​ ​</w:t>
            </w:r>
          </w:p>
        </w:tc>
        <w:tc>
          <w:tcPr>
            <w:tcW w:w="8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50" w:type="dxa"/>
            <w:tcBorders/>
            <w:vAlign w:val="center"/>
          </w:tcPr>
          <w:p>
            <w:pPr>
              <w:pStyle w:val="TableContents"/>
              <w:bidi w:val="0"/>
              <w:spacing w:before="0" w:after="0"/>
              <w:ind w:left="0" w:right="0" w:hanging="0"/>
              <w:jc w:val="left"/>
              <w:rPr/>
            </w:pPr>
            <w:r>
              <w:rPr/>
              <w:t>  ​ ​ ​</w:t>
            </w:r>
          </w:p>
        </w:tc>
        <w:tc>
          <w:tcPr>
            <w:tcW w:w="8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2161"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Period-Over-Period Change</w:t>
            </w:r>
          </w:p>
        </w:tc>
        <w:tc>
          <w:tcPr>
            <w:tcW w:w="316" w:type="dxa"/>
            <w:tcBorders/>
            <w:vAlign w:val="center"/>
          </w:tcPr>
          <w:p>
            <w:pPr>
              <w:pStyle w:val="TableContents"/>
              <w:bidi w:val="0"/>
              <w:spacing w:before="0" w:after="0"/>
              <w:ind w:left="0" w:right="0" w:hanging="0"/>
              <w:jc w:val="center"/>
              <w:rPr/>
            </w:pPr>
            <w:r>
              <w:rPr/>
              <w:t>​</w:t>
            </w:r>
          </w:p>
        </w:tc>
      </w:tr>
      <w:tr>
        <w:trPr/>
        <w:tc>
          <w:tcPr>
            <w:tcW w:w="1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51,899</w:t>
            </w:r>
          </w:p>
        </w:tc>
        <w:tc>
          <w:tcPr>
            <w:tcW w:w="350"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48,454</w:t>
            </w:r>
          </w:p>
        </w:tc>
        <w:tc>
          <w:tcPr>
            <w:tcW w:w="346"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3,445</w:t>
            </w:r>
          </w:p>
        </w:tc>
        <w:tc>
          <w:tcPr>
            <w:tcW w:w="244" w:type="dxa"/>
            <w:tcBorders/>
            <w:shd w:fill="CCEEFF" w:val="clear"/>
            <w:vAlign w:val="center"/>
          </w:tcPr>
          <w:p>
            <w:pPr>
              <w:pStyle w:val="TableContents"/>
              <w:bidi w:val="0"/>
              <w:spacing w:before="0" w:after="0"/>
              <w:ind w:left="0" w:right="0" w:hanging="0"/>
              <w:jc w:val="left"/>
              <w:rPr/>
            </w:pPr>
            <w:r>
              <w:rPr/>
              <w:t> </w:t>
            </w:r>
          </w:p>
        </w:tc>
        <w:tc>
          <w:tcPr>
            <w:tcW w:w="6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Selling and marketing expenses increased $3.4 million, or 7.1%, to $51.9 million for the three months ended June 30, 2026 compared to $48.5 million for the same period in 2025. This increase was primarily driven by a $3.4 million increase in payroll and related expenses associated with the growth in period-over-period subscription sales and services revenues and expansion of our partner and channel management programs. Advertising and promotional spending related to expanded brand awareness efforts was flat as compared to prior year.</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b/>
          <w:sz w:val="20"/>
        </w:rPr>
      </w:pPr>
      <w:r>
        <w:rPr>
          <w:rFonts w:ascii="Times New Roman;Times;serif" w:hAnsi="Times New Roman;Times;serif"/>
          <w:b/>
          <w:sz w:val="20"/>
        </w:rPr>
        <w:t>General and Administrative</w:t>
      </w:r>
    </w:p>
    <w:tbl>
      <w:tblPr>
        <w:tblW w:w="7624" w:type="dxa"/>
        <w:jc w:val="left"/>
        <w:tblInd w:w="0" w:type="dxa"/>
        <w:tblLayout w:type="fixed"/>
        <w:tblCellMar>
          <w:top w:w="0" w:type="dxa"/>
          <w:left w:w="0" w:type="dxa"/>
          <w:bottom w:w="0" w:type="dxa"/>
          <w:right w:w="0" w:type="dxa"/>
        </w:tblCellMar>
      </w:tblPr>
      <w:tblGrid>
        <w:gridCol w:w="2311"/>
        <w:gridCol w:w="346"/>
        <w:gridCol w:w="213"/>
        <w:gridCol w:w="684"/>
        <w:gridCol w:w="350"/>
        <w:gridCol w:w="213"/>
        <w:gridCol w:w="684"/>
        <w:gridCol w:w="346"/>
        <w:gridCol w:w="327"/>
        <w:gridCol w:w="885"/>
        <w:gridCol w:w="226"/>
        <w:gridCol w:w="723"/>
        <w:gridCol w:w="316"/>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1467485" cy="175260"/>
                      <wp:effectExtent l="0" t="0" r="0" b="0"/>
                      <wp:wrapNone/>
                      <wp:docPr id="521" name="Frame521"/>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219710" cy="175260"/>
                      <wp:effectExtent l="0" t="0" r="0" b="0"/>
                      <wp:wrapNone/>
                      <wp:docPr id="522" name="Frame5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135255" cy="175260"/>
                      <wp:effectExtent l="0" t="0" r="0" b="0"/>
                      <wp:wrapNone/>
                      <wp:docPr id="523" name="Frame523"/>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434340" cy="175260"/>
                      <wp:effectExtent l="0" t="0" r="0" b="0"/>
                      <wp:wrapNone/>
                      <wp:docPr id="524" name="Frame524"/>
                      <a:graphic xmlns:a="http://schemas.openxmlformats.org/drawingml/2006/main">
                        <a:graphicData uri="http://schemas.microsoft.com/office/word/2010/wordprocessingShape">
                          <wps:wsp>
                            <wps:cNvSpPr txBox="1"/>
                            <wps:spPr>
                              <a:xfrm>
                                <a:off x="0" y="0"/>
                                <a:ext cx="434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222250" cy="175260"/>
                      <wp:effectExtent l="0" t="0" r="0" b="0"/>
                      <wp:wrapNone/>
                      <wp:docPr id="525" name="Frame525"/>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135255" cy="175260"/>
                      <wp:effectExtent l="0" t="0" r="0" b="0"/>
                      <wp:wrapNone/>
                      <wp:docPr id="526" name="Frame526"/>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434340" cy="175260"/>
                      <wp:effectExtent l="0" t="0" r="0" b="0"/>
                      <wp:wrapNone/>
                      <wp:docPr id="527" name="Frame527"/>
                      <a:graphic xmlns:a="http://schemas.openxmlformats.org/drawingml/2006/main">
                        <a:graphicData uri="http://schemas.microsoft.com/office/word/2010/wordprocessingShape">
                          <wps:wsp>
                            <wps:cNvSpPr txBox="1"/>
                            <wps:spPr>
                              <a:xfrm>
                                <a:off x="0" y="0"/>
                                <a:ext cx="434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219710" cy="175260"/>
                      <wp:effectExtent l="0" t="0" r="0" b="0"/>
                      <wp:wrapNone/>
                      <wp:docPr id="528" name="Frame5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207645" cy="175260"/>
                      <wp:effectExtent l="0" t="0" r="0" b="0"/>
                      <wp:wrapNone/>
                      <wp:docPr id="529" name="Frame529"/>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561975" cy="175260"/>
                      <wp:effectExtent l="0" t="0" r="0" b="0"/>
                      <wp:wrapNone/>
                      <wp:docPr id="530" name="Frame530"/>
                      <a:graphic xmlns:a="http://schemas.openxmlformats.org/drawingml/2006/main">
                        <a:graphicData uri="http://schemas.microsoft.com/office/word/2010/wordprocessingShape">
                          <wps:wsp>
                            <wps:cNvSpPr txBox="1"/>
                            <wps:spPr>
                              <a:xfrm>
                                <a:off x="0" y="0"/>
                                <a:ext cx="561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143510" cy="175260"/>
                      <wp:effectExtent l="0" t="0" r="0" b="0"/>
                      <wp:wrapNone/>
                      <wp:docPr id="531" name="Frame53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459105" cy="175260"/>
                      <wp:effectExtent l="0" t="0" r="0" b="0"/>
                      <wp:wrapNone/>
                      <wp:docPr id="532" name="Frame532"/>
                      <a:graphic xmlns:a="http://schemas.openxmlformats.org/drawingml/2006/main">
                        <a:graphicData uri="http://schemas.microsoft.com/office/word/2010/wordprocessingShape">
                          <wps:wsp>
                            <wps:cNvSpPr txBox="1"/>
                            <wps:spPr>
                              <a:xfrm>
                                <a:off x="0" y="0"/>
                                <a:ext cx="459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200660" cy="175260"/>
                      <wp:effectExtent l="0" t="0" r="0" b="0"/>
                      <wp:wrapNone/>
                      <wp:docPr id="533" name="Frame53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4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4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885"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2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4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885"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46" w:type="dxa"/>
            <w:tcBorders/>
            <w:vAlign w:val="center"/>
          </w:tcPr>
          <w:p>
            <w:pPr>
              <w:pStyle w:val="TableContents"/>
              <w:bidi w:val="0"/>
              <w:spacing w:before="0" w:after="0"/>
              <w:ind w:left="0" w:right="0" w:hanging="0"/>
              <w:jc w:val="left"/>
              <w:rPr/>
            </w:pPr>
            <w:r>
              <w:rPr/>
              <w:t>  ​ ​ ​</w:t>
            </w:r>
          </w:p>
        </w:tc>
        <w:tc>
          <w:tcPr>
            <w:tcW w:w="8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50" w:type="dxa"/>
            <w:tcBorders/>
            <w:vAlign w:val="center"/>
          </w:tcPr>
          <w:p>
            <w:pPr>
              <w:pStyle w:val="TableContents"/>
              <w:bidi w:val="0"/>
              <w:spacing w:before="0" w:after="0"/>
              <w:ind w:left="0" w:right="0" w:hanging="0"/>
              <w:jc w:val="left"/>
              <w:rPr/>
            </w:pPr>
            <w:r>
              <w:rPr/>
              <w:t>  ​ ​ ​</w:t>
            </w:r>
          </w:p>
        </w:tc>
        <w:tc>
          <w:tcPr>
            <w:tcW w:w="8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2161"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Period-Over-Period Change</w:t>
            </w:r>
          </w:p>
        </w:tc>
        <w:tc>
          <w:tcPr>
            <w:tcW w:w="316" w:type="dxa"/>
            <w:tcBorders/>
            <w:vAlign w:val="center"/>
          </w:tcPr>
          <w:p>
            <w:pPr>
              <w:pStyle w:val="TableContents"/>
              <w:bidi w:val="0"/>
              <w:spacing w:before="0" w:after="0"/>
              <w:ind w:left="0" w:right="0" w:hanging="0"/>
              <w:jc w:val="center"/>
              <w:rPr/>
            </w:pPr>
            <w:r>
              <w:rPr/>
              <w:t>​</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51,142</w:t>
            </w:r>
          </w:p>
        </w:tc>
        <w:tc>
          <w:tcPr>
            <w:tcW w:w="350"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43,392</w:t>
            </w:r>
          </w:p>
        </w:tc>
        <w:tc>
          <w:tcPr>
            <w:tcW w:w="34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7,750</w:t>
            </w:r>
          </w:p>
        </w:tc>
        <w:tc>
          <w:tcPr>
            <w:tcW w:w="226" w:type="dxa"/>
            <w:tcBorders/>
            <w:shd w:fill="CCEEFF" w:val="clear"/>
            <w:vAlign w:val="center"/>
          </w:tcPr>
          <w:p>
            <w:pPr>
              <w:pStyle w:val="TableContents"/>
              <w:bidi w:val="0"/>
              <w:spacing w:before="0" w:after="0"/>
              <w:ind w:left="0" w:right="0" w:hanging="0"/>
              <w:jc w:val="left"/>
              <w:rPr/>
            </w:pPr>
            <w:r>
              <w:rPr/>
              <w:t> </w:t>
            </w:r>
          </w:p>
        </w:tc>
        <w:tc>
          <w:tcPr>
            <w:tcW w:w="7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General and administrative expenses increased $7.8 million, or 17.9%, to $51.1 million for the three months ended June 30, 2026 compared to $43.4 million for the same period in 2025, primarily driven by planned strategic investments in information technology infrastructure, business process re-engineering and other initiatives to drive future operating leverage, as well as investments in employees, systems and other resources in support of our growth. Additionally, $1.7 million of severance expense and $6.3 million of execution costs related to our Value Creation Plan were recorded in the three months ended June 30, 2026. For further information, refer to Note 15, “Restructuring” to the condensed consolidated financial statements included in this Quarterly Report on Form 10-Q. The three months ended June 30, 2026 period also includes $1.3 million in compensation expense recognized related to the Additional Cash Consideration obligation associated with the acquisition of Brinta. For further information, refer to Note 3, “Acquisitions” to the condensed consolidated financial statements included in this Quarterly Report on Form 10-Q.</w:t>
      </w:r>
    </w:p>
    <w:p>
      <w:pPr>
        <w:pStyle w:val="TextBody"/>
        <w:bidi w:val="0"/>
        <w:spacing w:before="0" w:after="24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Depreciation and Amortization</w:t>
      </w:r>
    </w:p>
    <w:tbl>
      <w:tblPr>
        <w:tblW w:w="7909" w:type="dxa"/>
        <w:jc w:val="left"/>
        <w:tblInd w:w="0" w:type="dxa"/>
        <w:tblLayout w:type="fixed"/>
        <w:tblCellMar>
          <w:top w:w="0" w:type="dxa"/>
          <w:left w:w="0" w:type="dxa"/>
          <w:bottom w:w="0" w:type="dxa"/>
          <w:right w:w="0" w:type="dxa"/>
        </w:tblCellMar>
      </w:tblPr>
      <w:tblGrid>
        <w:gridCol w:w="2596"/>
        <w:gridCol w:w="346"/>
        <w:gridCol w:w="237"/>
        <w:gridCol w:w="641"/>
        <w:gridCol w:w="388"/>
        <w:gridCol w:w="237"/>
        <w:gridCol w:w="641"/>
        <w:gridCol w:w="346"/>
        <w:gridCol w:w="340"/>
        <w:gridCol w:w="679"/>
        <w:gridCol w:w="558"/>
        <w:gridCol w:w="584"/>
        <w:gridCol w:w="316"/>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1648460" cy="175260"/>
                      <wp:effectExtent l="0" t="0" r="0" b="0"/>
                      <wp:wrapNone/>
                      <wp:docPr id="534" name="Frame534"/>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219710" cy="175260"/>
                      <wp:effectExtent l="0" t="0" r="0" b="0"/>
                      <wp:wrapNone/>
                      <wp:docPr id="535" name="Frame5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150495" cy="175260"/>
                      <wp:effectExtent l="0" t="0" r="0" b="0"/>
                      <wp:wrapNone/>
                      <wp:docPr id="536" name="Frame536"/>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407035" cy="175260"/>
                      <wp:effectExtent l="0" t="0" r="0" b="0"/>
                      <wp:wrapNone/>
                      <wp:docPr id="537" name="Frame537"/>
                      <a:graphic xmlns:a="http://schemas.openxmlformats.org/drawingml/2006/main">
                        <a:graphicData uri="http://schemas.microsoft.com/office/word/2010/wordprocessingShape">
                          <wps:wsp>
                            <wps:cNvSpPr txBox="1"/>
                            <wps:spPr>
                              <a:xfrm>
                                <a:off x="0" y="0"/>
                                <a:ext cx="407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246380" cy="175260"/>
                      <wp:effectExtent l="0" t="0" r="0" b="0"/>
                      <wp:wrapNone/>
                      <wp:docPr id="538" name="Frame538"/>
                      <a:graphic xmlns:a="http://schemas.openxmlformats.org/drawingml/2006/main">
                        <a:graphicData uri="http://schemas.microsoft.com/office/word/2010/wordprocessingShape">
                          <wps:wsp>
                            <wps:cNvSpPr txBox="1"/>
                            <wps:spPr>
                              <a:xfrm>
                                <a:off x="0" y="0"/>
                                <a:ext cx="246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150495" cy="175260"/>
                      <wp:effectExtent l="0" t="0" r="0" b="0"/>
                      <wp:wrapNone/>
                      <wp:docPr id="539" name="Frame539"/>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407035" cy="175260"/>
                      <wp:effectExtent l="0" t="0" r="0" b="0"/>
                      <wp:wrapNone/>
                      <wp:docPr id="540" name="Frame540"/>
                      <a:graphic xmlns:a="http://schemas.openxmlformats.org/drawingml/2006/main">
                        <a:graphicData uri="http://schemas.microsoft.com/office/word/2010/wordprocessingShape">
                          <wps:wsp>
                            <wps:cNvSpPr txBox="1"/>
                            <wps:spPr>
                              <a:xfrm>
                                <a:off x="0" y="0"/>
                                <a:ext cx="407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219710" cy="175260"/>
                      <wp:effectExtent l="0" t="0" r="0" b="0"/>
                      <wp:wrapNone/>
                      <wp:docPr id="541" name="Frame5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215900" cy="175260"/>
                      <wp:effectExtent l="0" t="0" r="0" b="0"/>
                      <wp:wrapNone/>
                      <wp:docPr id="542" name="Frame542"/>
                      <a:graphic xmlns:a="http://schemas.openxmlformats.org/drawingml/2006/main">
                        <a:graphicData uri="http://schemas.microsoft.com/office/word/2010/wordprocessingShape">
                          <wps:wsp>
                            <wps:cNvSpPr txBox="1"/>
                            <wps:spPr>
                              <a:xfrm>
                                <a:off x="0" y="0"/>
                                <a:ext cx="215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431165" cy="175260"/>
                      <wp:effectExtent l="0" t="0" r="0" b="0"/>
                      <wp:wrapNone/>
                      <wp:docPr id="543" name="Frame543"/>
                      <a:graphic xmlns:a="http://schemas.openxmlformats.org/drawingml/2006/main">
                        <a:graphicData uri="http://schemas.microsoft.com/office/word/2010/wordprocessingShape">
                          <wps:wsp>
                            <wps:cNvSpPr txBox="1"/>
                            <wps:spPr>
                              <a:xfrm>
                                <a:off x="0" y="0"/>
                                <a:ext cx="431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354330" cy="175260"/>
                      <wp:effectExtent l="0" t="0" r="0" b="0"/>
                      <wp:wrapNone/>
                      <wp:docPr id="544" name="Frame544"/>
                      <a:graphic xmlns:a="http://schemas.openxmlformats.org/drawingml/2006/main">
                        <a:graphicData uri="http://schemas.microsoft.com/office/word/2010/wordprocessingShape">
                          <wps:wsp>
                            <wps:cNvSpPr txBox="1"/>
                            <wps:spPr>
                              <a:xfrm>
                                <a:off x="0" y="0"/>
                                <a:ext cx="354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370840" cy="175260"/>
                      <wp:effectExtent l="0" t="0" r="0" b="0"/>
                      <wp:wrapNone/>
                      <wp:docPr id="545" name="Frame545"/>
                      <a:graphic xmlns:a="http://schemas.openxmlformats.org/drawingml/2006/main">
                        <a:graphicData uri="http://schemas.microsoft.com/office/word/2010/wordprocessingShape">
                          <wps:wsp>
                            <wps:cNvSpPr txBox="1"/>
                            <wps:spPr>
                              <a:xfrm>
                                <a:off x="0" y="0"/>
                                <a:ext cx="370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200660" cy="175260"/>
                      <wp:effectExtent l="0" t="0" r="0" b="0"/>
                      <wp:wrapNone/>
                      <wp:docPr id="546" name="Frame54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4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46" w:type="dxa"/>
            <w:tcBorders/>
            <w:vAlign w:val="center"/>
          </w:tcPr>
          <w:p>
            <w:pPr>
              <w:pStyle w:val="TableContents"/>
              <w:bidi w:val="0"/>
              <w:spacing w:before="0" w:after="0"/>
              <w:ind w:left="0" w:right="0" w:hanging="0"/>
              <w:jc w:val="left"/>
              <w:rPr/>
            </w:pPr>
            <w:r>
              <w:rPr/>
              <w:t>​</w:t>
            </w:r>
          </w:p>
        </w:tc>
        <w:tc>
          <w:tcPr>
            <w:tcW w:w="340" w:type="dxa"/>
            <w:tcBorders/>
            <w:vAlign w:val="center"/>
          </w:tcPr>
          <w:p>
            <w:pPr>
              <w:pStyle w:val="TableContents"/>
              <w:bidi w:val="0"/>
              <w:spacing w:before="0" w:after="0"/>
              <w:ind w:left="0" w:right="0" w:hanging="0"/>
              <w:jc w:val="left"/>
              <w:rPr/>
            </w:pPr>
            <w:r>
              <w:rPr/>
              <w:t>​</w:t>
            </w:r>
          </w:p>
        </w:tc>
        <w:tc>
          <w:tcPr>
            <w:tcW w:w="679" w:type="dxa"/>
            <w:tcBorders/>
            <w:vAlign w:val="center"/>
          </w:tcPr>
          <w:p>
            <w:pPr>
              <w:pStyle w:val="TableContents"/>
              <w:bidi w:val="0"/>
              <w:spacing w:before="0" w:after="0"/>
              <w:ind w:left="0" w:right="0" w:hanging="0"/>
              <w:jc w:val="center"/>
              <w:rPr/>
            </w:pPr>
            <w:r>
              <w:rPr/>
              <w:t>​</w:t>
            </w:r>
          </w:p>
        </w:tc>
        <w:tc>
          <w:tcPr>
            <w:tcW w:w="558" w:type="dxa"/>
            <w:tcBorders/>
            <w:vAlign w:val="center"/>
          </w:tcPr>
          <w:p>
            <w:pPr>
              <w:pStyle w:val="TableContents"/>
              <w:bidi w:val="0"/>
              <w:spacing w:before="0" w:after="0"/>
              <w:ind w:left="0" w:right="0" w:hanging="0"/>
              <w:jc w:val="left"/>
              <w:rPr/>
            </w:pPr>
            <w:r>
              <w:rPr/>
              <w:t>​</w:t>
            </w:r>
          </w:p>
        </w:tc>
        <w:tc>
          <w:tcPr>
            <w:tcW w:w="584"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2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4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340" w:type="dxa"/>
            <w:tcBorders/>
            <w:vAlign w:val="center"/>
          </w:tcPr>
          <w:p>
            <w:pPr>
              <w:pStyle w:val="TableContents"/>
              <w:bidi w:val="0"/>
              <w:spacing w:before="0" w:after="0"/>
              <w:ind w:left="0" w:right="0" w:hanging="0"/>
              <w:jc w:val="left"/>
              <w:rPr/>
            </w:pPr>
            <w:r>
              <w:rPr/>
              <w:t>​</w:t>
            </w:r>
          </w:p>
        </w:tc>
        <w:tc>
          <w:tcPr>
            <w:tcW w:w="679" w:type="dxa"/>
            <w:tcBorders/>
            <w:vAlign w:val="center"/>
          </w:tcPr>
          <w:p>
            <w:pPr>
              <w:pStyle w:val="TableContents"/>
              <w:bidi w:val="0"/>
              <w:spacing w:before="0" w:after="0"/>
              <w:ind w:left="0" w:right="0" w:hanging="0"/>
              <w:jc w:val="center"/>
              <w:rPr/>
            </w:pPr>
            <w:r>
              <w:rPr/>
              <w:t>​</w:t>
            </w:r>
          </w:p>
        </w:tc>
        <w:tc>
          <w:tcPr>
            <w:tcW w:w="558" w:type="dxa"/>
            <w:tcBorders/>
            <w:vAlign w:val="center"/>
          </w:tcPr>
          <w:p>
            <w:pPr>
              <w:pStyle w:val="TableContents"/>
              <w:bidi w:val="0"/>
              <w:spacing w:before="0" w:after="0"/>
              <w:ind w:left="0" w:right="0" w:hanging="0"/>
              <w:jc w:val="left"/>
              <w:rPr/>
            </w:pPr>
            <w:r>
              <w:rPr/>
              <w:t>​</w:t>
            </w:r>
          </w:p>
        </w:tc>
        <w:tc>
          <w:tcPr>
            <w:tcW w:w="584"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46" w:type="dxa"/>
            <w:tcBorders/>
            <w:vAlign w:val="center"/>
          </w:tcPr>
          <w:p>
            <w:pPr>
              <w:pStyle w:val="TableContents"/>
              <w:bidi w:val="0"/>
              <w:spacing w:before="0" w:after="0"/>
              <w:ind w:left="0" w:right="0" w:hanging="0"/>
              <w:jc w:val="left"/>
              <w:rPr/>
            </w:pPr>
            <w:r>
              <w:rPr/>
              <w:t>  ​ ​ ​</w:t>
            </w:r>
          </w:p>
        </w:tc>
        <w:tc>
          <w:tcPr>
            <w:tcW w:w="87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88" w:type="dxa"/>
            <w:tcBorders/>
            <w:vAlign w:val="center"/>
          </w:tcPr>
          <w:p>
            <w:pPr>
              <w:pStyle w:val="TableContents"/>
              <w:bidi w:val="0"/>
              <w:spacing w:before="0" w:after="0"/>
              <w:ind w:left="0" w:right="0" w:hanging="0"/>
              <w:jc w:val="left"/>
              <w:rPr/>
            </w:pPr>
            <w:r>
              <w:rPr/>
              <w:t>  ​ ​ ​</w:t>
            </w:r>
          </w:p>
        </w:tc>
        <w:tc>
          <w:tcPr>
            <w:tcW w:w="87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2161"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Period-Over-Period Change</w:t>
            </w:r>
          </w:p>
        </w:tc>
        <w:tc>
          <w:tcPr>
            <w:tcW w:w="316" w:type="dxa"/>
            <w:tcBorders/>
            <w:vAlign w:val="center"/>
          </w:tcPr>
          <w:p>
            <w:pPr>
              <w:pStyle w:val="TableContents"/>
              <w:bidi w:val="0"/>
              <w:spacing w:before="0" w:after="0"/>
              <w:ind w:left="0" w:right="0" w:hanging="0"/>
              <w:jc w:val="center"/>
              <w:rPr/>
            </w:pPr>
            <w:r>
              <w:rPr/>
              <w:t>​</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0"/>
              <w:ind w:left="0" w:right="0" w:hanging="0"/>
              <w:jc w:val="left"/>
              <w:rPr/>
            </w:pPr>
            <w:r>
              <w:rPr/>
              <w:t>  ​ ​ ​</w:t>
            </w:r>
          </w:p>
        </w:tc>
        <w:tc>
          <w:tcPr>
            <w:tcW w:w="2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6,720</w:t>
            </w:r>
          </w:p>
        </w:tc>
        <w:tc>
          <w:tcPr>
            <w:tcW w:w="388" w:type="dxa"/>
            <w:tcBorders/>
            <w:shd w:fill="CCEEFF" w:val="clear"/>
            <w:vAlign w:val="center"/>
          </w:tcPr>
          <w:p>
            <w:pPr>
              <w:pStyle w:val="TableContents"/>
              <w:bidi w:val="0"/>
              <w:spacing w:before="0" w:after="0"/>
              <w:ind w:left="0" w:right="0" w:hanging="0"/>
              <w:jc w:val="left"/>
              <w:rPr/>
            </w:pPr>
            <w:r>
              <w:rPr/>
              <w:t>  ​ ​ ​</w:t>
            </w:r>
          </w:p>
        </w:tc>
        <w:tc>
          <w:tcPr>
            <w:tcW w:w="2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6,187</w:t>
            </w:r>
          </w:p>
        </w:tc>
        <w:tc>
          <w:tcPr>
            <w:tcW w:w="346" w:type="dxa"/>
            <w:tcBorders/>
            <w:shd w:fill="CCEEFF" w:val="clear"/>
            <w:vAlign w:val="center"/>
          </w:tcPr>
          <w:p>
            <w:pPr>
              <w:pStyle w:val="TableContents"/>
              <w:bidi w:val="0"/>
              <w:spacing w:before="0" w:after="0"/>
              <w:ind w:left="0" w:right="0" w:hanging="0"/>
              <w:jc w:val="left"/>
              <w:rPr/>
            </w:pPr>
            <w:r>
              <w:rPr/>
              <w:t>  ​ ​ ​</w:t>
            </w:r>
          </w:p>
        </w:tc>
        <w:tc>
          <w:tcPr>
            <w:tcW w:w="3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533</w:t>
            </w:r>
          </w:p>
        </w:tc>
        <w:tc>
          <w:tcPr>
            <w:tcW w:w="558" w:type="dxa"/>
            <w:tcBorders/>
            <w:shd w:fill="CCEEFF" w:val="clear"/>
            <w:vAlign w:val="center"/>
          </w:tcPr>
          <w:p>
            <w:pPr>
              <w:pStyle w:val="TableContents"/>
              <w:bidi w:val="0"/>
              <w:spacing w:before="0" w:after="0"/>
              <w:ind w:left="0" w:right="0" w:hanging="0"/>
              <w:jc w:val="left"/>
              <w:rPr/>
            </w:pPr>
            <w:r>
              <w:rPr/>
              <w:t>  ​ ​ ​</w:t>
            </w:r>
          </w:p>
        </w:tc>
        <w:tc>
          <w:tcPr>
            <w:tcW w:w="5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Depreciation and amortization expenses increased $0.5 million, or 8.6%, to $6.7 million for the three months ended June 30, 2026 compared to $6.2 million for the same period in 2025. The increase was primarily due to the impact of infrastructure and technology purchases and other capitalized costs to support our growth. </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b/>
          <w:sz w:val="20"/>
        </w:rPr>
      </w:pPr>
      <w:r>
        <w:rPr>
          <w:rFonts w:ascii="Times New Roman;Times;serif" w:hAnsi="Times New Roman;Times;serif"/>
          <w:b/>
          <w:sz w:val="20"/>
        </w:rPr>
        <w:t>Change in Fair Value of Acquisition Contingent Earn-outs</w:t>
      </w:r>
    </w:p>
    <w:tbl>
      <w:tblPr>
        <w:tblW w:w="9978" w:type="dxa"/>
        <w:jc w:val="left"/>
        <w:tblInd w:w="0" w:type="dxa"/>
        <w:tblLayout w:type="fixed"/>
        <w:tblCellMar>
          <w:top w:w="0" w:type="dxa"/>
          <w:left w:w="0" w:type="dxa"/>
          <w:bottom w:w="0" w:type="dxa"/>
          <w:right w:w="0" w:type="dxa"/>
        </w:tblCellMar>
      </w:tblPr>
      <w:tblGrid>
        <w:gridCol w:w="4666"/>
        <w:gridCol w:w="346"/>
        <w:gridCol w:w="275"/>
        <w:gridCol w:w="706"/>
        <w:gridCol w:w="142"/>
        <w:gridCol w:w="275"/>
        <w:gridCol w:w="745"/>
        <w:gridCol w:w="346"/>
        <w:gridCol w:w="250"/>
        <w:gridCol w:w="749"/>
        <w:gridCol w:w="411"/>
        <w:gridCol w:w="751"/>
        <w:gridCol w:w="316"/>
      </w:tblGrid>
      <w:tr>
        <w:trPr/>
        <w:tc>
          <w:tcPr>
            <w:tcW w:w="4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2962910" cy="175260"/>
                      <wp:effectExtent l="0" t="0" r="0" b="0"/>
                      <wp:wrapNone/>
                      <wp:docPr id="547" name="Frame547"/>
                      <a:graphic xmlns:a="http://schemas.openxmlformats.org/drawingml/2006/main">
                        <a:graphicData uri="http://schemas.microsoft.com/office/word/2010/wordprocessingShape">
                          <wps:wsp>
                            <wps:cNvSpPr txBox="1"/>
                            <wps:spPr>
                              <a:xfrm>
                                <a:off x="0" y="0"/>
                                <a:ext cx="2962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219710" cy="175260"/>
                      <wp:effectExtent l="0" t="0" r="0" b="0"/>
                      <wp:wrapNone/>
                      <wp:docPr id="548" name="Frame5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174625" cy="175260"/>
                      <wp:effectExtent l="0" t="0" r="0" b="0"/>
                      <wp:wrapNone/>
                      <wp:docPr id="549" name="Frame549"/>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448310" cy="175260"/>
                      <wp:effectExtent l="0" t="0" r="0" b="0"/>
                      <wp:wrapNone/>
                      <wp:docPr id="550" name="Frame550"/>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90170" cy="175260"/>
                      <wp:effectExtent l="0" t="0" r="0" b="0"/>
                      <wp:wrapNone/>
                      <wp:docPr id="551" name="Frame551"/>
                      <a:graphic xmlns:a="http://schemas.openxmlformats.org/drawingml/2006/main">
                        <a:graphicData uri="http://schemas.microsoft.com/office/word/2010/wordprocessingShape">
                          <wps:wsp>
                            <wps:cNvSpPr txBox="1"/>
                            <wps:spPr>
                              <a:xfrm>
                                <a:off x="0" y="0"/>
                                <a:ext cx="90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174625" cy="175260"/>
                      <wp:effectExtent l="0" t="0" r="0" b="0"/>
                      <wp:wrapNone/>
                      <wp:docPr id="552" name="Frame552"/>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473075" cy="175260"/>
                      <wp:effectExtent l="0" t="0" r="0" b="0"/>
                      <wp:wrapNone/>
                      <wp:docPr id="553" name="Frame553"/>
                      <a:graphic xmlns:a="http://schemas.openxmlformats.org/drawingml/2006/main">
                        <a:graphicData uri="http://schemas.microsoft.com/office/word/2010/wordprocessingShape">
                          <wps:wsp>
                            <wps:cNvSpPr txBox="1"/>
                            <wps:spPr>
                              <a:xfrm>
                                <a:off x="0" y="0"/>
                                <a:ext cx="473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219710" cy="175260"/>
                      <wp:effectExtent l="0" t="0" r="0" b="0"/>
                      <wp:wrapNone/>
                      <wp:docPr id="554" name="Frame5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158750" cy="175260"/>
                      <wp:effectExtent l="0" t="0" r="0" b="0"/>
                      <wp:wrapNone/>
                      <wp:docPr id="555" name="Frame555"/>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475615" cy="175260"/>
                      <wp:effectExtent l="0" t="0" r="0" b="0"/>
                      <wp:wrapNone/>
                      <wp:docPr id="556" name="Frame556"/>
                      <a:graphic xmlns:a="http://schemas.openxmlformats.org/drawingml/2006/main">
                        <a:graphicData uri="http://schemas.microsoft.com/office/word/2010/wordprocessingShape">
                          <wps:wsp>
                            <wps:cNvSpPr txBox="1"/>
                            <wps:spPr>
                              <a:xfrm>
                                <a:off x="0" y="0"/>
                                <a:ext cx="475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260985" cy="175260"/>
                      <wp:effectExtent l="0" t="0" r="0" b="0"/>
                      <wp:wrapNone/>
                      <wp:docPr id="557" name="Frame557"/>
                      <a:graphic xmlns:a="http://schemas.openxmlformats.org/drawingml/2006/main">
                        <a:graphicData uri="http://schemas.microsoft.com/office/word/2010/wordprocessingShape">
                          <wps:wsp>
                            <wps:cNvSpPr txBox="1"/>
                            <wps:spPr>
                              <a:xfrm>
                                <a:off x="0" y="0"/>
                                <a:ext cx="260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476885" cy="175260"/>
                      <wp:effectExtent l="0" t="0" r="0" b="0"/>
                      <wp:wrapNone/>
                      <wp:docPr id="558" name="Frame558"/>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200660" cy="175260"/>
                      <wp:effectExtent l="0" t="0" r="0" b="0"/>
                      <wp:wrapNone/>
                      <wp:docPr id="559" name="Frame55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4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4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center"/>
              <w:rPr/>
            </w:pPr>
            <w:r>
              <w:rPr/>
              <w:t>​</w:t>
            </w:r>
          </w:p>
        </w:tc>
        <w:tc>
          <w:tcPr>
            <w:tcW w:w="411"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left"/>
              <w:rPr/>
            </w:pPr>
            <w:r>
              <w:rPr/>
              <w:t>​</w:t>
            </w:r>
          </w:p>
        </w:tc>
      </w:tr>
      <w:tr>
        <w:trPr/>
        <w:tc>
          <w:tcPr>
            <w:tcW w:w="46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4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center"/>
              <w:rPr/>
            </w:pPr>
            <w:r>
              <w:rPr/>
              <w:t>​</w:t>
            </w:r>
          </w:p>
        </w:tc>
        <w:tc>
          <w:tcPr>
            <w:tcW w:w="411"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left"/>
              <w:rPr/>
            </w:pPr>
            <w:r>
              <w:rPr/>
              <w:t>​</w:t>
            </w:r>
          </w:p>
        </w:tc>
      </w:tr>
      <w:tr>
        <w:trPr/>
        <w:tc>
          <w:tcPr>
            <w:tcW w:w="466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46" w:type="dxa"/>
            <w:tcBorders/>
            <w:vAlign w:val="center"/>
          </w:tcPr>
          <w:p>
            <w:pPr>
              <w:pStyle w:val="TableContents"/>
              <w:bidi w:val="0"/>
              <w:spacing w:before="0" w:after="0"/>
              <w:ind w:left="0" w:right="0" w:hanging="0"/>
              <w:jc w:val="left"/>
              <w:rPr/>
            </w:pPr>
            <w:r>
              <w:rPr/>
              <w:t>  ​ ​ ​</w:t>
            </w:r>
          </w:p>
        </w:tc>
        <w:tc>
          <w:tcPr>
            <w:tcW w:w="275"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42" w:type="dxa"/>
            <w:tcBorders/>
            <w:vAlign w:val="center"/>
          </w:tcPr>
          <w:p>
            <w:pPr>
              <w:pStyle w:val="TableContents"/>
              <w:bidi w:val="0"/>
              <w:spacing w:before="0" w:after="0"/>
              <w:ind w:left="0" w:right="0" w:hanging="0"/>
              <w:jc w:val="center"/>
              <w:rPr/>
            </w:pPr>
            <w:r>
              <w:rPr/>
              <w:t>​</w:t>
            </w:r>
          </w:p>
        </w:tc>
        <w:tc>
          <w:tcPr>
            <w:tcW w:w="275"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4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2161"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Period-Over-Period Change</w:t>
            </w:r>
          </w:p>
        </w:tc>
        <w:tc>
          <w:tcPr>
            <w:tcW w:w="316" w:type="dxa"/>
            <w:tcBorders/>
            <w:vAlign w:val="center"/>
          </w:tcPr>
          <w:p>
            <w:pPr>
              <w:pStyle w:val="TableContents"/>
              <w:bidi w:val="0"/>
              <w:spacing w:before="0" w:after="0"/>
              <w:ind w:left="0" w:right="0" w:hanging="0"/>
              <w:jc w:val="left"/>
              <w:rPr/>
            </w:pPr>
            <w:r>
              <w:rPr/>
              <w:t>​</w: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acquisition contingent earn-outs</w:t>
            </w:r>
          </w:p>
        </w:tc>
        <w:tc>
          <w:tcPr>
            <w:tcW w:w="346"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142"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2,300</w:t>
            </w:r>
          </w:p>
        </w:tc>
        <w:tc>
          <w:tcPr>
            <w:tcW w:w="346" w:type="dxa"/>
            <w:tcBorders/>
            <w:shd w:fill="CCEEFF" w:val="clear"/>
            <w:vAlign w:val="center"/>
          </w:tcPr>
          <w:p>
            <w:pPr>
              <w:pStyle w:val="TableContents"/>
              <w:bidi w:val="0"/>
              <w:spacing w:before="0" w:after="0"/>
              <w:ind w:left="0" w:right="0" w:hanging="0"/>
              <w:jc w:val="left"/>
              <w:rPr/>
            </w:pPr>
            <w:r>
              <w:rPr/>
              <w:t>  ​ ​ ​</w:t>
            </w:r>
          </w:p>
        </w:tc>
        <w:tc>
          <w:tcPr>
            <w:tcW w:w="2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(2,400)</w:t>
            </w:r>
          </w:p>
        </w:tc>
        <w:tc>
          <w:tcPr>
            <w:tcW w:w="411" w:type="dxa"/>
            <w:tcBorders/>
            <w:shd w:fill="CCEEFF" w:val="clear"/>
            <w:vAlign w:val="center"/>
          </w:tcPr>
          <w:p>
            <w:pPr>
              <w:pStyle w:val="TableContents"/>
              <w:bidi w:val="0"/>
              <w:spacing w:before="0" w:after="0"/>
              <w:ind w:left="0" w:right="0" w:hanging="0"/>
              <w:jc w:val="left"/>
              <w:rPr/>
            </w:pPr>
            <w:r>
              <w:rPr/>
              <w:t>  ​ ​ ​</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(104.3)</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Change in fair value of acquisition contingent earn-outs was $(0.1) million for the three months ended June 30, 2026 due to adjustments to the fair values of our ecosio acquisition contingent Cash Earn-outs and Stock Earn-outs of $0.3 million and $(0.4) million, respectively. Change in fair value of acquisition contingent earn-outs was $2.3 million for the three months ended June 30, 2025 due to adjustments to the fair values of our ecosio acquisition contingent Cash Earn-outs and Stock Earn-outs of $1.8 million and $0.5 million, respectively. For further information, refer to Note 4, “Financial Instruments and Fair Value Measurements” to the condensed consolidated financial statements included in this Quarterly Report on Form 10-Q.</w:t>
      </w:r>
    </w:p>
    <w:p>
      <w:pPr>
        <w:pStyle w:val="TextBody"/>
        <w:bidi w:val="0"/>
        <w:spacing w:before="0" w:after="0"/>
        <w:ind w:left="0" w:right="0" w:firstLine="360"/>
        <w:jc w:val="left"/>
        <w:rPr>
          <w:rFonts w:ascii="Times New Roman;Times;serif" w:hAnsi="Times New Roman;Times;serif"/>
          <w:b/>
          <w:sz w:val="20"/>
        </w:rPr>
      </w:pPr>
      <w:r>
        <w:rPr>
          <w:rFonts w:ascii="Times New Roman;Times;serif" w:hAnsi="Times New Roman;Times;serif"/>
          <w:b/>
          <w:sz w:val="20"/>
        </w:rPr>
        <w:t>Other Operating Expense, Net</w:t>
      </w:r>
    </w:p>
    <w:tbl>
      <w:tblPr>
        <w:tblW w:w="7759" w:type="dxa"/>
        <w:jc w:val="left"/>
        <w:tblInd w:w="0" w:type="dxa"/>
        <w:tblLayout w:type="fixed"/>
        <w:tblCellMar>
          <w:top w:w="0" w:type="dxa"/>
          <w:left w:w="0" w:type="dxa"/>
          <w:bottom w:w="0" w:type="dxa"/>
          <w:right w:w="0" w:type="dxa"/>
        </w:tblCellMar>
      </w:tblPr>
      <w:tblGrid>
        <w:gridCol w:w="2446"/>
        <w:gridCol w:w="346"/>
        <w:gridCol w:w="237"/>
        <w:gridCol w:w="641"/>
        <w:gridCol w:w="388"/>
        <w:gridCol w:w="237"/>
        <w:gridCol w:w="641"/>
        <w:gridCol w:w="346"/>
        <w:gridCol w:w="275"/>
        <w:gridCol w:w="824"/>
        <w:gridCol w:w="452"/>
        <w:gridCol w:w="610"/>
        <w:gridCol w:w="316"/>
      </w:tblGrid>
      <w:tr>
        <w:trPr/>
        <w:tc>
          <w:tcPr>
            <w:tcW w:w="2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1553210" cy="175260"/>
                      <wp:effectExtent l="0" t="0" r="0" b="0"/>
                      <wp:wrapNone/>
                      <wp:docPr id="560" name="Frame560"/>
                      <a:graphic xmlns:a="http://schemas.openxmlformats.org/drawingml/2006/main">
                        <a:graphicData uri="http://schemas.microsoft.com/office/word/2010/wordprocessingShape">
                          <wps:wsp>
                            <wps:cNvSpPr txBox="1"/>
                            <wps:spPr>
                              <a:xfrm>
                                <a:off x="0" y="0"/>
                                <a:ext cx="1553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219710" cy="175260"/>
                      <wp:effectExtent l="0" t="0" r="0" b="0"/>
                      <wp:wrapNone/>
                      <wp:docPr id="561" name="Frame5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150495" cy="175260"/>
                      <wp:effectExtent l="0" t="0" r="0" b="0"/>
                      <wp:wrapNone/>
                      <wp:docPr id="562" name="Frame562"/>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407035" cy="175260"/>
                      <wp:effectExtent l="0" t="0" r="0" b="0"/>
                      <wp:wrapNone/>
                      <wp:docPr id="563" name="Frame563"/>
                      <a:graphic xmlns:a="http://schemas.openxmlformats.org/drawingml/2006/main">
                        <a:graphicData uri="http://schemas.microsoft.com/office/word/2010/wordprocessingShape">
                          <wps:wsp>
                            <wps:cNvSpPr txBox="1"/>
                            <wps:spPr>
                              <a:xfrm>
                                <a:off x="0" y="0"/>
                                <a:ext cx="407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246380" cy="175260"/>
                      <wp:effectExtent l="0" t="0" r="0" b="0"/>
                      <wp:wrapNone/>
                      <wp:docPr id="564" name="Frame564"/>
                      <a:graphic xmlns:a="http://schemas.openxmlformats.org/drawingml/2006/main">
                        <a:graphicData uri="http://schemas.microsoft.com/office/word/2010/wordprocessingShape">
                          <wps:wsp>
                            <wps:cNvSpPr txBox="1"/>
                            <wps:spPr>
                              <a:xfrm>
                                <a:off x="0" y="0"/>
                                <a:ext cx="246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150495" cy="175260"/>
                      <wp:effectExtent l="0" t="0" r="0" b="0"/>
                      <wp:wrapNone/>
                      <wp:docPr id="565" name="Frame565"/>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407035" cy="175260"/>
                      <wp:effectExtent l="0" t="0" r="0" b="0"/>
                      <wp:wrapNone/>
                      <wp:docPr id="566" name="Frame566"/>
                      <a:graphic xmlns:a="http://schemas.openxmlformats.org/drawingml/2006/main">
                        <a:graphicData uri="http://schemas.microsoft.com/office/word/2010/wordprocessingShape">
                          <wps:wsp>
                            <wps:cNvSpPr txBox="1"/>
                            <wps:spPr>
                              <a:xfrm>
                                <a:off x="0" y="0"/>
                                <a:ext cx="407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219710" cy="175260"/>
                      <wp:effectExtent l="0" t="0" r="0" b="0"/>
                      <wp:wrapNone/>
                      <wp:docPr id="567" name="Frame5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174625" cy="175260"/>
                      <wp:effectExtent l="0" t="0" r="0" b="0"/>
                      <wp:wrapNone/>
                      <wp:docPr id="568" name="Frame568"/>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523240" cy="175260"/>
                      <wp:effectExtent l="0" t="0" r="0" b="0"/>
                      <wp:wrapNone/>
                      <wp:docPr id="569" name="Frame569"/>
                      <a:graphic xmlns:a="http://schemas.openxmlformats.org/drawingml/2006/main">
                        <a:graphicData uri="http://schemas.microsoft.com/office/word/2010/wordprocessingShape">
                          <wps:wsp>
                            <wps:cNvSpPr txBox="1"/>
                            <wps:spPr>
                              <a:xfrm>
                                <a:off x="0" y="0"/>
                                <a:ext cx="523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287020" cy="175260"/>
                      <wp:effectExtent l="0" t="0" r="0" b="0"/>
                      <wp:wrapNone/>
                      <wp:docPr id="570" name="Frame570"/>
                      <a:graphic xmlns:a="http://schemas.openxmlformats.org/drawingml/2006/main">
                        <a:graphicData uri="http://schemas.microsoft.com/office/word/2010/wordprocessingShape">
                          <wps:wsp>
                            <wps:cNvSpPr txBox="1"/>
                            <wps:spPr>
                              <a:xfrm>
                                <a:off x="0" y="0"/>
                                <a:ext cx="287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387350" cy="175260"/>
                      <wp:effectExtent l="0" t="0" r="0" b="0"/>
                      <wp:wrapNone/>
                      <wp:docPr id="571" name="Frame571"/>
                      <a:graphic xmlns:a="http://schemas.openxmlformats.org/drawingml/2006/main">
                        <a:graphicData uri="http://schemas.microsoft.com/office/word/2010/wordprocessingShape">
                          <wps:wsp>
                            <wps:cNvSpPr txBox="1"/>
                            <wps:spPr>
                              <a:xfrm>
                                <a:off x="0" y="0"/>
                                <a:ext cx="387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200660" cy="175260"/>
                      <wp:effectExtent l="0" t="0" r="0" b="0"/>
                      <wp:wrapNone/>
                      <wp:docPr id="572" name="Frame57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4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4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w:t>
            </w:r>
          </w:p>
        </w:tc>
        <w:tc>
          <w:tcPr>
            <w:tcW w:w="824" w:type="dxa"/>
            <w:tcBorders/>
            <w:vAlign w:val="center"/>
          </w:tcPr>
          <w:p>
            <w:pPr>
              <w:pStyle w:val="TableContents"/>
              <w:bidi w:val="0"/>
              <w:spacing w:before="0" w:after="0"/>
              <w:ind w:left="0" w:right="0" w:hanging="0"/>
              <w:jc w:val="center"/>
              <w:rPr/>
            </w:pPr>
            <w:r>
              <w:rPr/>
              <w:t>​</w:t>
            </w:r>
          </w:p>
        </w:tc>
        <w:tc>
          <w:tcPr>
            <w:tcW w:w="452" w:type="dxa"/>
            <w:tcBorders/>
            <w:vAlign w:val="center"/>
          </w:tcPr>
          <w:p>
            <w:pPr>
              <w:pStyle w:val="TableContents"/>
              <w:bidi w:val="0"/>
              <w:spacing w:before="0" w:after="0"/>
              <w:ind w:left="0" w:right="0" w:hanging="0"/>
              <w:jc w:val="left"/>
              <w:rPr/>
            </w:pPr>
            <w:r>
              <w:rPr/>
              <w:t>​</w:t>
            </w:r>
          </w:p>
        </w:tc>
        <w:tc>
          <w:tcPr>
            <w:tcW w:w="610"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24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4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w:t>
            </w:r>
          </w:p>
        </w:tc>
        <w:tc>
          <w:tcPr>
            <w:tcW w:w="824" w:type="dxa"/>
            <w:tcBorders/>
            <w:vAlign w:val="center"/>
          </w:tcPr>
          <w:p>
            <w:pPr>
              <w:pStyle w:val="TableContents"/>
              <w:bidi w:val="0"/>
              <w:spacing w:before="0" w:after="0"/>
              <w:ind w:left="0" w:right="0" w:hanging="0"/>
              <w:jc w:val="center"/>
              <w:rPr/>
            </w:pPr>
            <w:r>
              <w:rPr/>
              <w:t>​</w:t>
            </w:r>
          </w:p>
        </w:tc>
        <w:tc>
          <w:tcPr>
            <w:tcW w:w="452" w:type="dxa"/>
            <w:tcBorders/>
            <w:vAlign w:val="center"/>
          </w:tcPr>
          <w:p>
            <w:pPr>
              <w:pStyle w:val="TableContents"/>
              <w:bidi w:val="0"/>
              <w:spacing w:before="0" w:after="0"/>
              <w:ind w:left="0" w:right="0" w:hanging="0"/>
              <w:jc w:val="left"/>
              <w:rPr/>
            </w:pPr>
            <w:r>
              <w:rPr/>
              <w:t>​</w:t>
            </w:r>
          </w:p>
        </w:tc>
        <w:tc>
          <w:tcPr>
            <w:tcW w:w="610"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46" w:type="dxa"/>
            <w:tcBorders/>
            <w:vAlign w:val="center"/>
          </w:tcPr>
          <w:p>
            <w:pPr>
              <w:pStyle w:val="TableContents"/>
              <w:bidi w:val="0"/>
              <w:spacing w:before="0" w:after="0"/>
              <w:ind w:left="0" w:right="0" w:hanging="0"/>
              <w:jc w:val="left"/>
              <w:rPr/>
            </w:pPr>
            <w:r>
              <w:rPr/>
              <w:t>  ​ ​ ​</w:t>
            </w:r>
          </w:p>
        </w:tc>
        <w:tc>
          <w:tcPr>
            <w:tcW w:w="87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88" w:type="dxa"/>
            <w:tcBorders/>
            <w:vAlign w:val="center"/>
          </w:tcPr>
          <w:p>
            <w:pPr>
              <w:pStyle w:val="TableContents"/>
              <w:bidi w:val="0"/>
              <w:spacing w:before="0" w:after="0"/>
              <w:ind w:left="0" w:right="0" w:hanging="0"/>
              <w:jc w:val="left"/>
              <w:rPr/>
            </w:pPr>
            <w:r>
              <w:rPr/>
              <w:t>  ​ ​ ​</w:t>
            </w:r>
          </w:p>
        </w:tc>
        <w:tc>
          <w:tcPr>
            <w:tcW w:w="87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2161"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Period-Over-Period Change</w:t>
            </w:r>
          </w:p>
        </w:tc>
        <w:tc>
          <w:tcPr>
            <w:tcW w:w="316" w:type="dxa"/>
            <w:tcBorders/>
            <w:vAlign w:val="center"/>
          </w:tcPr>
          <w:p>
            <w:pPr>
              <w:pStyle w:val="TableContents"/>
              <w:bidi w:val="0"/>
              <w:spacing w:before="0" w:after="0"/>
              <w:ind w:left="0" w:right="0" w:hanging="0"/>
              <w:jc w:val="center"/>
              <w:rPr/>
            </w:pPr>
            <w:r>
              <w:rPr/>
              <w:t>​</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operating expense, net</w:t>
            </w:r>
          </w:p>
        </w:tc>
        <w:tc>
          <w:tcPr>
            <w:tcW w:w="346" w:type="dxa"/>
            <w:tcBorders/>
            <w:shd w:fill="CCEEFF" w:val="clear"/>
            <w:vAlign w:val="center"/>
          </w:tcPr>
          <w:p>
            <w:pPr>
              <w:pStyle w:val="TableContents"/>
              <w:bidi w:val="0"/>
              <w:spacing w:before="0" w:after="0"/>
              <w:ind w:left="0" w:right="0" w:hanging="0"/>
              <w:jc w:val="left"/>
              <w:rPr/>
            </w:pPr>
            <w:r>
              <w:rPr/>
              <w:t>  ​ ​ ​</w:t>
            </w:r>
          </w:p>
        </w:tc>
        <w:tc>
          <w:tcPr>
            <w:tcW w:w="2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1,277</w:t>
            </w:r>
          </w:p>
        </w:tc>
        <w:tc>
          <w:tcPr>
            <w:tcW w:w="388" w:type="dxa"/>
            <w:tcBorders/>
            <w:shd w:fill="CCEEFF" w:val="clear"/>
            <w:vAlign w:val="center"/>
          </w:tcPr>
          <w:p>
            <w:pPr>
              <w:pStyle w:val="TableContents"/>
              <w:bidi w:val="0"/>
              <w:spacing w:before="0" w:after="0"/>
              <w:ind w:left="0" w:right="0" w:hanging="0"/>
              <w:jc w:val="left"/>
              <w:rPr/>
            </w:pPr>
            <w:r>
              <w:rPr/>
              <w:t>  ​ ​ ​</w:t>
            </w:r>
          </w:p>
        </w:tc>
        <w:tc>
          <w:tcPr>
            <w:tcW w:w="2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4,149</w:t>
            </w:r>
          </w:p>
        </w:tc>
        <w:tc>
          <w:tcPr>
            <w:tcW w:w="346" w:type="dxa"/>
            <w:tcBorders/>
            <w:shd w:fill="CCEEFF" w:val="clear"/>
            <w:vAlign w:val="center"/>
          </w:tcPr>
          <w:p>
            <w:pPr>
              <w:pStyle w:val="TableContents"/>
              <w:bidi w:val="0"/>
              <w:spacing w:before="0" w:after="0"/>
              <w:ind w:left="0" w:right="0" w:hanging="0"/>
              <w:jc w:val="left"/>
              <w:rPr/>
            </w:pPr>
            <w:r>
              <w:rPr/>
              <w:t>  ​ ​ ​</w:t>
            </w:r>
          </w:p>
        </w:tc>
        <w:tc>
          <w:tcPr>
            <w:tcW w:w="2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(2,872)</w:t>
            </w:r>
          </w:p>
        </w:tc>
        <w:tc>
          <w:tcPr>
            <w:tcW w:w="452" w:type="dxa"/>
            <w:tcBorders/>
            <w:shd w:fill="CCEEFF" w:val="clear"/>
            <w:vAlign w:val="center"/>
          </w:tcPr>
          <w:p>
            <w:pPr>
              <w:pStyle w:val="TableContents"/>
              <w:bidi w:val="0"/>
              <w:spacing w:before="0" w:after="0"/>
              <w:ind w:left="0" w:right="0" w:hanging="0"/>
              <w:jc w:val="left"/>
              <w:rPr/>
            </w:pPr>
            <w:r>
              <w:rPr/>
              <w:t>  ​ ​ ​</w:t>
            </w:r>
          </w:p>
        </w:tc>
        <w:tc>
          <w:tcPr>
            <w:tcW w:w="6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36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Other operating expense, net was $1.3 million for the three months ended June 30, 2026 compared to $4.1 million for the same period in 2025. Legal costs associated with a pending legal claim were $1.1 million and $2.9 million for the three months ended June 30, 2026 and 2025, respectively. For further information, refer to Note 12, “Commitments and Contingencies” to the condensed consolidated financial statements included in this Quarterly Report on Form 10-Q. Additionally, foreign currency transaction losses were $0.1 million and $1.0 million for the three months ended June 30, 2026 and 2025, respectively.</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b/>
          <w:sz w:val="20"/>
        </w:rPr>
      </w:pPr>
      <w:r>
        <w:rPr>
          <w:rFonts w:ascii="Times New Roman;Times;serif" w:hAnsi="Times New Roman;Times;serif"/>
          <w:b/>
          <w:sz w:val="20"/>
        </w:rPr>
        <w:t>Interest Income, Net</w:t>
      </w:r>
    </w:p>
    <w:tbl>
      <w:tblPr>
        <w:tblW w:w="7024" w:type="dxa"/>
        <w:jc w:val="left"/>
        <w:tblInd w:w="0" w:type="dxa"/>
        <w:tblLayout w:type="fixed"/>
        <w:tblCellMar>
          <w:top w:w="0" w:type="dxa"/>
          <w:left w:w="0" w:type="dxa"/>
          <w:bottom w:w="0" w:type="dxa"/>
          <w:right w:w="0" w:type="dxa"/>
        </w:tblCellMar>
      </w:tblPr>
      <w:tblGrid>
        <w:gridCol w:w="1711"/>
        <w:gridCol w:w="346"/>
        <w:gridCol w:w="226"/>
        <w:gridCol w:w="580"/>
        <w:gridCol w:w="371"/>
        <w:gridCol w:w="226"/>
        <w:gridCol w:w="741"/>
        <w:gridCol w:w="346"/>
        <w:gridCol w:w="303"/>
        <w:gridCol w:w="604"/>
        <w:gridCol w:w="497"/>
        <w:gridCol w:w="757"/>
        <w:gridCol w:w="316"/>
      </w:tblGrid>
      <w:tr>
        <w:trPr/>
        <w:tc>
          <w:tcPr>
            <w:tcW w:w="1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1086485" cy="175260"/>
                      <wp:effectExtent l="0" t="0" r="0" b="0"/>
                      <wp:wrapNone/>
                      <wp:docPr id="573" name="Frame573"/>
                      <a:graphic xmlns:a="http://schemas.openxmlformats.org/drawingml/2006/main">
                        <a:graphicData uri="http://schemas.microsoft.com/office/word/2010/wordprocessingShape">
                          <wps:wsp>
                            <wps:cNvSpPr txBox="1"/>
                            <wps:spPr>
                              <a:xfrm>
                                <a:off x="0" y="0"/>
                                <a:ext cx="1086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219710" cy="175260"/>
                      <wp:effectExtent l="0" t="0" r="0" b="0"/>
                      <wp:wrapNone/>
                      <wp:docPr id="574" name="Frame5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143510" cy="175260"/>
                      <wp:effectExtent l="0" t="0" r="0" b="0"/>
                      <wp:wrapNone/>
                      <wp:docPr id="575" name="Frame57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368300" cy="175260"/>
                      <wp:effectExtent l="0" t="0" r="0" b="0"/>
                      <wp:wrapNone/>
                      <wp:docPr id="576" name="Frame576"/>
                      <a:graphic xmlns:a="http://schemas.openxmlformats.org/drawingml/2006/main">
                        <a:graphicData uri="http://schemas.microsoft.com/office/word/2010/wordprocessingShape">
                          <wps:wsp>
                            <wps:cNvSpPr txBox="1"/>
                            <wps:spPr>
                              <a:xfrm>
                                <a:off x="0" y="0"/>
                                <a:ext cx="368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235585" cy="175260"/>
                      <wp:effectExtent l="0" t="0" r="0" b="0"/>
                      <wp:wrapNone/>
                      <wp:docPr id="577" name="Frame577"/>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143510" cy="175260"/>
                      <wp:effectExtent l="0" t="0" r="0" b="0"/>
                      <wp:wrapNone/>
                      <wp:docPr id="578" name="Frame57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470535" cy="175260"/>
                      <wp:effectExtent l="0" t="0" r="0" b="0"/>
                      <wp:wrapNone/>
                      <wp:docPr id="579" name="Frame579"/>
                      <a:graphic xmlns:a="http://schemas.openxmlformats.org/drawingml/2006/main">
                        <a:graphicData uri="http://schemas.microsoft.com/office/word/2010/wordprocessingShape">
                          <wps:wsp>
                            <wps:cNvSpPr txBox="1"/>
                            <wps:spPr>
                              <a:xfrm>
                                <a:off x="0" y="0"/>
                                <a:ext cx="470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219710" cy="175260"/>
                      <wp:effectExtent l="0" t="0" r="0" b="0"/>
                      <wp:wrapNone/>
                      <wp:docPr id="580" name="Frame5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192405" cy="175260"/>
                      <wp:effectExtent l="0" t="0" r="0" b="0"/>
                      <wp:wrapNone/>
                      <wp:docPr id="581" name="Frame581"/>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383540" cy="175260"/>
                      <wp:effectExtent l="0" t="0" r="0" b="0"/>
                      <wp:wrapNone/>
                      <wp:docPr id="582" name="Frame582"/>
                      <a:graphic xmlns:a="http://schemas.openxmlformats.org/drawingml/2006/main">
                        <a:graphicData uri="http://schemas.microsoft.com/office/word/2010/wordprocessingShape">
                          <wps:wsp>
                            <wps:cNvSpPr txBox="1"/>
                            <wps:spPr>
                              <a:xfrm>
                                <a:off x="0" y="0"/>
                                <a:ext cx="383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315595" cy="175260"/>
                      <wp:effectExtent l="0" t="0" r="0" b="0"/>
                      <wp:wrapNone/>
                      <wp:docPr id="583" name="Frame583"/>
                      <a:graphic xmlns:a="http://schemas.openxmlformats.org/drawingml/2006/main">
                        <a:graphicData uri="http://schemas.microsoft.com/office/word/2010/wordprocessingShape">
                          <wps:wsp>
                            <wps:cNvSpPr txBox="1"/>
                            <wps:spPr>
                              <a:xfrm>
                                <a:off x="0" y="0"/>
                                <a:ext cx="315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480695" cy="175260"/>
                      <wp:effectExtent l="0" t="0" r="0" b="0"/>
                      <wp:wrapNone/>
                      <wp:docPr id="584" name="Frame584"/>
                      <a:graphic xmlns:a="http://schemas.openxmlformats.org/drawingml/2006/main">
                        <a:graphicData uri="http://schemas.microsoft.com/office/word/2010/wordprocessingShape">
                          <wps:wsp>
                            <wps:cNvSpPr txBox="1"/>
                            <wps:spPr>
                              <a:xfrm>
                                <a:off x="0" y="0"/>
                                <a:ext cx="480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200660" cy="175260"/>
                      <wp:effectExtent l="0" t="0" r="0" b="0"/>
                      <wp:wrapNone/>
                      <wp:docPr id="585" name="Frame58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4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604" w:type="dxa"/>
            <w:tcBorders/>
            <w:vAlign w:val="center"/>
          </w:tcPr>
          <w:p>
            <w:pPr>
              <w:pStyle w:val="TableContents"/>
              <w:bidi w:val="0"/>
              <w:spacing w:before="0" w:after="0"/>
              <w:ind w:left="0" w:right="0" w:hanging="0"/>
              <w:jc w:val="center"/>
              <w:rPr/>
            </w:pPr>
            <w:r>
              <w:rPr/>
              <w:t>​</w:t>
            </w:r>
          </w:p>
        </w:tc>
        <w:tc>
          <w:tcPr>
            <w:tcW w:w="497"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17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4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604" w:type="dxa"/>
            <w:tcBorders/>
            <w:vAlign w:val="center"/>
          </w:tcPr>
          <w:p>
            <w:pPr>
              <w:pStyle w:val="TableContents"/>
              <w:bidi w:val="0"/>
              <w:spacing w:before="0" w:after="0"/>
              <w:ind w:left="0" w:right="0" w:hanging="0"/>
              <w:jc w:val="center"/>
              <w:rPr/>
            </w:pPr>
            <w:r>
              <w:rPr/>
              <w:t>​</w:t>
            </w:r>
          </w:p>
        </w:tc>
        <w:tc>
          <w:tcPr>
            <w:tcW w:w="497"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171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46" w:type="dxa"/>
            <w:tcBorders/>
            <w:vAlign w:val="center"/>
          </w:tcPr>
          <w:p>
            <w:pPr>
              <w:pStyle w:val="TableContents"/>
              <w:bidi w:val="0"/>
              <w:spacing w:before="0" w:after="0"/>
              <w:ind w:left="0" w:right="0" w:hanging="0"/>
              <w:jc w:val="left"/>
              <w:rPr/>
            </w:pPr>
            <w:r>
              <w:rPr/>
              <w:t>  ​ ​ ​</w:t>
            </w:r>
          </w:p>
        </w:tc>
        <w:tc>
          <w:tcPr>
            <w:tcW w:w="8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71" w:type="dxa"/>
            <w:tcBorders/>
            <w:vAlign w:val="center"/>
          </w:tcPr>
          <w:p>
            <w:pPr>
              <w:pStyle w:val="TableContents"/>
              <w:bidi w:val="0"/>
              <w:spacing w:before="0" w:after="0"/>
              <w:ind w:left="0" w:right="0" w:hanging="0"/>
              <w:jc w:val="left"/>
              <w:rPr/>
            </w:pPr>
            <w:r>
              <w:rPr/>
              <w:t>  ​ ​ ​</w:t>
            </w:r>
          </w:p>
        </w:tc>
        <w:tc>
          <w:tcPr>
            <w:tcW w:w="9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2161"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Period-Over-Period Change</w:t>
            </w:r>
          </w:p>
        </w:tc>
        <w:tc>
          <w:tcPr>
            <w:tcW w:w="316" w:type="dxa"/>
            <w:tcBorders/>
            <w:vAlign w:val="center"/>
          </w:tcPr>
          <w:p>
            <w:pPr>
              <w:pStyle w:val="TableContents"/>
              <w:bidi w:val="0"/>
              <w:spacing w:before="0" w:after="0"/>
              <w:ind w:left="0" w:right="0" w:hanging="0"/>
              <w:jc w:val="center"/>
              <w:rPr/>
            </w:pPr>
            <w:r>
              <w:rPr/>
              <w:t>​</w:t>
            </w:r>
          </w:p>
        </w:tc>
      </w:tr>
      <w:tr>
        <w:trPr/>
        <w:tc>
          <w:tcPr>
            <w:tcW w:w="1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net</w:t>
            </w:r>
          </w:p>
        </w:tc>
        <w:tc>
          <w:tcPr>
            <w:tcW w:w="346" w:type="dxa"/>
            <w:tcBorders/>
            <w:shd w:fill="CCEEFF" w:val="clear"/>
            <w:vAlign w:val="center"/>
          </w:tcPr>
          <w:p>
            <w:pPr>
              <w:pStyle w:val="TableContents"/>
              <w:bidi w:val="0"/>
              <w:spacing w:before="0" w:after="0"/>
              <w:ind w:left="0" w:right="0" w:hanging="0"/>
              <w:jc w:val="left"/>
              <w:rPr/>
            </w:pPr>
            <w:r>
              <w:rPr/>
              <w:t>  ​ ​ ​</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w:t>
            </w:r>
          </w:p>
        </w:tc>
        <w:tc>
          <w:tcPr>
            <w:tcW w:w="371" w:type="dxa"/>
            <w:tcBorders/>
            <w:shd w:fill="CCEEFF" w:val="clear"/>
            <w:vAlign w:val="center"/>
          </w:tcPr>
          <w:p>
            <w:pPr>
              <w:pStyle w:val="TableContents"/>
              <w:bidi w:val="0"/>
              <w:spacing w:before="0" w:after="0"/>
              <w:ind w:left="0" w:right="0" w:hanging="0"/>
              <w:jc w:val="left"/>
              <w:rPr/>
            </w:pPr>
            <w:r>
              <w:rPr/>
              <w:t>  ​ ​ ​</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(1,228)</w:t>
            </w:r>
          </w:p>
        </w:tc>
        <w:tc>
          <w:tcPr>
            <w:tcW w:w="346" w:type="dxa"/>
            <w:tcBorders/>
            <w:shd w:fill="CCEEFF" w:val="clear"/>
            <w:vAlign w:val="center"/>
          </w:tcPr>
          <w:p>
            <w:pPr>
              <w:pStyle w:val="TableContents"/>
              <w:bidi w:val="0"/>
              <w:spacing w:before="0" w:after="0"/>
              <w:ind w:left="0" w:right="0" w:hanging="0"/>
              <w:jc w:val="left"/>
              <w:rPr/>
            </w:pPr>
            <w:r>
              <w:rPr/>
              <w:t>  ​ ​ ​</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884</w:t>
            </w:r>
          </w:p>
        </w:tc>
        <w:tc>
          <w:tcPr>
            <w:tcW w:w="497" w:type="dxa"/>
            <w:tcBorders/>
            <w:shd w:fill="CCEEFF" w:val="clear"/>
            <w:vAlign w:val="center"/>
          </w:tcPr>
          <w:p>
            <w:pPr>
              <w:pStyle w:val="TableContents"/>
              <w:bidi w:val="0"/>
              <w:spacing w:before="0" w:after="0"/>
              <w:ind w:left="0" w:right="0" w:hanging="0"/>
              <w:jc w:val="left"/>
              <w:rPr/>
            </w:pPr>
            <w:r>
              <w:rPr/>
              <w:t>  ​ ​ ​</w:t>
            </w:r>
          </w:p>
        </w:tc>
        <w:tc>
          <w:tcPr>
            <w:tcW w:w="7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Interest income, net was $(0.3) million for the three months ended June 30, 2026 compared to $(1.2) million for the same period in 2025. This change was mainly due to a $0.9 million decrease in interest income, driven by lower dollars invested and lower interest rates during the period.</w:t>
      </w:r>
    </w:p>
    <w:p>
      <w:pPr>
        <w:pStyle w:val="TextBody"/>
        <w:bidi w:val="0"/>
        <w:spacing w:before="0" w:after="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b/>
          <w:sz w:val="20"/>
        </w:rPr>
      </w:pPr>
      <w:r>
        <w:rPr>
          <w:rFonts w:ascii="Times New Roman;Times;serif" w:hAnsi="Times New Roman;Times;serif"/>
          <w:b/>
          <w:sz w:val="20"/>
        </w:rPr>
        <w:t>Income Tax Benefit</w:t>
      </w:r>
    </w:p>
    <w:tbl>
      <w:tblPr>
        <w:tblW w:w="7135" w:type="dxa"/>
        <w:jc w:val="left"/>
        <w:tblInd w:w="0" w:type="dxa"/>
        <w:tblLayout w:type="fixed"/>
        <w:tblCellMar>
          <w:top w:w="0" w:type="dxa"/>
          <w:left w:w="0" w:type="dxa"/>
          <w:bottom w:w="0" w:type="dxa"/>
          <w:right w:w="0" w:type="dxa"/>
        </w:tblCellMar>
      </w:tblPr>
      <w:tblGrid>
        <w:gridCol w:w="1711"/>
        <w:gridCol w:w="346"/>
        <w:gridCol w:w="211"/>
        <w:gridCol w:w="796"/>
        <w:gridCol w:w="346"/>
        <w:gridCol w:w="211"/>
        <w:gridCol w:w="691"/>
        <w:gridCol w:w="346"/>
        <w:gridCol w:w="244"/>
        <w:gridCol w:w="853"/>
        <w:gridCol w:w="401"/>
        <w:gridCol w:w="663"/>
        <w:gridCol w:w="316"/>
      </w:tblGrid>
      <w:tr>
        <w:trPr/>
        <w:tc>
          <w:tcPr>
            <w:tcW w:w="1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1086485" cy="175260"/>
                      <wp:effectExtent l="0" t="0" r="0" b="0"/>
                      <wp:wrapNone/>
                      <wp:docPr id="586" name="Frame586"/>
                      <a:graphic xmlns:a="http://schemas.openxmlformats.org/drawingml/2006/main">
                        <a:graphicData uri="http://schemas.microsoft.com/office/word/2010/wordprocessingShape">
                          <wps:wsp>
                            <wps:cNvSpPr txBox="1"/>
                            <wps:spPr>
                              <a:xfrm>
                                <a:off x="0" y="0"/>
                                <a:ext cx="1086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219710" cy="175260"/>
                      <wp:effectExtent l="0" t="0" r="0" b="0"/>
                      <wp:wrapNone/>
                      <wp:docPr id="587" name="Frame5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133985" cy="175260"/>
                      <wp:effectExtent l="0" t="0" r="0" b="0"/>
                      <wp:wrapNone/>
                      <wp:docPr id="588" name="Frame5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505460" cy="175260"/>
                      <wp:effectExtent l="0" t="0" r="0" b="0"/>
                      <wp:wrapNone/>
                      <wp:docPr id="589" name="Frame58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219710" cy="175260"/>
                      <wp:effectExtent l="0" t="0" r="0" b="0"/>
                      <wp:wrapNone/>
                      <wp:docPr id="590" name="Frame5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133985" cy="175260"/>
                      <wp:effectExtent l="0" t="0" r="0" b="0"/>
                      <wp:wrapNone/>
                      <wp:docPr id="591" name="Frame5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438785" cy="175260"/>
                      <wp:effectExtent l="0" t="0" r="0" b="0"/>
                      <wp:wrapNone/>
                      <wp:docPr id="592" name="Frame59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219710" cy="175260"/>
                      <wp:effectExtent l="0" t="0" r="0" b="0"/>
                      <wp:wrapNone/>
                      <wp:docPr id="593" name="Frame5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154940" cy="175260"/>
                      <wp:effectExtent l="0" t="0" r="0" b="0"/>
                      <wp:wrapNone/>
                      <wp:docPr id="594" name="Frame594"/>
                      <a:graphic xmlns:a="http://schemas.openxmlformats.org/drawingml/2006/main">
                        <a:graphicData uri="http://schemas.microsoft.com/office/word/2010/wordprocessingShape">
                          <wps:wsp>
                            <wps:cNvSpPr txBox="1"/>
                            <wps:spPr>
                              <a:xfrm>
                                <a:off x="0" y="0"/>
                                <a:ext cx="154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541655" cy="175260"/>
                      <wp:effectExtent l="0" t="0" r="0" b="0"/>
                      <wp:wrapNone/>
                      <wp:docPr id="595" name="Frame595"/>
                      <a:graphic xmlns:a="http://schemas.openxmlformats.org/drawingml/2006/main">
                        <a:graphicData uri="http://schemas.microsoft.com/office/word/2010/wordprocessingShape">
                          <wps:wsp>
                            <wps:cNvSpPr txBox="1"/>
                            <wps:spPr>
                              <a:xfrm>
                                <a:off x="0" y="0"/>
                                <a:ext cx="541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254635" cy="175260"/>
                      <wp:effectExtent l="0" t="0" r="0" b="0"/>
                      <wp:wrapNone/>
                      <wp:docPr id="596" name="Frame596"/>
                      <a:graphic xmlns:a="http://schemas.openxmlformats.org/drawingml/2006/main">
                        <a:graphicData uri="http://schemas.microsoft.com/office/word/2010/wordprocessingShape">
                          <wps:wsp>
                            <wps:cNvSpPr txBox="1"/>
                            <wps:spPr>
                              <a:xfrm>
                                <a:off x="0" y="0"/>
                                <a:ext cx="254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421005" cy="175260"/>
                      <wp:effectExtent l="0" t="0" r="0" b="0"/>
                      <wp:wrapNone/>
                      <wp:docPr id="597" name="Frame597"/>
                      <a:graphic xmlns:a="http://schemas.openxmlformats.org/drawingml/2006/main">
                        <a:graphicData uri="http://schemas.microsoft.com/office/word/2010/wordprocessingShape">
                          <wps:wsp>
                            <wps:cNvSpPr txBox="1"/>
                            <wps:spPr>
                              <a:xfrm>
                                <a:off x="0" y="0"/>
                                <a:ext cx="421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200660" cy="175260"/>
                      <wp:effectExtent l="0" t="0" r="0" b="0"/>
                      <wp:wrapNone/>
                      <wp:docPr id="598" name="Frame59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5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46"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w:t>
            </w:r>
          </w:p>
        </w:tc>
        <w:tc>
          <w:tcPr>
            <w:tcW w:w="853" w:type="dxa"/>
            <w:tcBorders/>
            <w:vAlign w:val="center"/>
          </w:tcPr>
          <w:p>
            <w:pPr>
              <w:pStyle w:val="TableContents"/>
              <w:bidi w:val="0"/>
              <w:spacing w:before="0" w:after="0"/>
              <w:ind w:left="0" w:right="0" w:hanging="0"/>
              <w:jc w:val="center"/>
              <w:rPr/>
            </w:pPr>
            <w:r>
              <w:rPr/>
              <w:t>​</w:t>
            </w:r>
          </w:p>
        </w:tc>
        <w:tc>
          <w:tcPr>
            <w:tcW w:w="401" w:type="dxa"/>
            <w:tcBorders/>
            <w:vAlign w:val="center"/>
          </w:tcPr>
          <w:p>
            <w:pPr>
              <w:pStyle w:val="TableContents"/>
              <w:bidi w:val="0"/>
              <w:spacing w:before="0" w:after="0"/>
              <w:ind w:left="0" w:right="0" w:hanging="0"/>
              <w:jc w:val="left"/>
              <w:rPr/>
            </w:pPr>
            <w:r>
              <w:rPr/>
              <w:t>​</w:t>
            </w:r>
          </w:p>
        </w:tc>
        <w:tc>
          <w:tcPr>
            <w:tcW w:w="663"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17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w:t>
            </w:r>
          </w:p>
        </w:tc>
        <w:tc>
          <w:tcPr>
            <w:tcW w:w="853" w:type="dxa"/>
            <w:tcBorders/>
            <w:vAlign w:val="center"/>
          </w:tcPr>
          <w:p>
            <w:pPr>
              <w:pStyle w:val="TableContents"/>
              <w:bidi w:val="0"/>
              <w:spacing w:before="0" w:after="0"/>
              <w:ind w:left="0" w:right="0" w:hanging="0"/>
              <w:jc w:val="center"/>
              <w:rPr/>
            </w:pPr>
            <w:r>
              <w:rPr/>
              <w:t>​</w:t>
            </w:r>
          </w:p>
        </w:tc>
        <w:tc>
          <w:tcPr>
            <w:tcW w:w="401" w:type="dxa"/>
            <w:tcBorders/>
            <w:vAlign w:val="center"/>
          </w:tcPr>
          <w:p>
            <w:pPr>
              <w:pStyle w:val="TableContents"/>
              <w:bidi w:val="0"/>
              <w:spacing w:before="0" w:after="0"/>
              <w:ind w:left="0" w:right="0" w:hanging="0"/>
              <w:jc w:val="left"/>
              <w:rPr/>
            </w:pPr>
            <w:r>
              <w:rPr/>
              <w:t>​</w:t>
            </w:r>
          </w:p>
        </w:tc>
        <w:tc>
          <w:tcPr>
            <w:tcW w:w="663"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171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2161"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Period-Over-Period Change</w:t>
            </w:r>
          </w:p>
        </w:tc>
        <w:tc>
          <w:tcPr>
            <w:tcW w:w="316" w:type="dxa"/>
            <w:tcBorders/>
            <w:vAlign w:val="center"/>
          </w:tcPr>
          <w:p>
            <w:pPr>
              <w:pStyle w:val="TableContents"/>
              <w:bidi w:val="0"/>
              <w:spacing w:before="0" w:after="0"/>
              <w:ind w:left="0" w:right="0" w:hanging="0"/>
              <w:jc w:val="center"/>
              <w:rPr/>
            </w:pPr>
            <w:r>
              <w:rPr/>
              <w:t>​</w:t>
            </w:r>
          </w:p>
        </w:tc>
      </w:tr>
      <w:tr>
        <w:trPr/>
        <w:tc>
          <w:tcPr>
            <w:tcW w:w="1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(13,142)</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(1,675)</w:t>
            </w:r>
          </w:p>
        </w:tc>
        <w:tc>
          <w:tcPr>
            <w:tcW w:w="346" w:type="dxa"/>
            <w:tcBorders/>
            <w:shd w:fill="CCEEFF" w:val="clear"/>
            <w:vAlign w:val="center"/>
          </w:tcPr>
          <w:p>
            <w:pPr>
              <w:pStyle w:val="TableContents"/>
              <w:bidi w:val="0"/>
              <w:spacing w:before="0" w:after="0"/>
              <w:ind w:left="0" w:right="0" w:hanging="0"/>
              <w:jc w:val="left"/>
              <w:rPr/>
            </w:pPr>
            <w:r>
              <w:rPr/>
              <w:t>  ​ ​ ​</w:t>
            </w:r>
          </w:p>
        </w:tc>
        <w:tc>
          <w:tcPr>
            <w:tcW w:w="2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(11,467)</w:t>
            </w:r>
          </w:p>
        </w:tc>
        <w:tc>
          <w:tcPr>
            <w:tcW w:w="401" w:type="dxa"/>
            <w:tcBorders/>
            <w:shd w:fill="CCEEFF" w:val="clear"/>
            <w:vAlign w:val="center"/>
          </w:tcPr>
          <w:p>
            <w:pPr>
              <w:pStyle w:val="TableContents"/>
              <w:bidi w:val="0"/>
              <w:spacing w:before="0" w:after="0"/>
              <w:ind w:left="0" w:right="0" w:hanging="0"/>
              <w:jc w:val="left"/>
              <w:rPr/>
            </w:pPr>
            <w:r>
              <w:rPr/>
              <w:t>  ​ ​ ​</w:t>
            </w:r>
          </w:p>
        </w:tc>
        <w:tc>
          <w:tcPr>
            <w:tcW w:w="6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684.6</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Income tax benefit was $(13.1) million and $(1.7) million for the three months ended June 30, 2026 and 2025, respectively. The period-over-period change was primarily driven by increased tax benefits from fluctuations in valuation allowances on net deferred tax assets established for U.S. and certain foreign jurisdictions, as well as the impact from the estimated annual effective tax rate applied to pre-tax loss for the three months ended June 30, 2026. These income tax benefit increases were partially offset by fluctuations in tax credits, reserves, and non-deductible contingent consideration liabilities.</w:t>
      </w:r>
    </w:p>
    <w:p>
      <w:pPr>
        <w:pStyle w:val="TextBody"/>
        <w:bidi w:val="0"/>
        <w:spacing w:before="0" w:after="0"/>
        <w:ind w:left="0" w:right="0" w:firstLine="360"/>
        <w:jc w:val="both"/>
        <w:rPr/>
      </w:pPr>
      <w:r>
        <w:rPr/>
        <w:t>​</w:t>
      </w:r>
    </w:p>
    <w:p>
      <w:pPr>
        <w:pStyle w:val="TextBody"/>
        <w:bidi w:val="0"/>
        <w:spacing w:before="0" w:after="0"/>
        <w:ind w:left="0" w:right="0" w:firstLine="360"/>
        <w:jc w:val="both"/>
        <w:rPr/>
      </w:pPr>
      <w:r>
        <w:rPr/>
        <w:t>​</w:t>
      </w:r>
    </w:p>
    <w:p>
      <w:pPr>
        <w:pStyle w:val="TextBody"/>
        <w:bidi w:val="0"/>
        <w:spacing w:before="0" w:after="0"/>
        <w:ind w:left="0" w:right="0" w:firstLine="360"/>
        <w:jc w:val="both"/>
        <w:rPr/>
      </w:pPr>
      <w:r>
        <w:rPr/>
        <w:t>​</w:t>
      </w:r>
    </w:p>
    <w:p>
      <w:pPr>
        <w:pStyle w:val="TextBody"/>
        <w:bidi w:val="0"/>
        <w:spacing w:before="0" w:after="240"/>
        <w:ind w:left="720" w:right="0" w:hanging="0"/>
        <w:jc w:val="left"/>
        <w:rPr>
          <w:rFonts w:ascii="Times New Roman;Times;serif" w:hAnsi="Times New Roman;Times;serif"/>
          <w:b/>
          <w:sz w:val="20"/>
        </w:rPr>
      </w:pPr>
      <w:r>
        <w:rPr>
          <w:rFonts w:ascii="Times New Roman;Times;serif" w:hAnsi="Times New Roman;Times;serif"/>
          <w:b/>
          <w:sz w:val="20"/>
        </w:rPr>
        <w:t xml:space="preserve">Six Months Ended June 30, 2026 Compared to the Six Months Ended June 30, 2025 </w:t>
      </w:r>
    </w:p>
    <w:p>
      <w:pPr>
        <w:pStyle w:val="TextBody"/>
        <w:bidi w:val="0"/>
        <w:spacing w:before="0" w:after="0"/>
        <w:ind w:left="0" w:right="0" w:firstLine="360"/>
        <w:jc w:val="both"/>
        <w:rPr>
          <w:rFonts w:ascii="Times New Roman;Times;serif" w:hAnsi="Times New Roman;Times;serif"/>
          <w:b/>
          <w:sz w:val="20"/>
        </w:rPr>
      </w:pPr>
      <w:r>
        <w:rPr>
          <w:rFonts w:ascii="Times New Roman;Times;serif" w:hAnsi="Times New Roman;Times;serif"/>
          <w:b/>
          <w:sz w:val="20"/>
        </w:rPr>
        <w:t>Revenues</w:t>
      </w:r>
    </w:p>
    <w:tbl>
      <w:tblPr>
        <w:tblW w:w="7208" w:type="dxa"/>
        <w:jc w:val="left"/>
        <w:tblInd w:w="0" w:type="dxa"/>
        <w:tblLayout w:type="fixed"/>
        <w:tblCellMar>
          <w:top w:w="0" w:type="dxa"/>
          <w:left w:w="0" w:type="dxa"/>
          <w:bottom w:w="0" w:type="dxa"/>
          <w:right w:w="0" w:type="dxa"/>
        </w:tblCellMar>
      </w:tblPr>
      <w:tblGrid>
        <w:gridCol w:w="1951"/>
        <w:gridCol w:w="346"/>
        <w:gridCol w:w="211"/>
        <w:gridCol w:w="781"/>
        <w:gridCol w:w="346"/>
        <w:gridCol w:w="211"/>
        <w:gridCol w:w="781"/>
        <w:gridCol w:w="346"/>
        <w:gridCol w:w="238"/>
        <w:gridCol w:w="764"/>
        <w:gridCol w:w="391"/>
        <w:gridCol w:w="526"/>
        <w:gridCol w:w="316"/>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1238885" cy="175260"/>
                      <wp:effectExtent l="0" t="0" r="0" b="0"/>
                      <wp:wrapNone/>
                      <wp:docPr id="599" name="Frame599"/>
                      <a:graphic xmlns:a="http://schemas.openxmlformats.org/drawingml/2006/main">
                        <a:graphicData uri="http://schemas.microsoft.com/office/word/2010/wordprocessingShape">
                          <wps:wsp>
                            <wps:cNvSpPr txBox="1"/>
                            <wps:spPr>
                              <a:xfrm>
                                <a:off x="0" y="0"/>
                                <a:ext cx="1238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219710" cy="175260"/>
                      <wp:effectExtent l="0" t="0" r="0" b="0"/>
                      <wp:wrapNone/>
                      <wp:docPr id="600" name="Frame6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133985" cy="175260"/>
                      <wp:effectExtent l="0" t="0" r="0" b="0"/>
                      <wp:wrapNone/>
                      <wp:docPr id="601" name="Frame6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495935" cy="175260"/>
                      <wp:effectExtent l="0" t="0" r="0" b="0"/>
                      <wp:wrapNone/>
                      <wp:docPr id="602" name="Frame60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219710" cy="175260"/>
                      <wp:effectExtent l="0" t="0" r="0" b="0"/>
                      <wp:wrapNone/>
                      <wp:docPr id="603" name="Frame6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133985" cy="175260"/>
                      <wp:effectExtent l="0" t="0" r="0" b="0"/>
                      <wp:wrapNone/>
                      <wp:docPr id="604" name="Frame6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495935" cy="175260"/>
                      <wp:effectExtent l="0" t="0" r="0" b="0"/>
                      <wp:wrapNone/>
                      <wp:docPr id="605" name="Frame60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219710" cy="175260"/>
                      <wp:effectExtent l="0" t="0" r="0" b="0"/>
                      <wp:wrapNone/>
                      <wp:docPr id="606" name="Frame6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151130" cy="175260"/>
                      <wp:effectExtent l="0" t="0" r="0" b="0"/>
                      <wp:wrapNone/>
                      <wp:docPr id="607" name="Frame607"/>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485140" cy="175260"/>
                      <wp:effectExtent l="0" t="0" r="0" b="0"/>
                      <wp:wrapNone/>
                      <wp:docPr id="608" name="Frame608"/>
                      <a:graphic xmlns:a="http://schemas.openxmlformats.org/drawingml/2006/main">
                        <a:graphicData uri="http://schemas.microsoft.com/office/word/2010/wordprocessingShape">
                          <wps:wsp>
                            <wps:cNvSpPr txBox="1"/>
                            <wps:spPr>
                              <a:xfrm>
                                <a:off x="0" y="0"/>
                                <a:ext cx="485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0">
                      <wp:simplePos x="0" y="0"/>
                      <wp:positionH relativeFrom="character">
                        <wp:align>left</wp:align>
                      </wp:positionH>
                      <wp:positionV relativeFrom="line">
                        <wp:posOffset>635</wp:posOffset>
                      </wp:positionV>
                      <wp:extent cx="248285" cy="175260"/>
                      <wp:effectExtent l="0" t="0" r="0" b="0"/>
                      <wp:wrapNone/>
                      <wp:docPr id="609" name="Frame609"/>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1">
                      <wp:simplePos x="0" y="0"/>
                      <wp:positionH relativeFrom="character">
                        <wp:align>left</wp:align>
                      </wp:positionH>
                      <wp:positionV relativeFrom="line">
                        <wp:posOffset>635</wp:posOffset>
                      </wp:positionV>
                      <wp:extent cx="334010" cy="175260"/>
                      <wp:effectExtent l="0" t="0" r="0" b="0"/>
                      <wp:wrapNone/>
                      <wp:docPr id="610" name="Frame610"/>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2">
                      <wp:simplePos x="0" y="0"/>
                      <wp:positionH relativeFrom="character">
                        <wp:align>left</wp:align>
                      </wp:positionH>
                      <wp:positionV relativeFrom="line">
                        <wp:posOffset>635</wp:posOffset>
                      </wp:positionV>
                      <wp:extent cx="200660" cy="175260"/>
                      <wp:effectExtent l="0" t="0" r="0" b="0"/>
                      <wp:wrapNone/>
                      <wp:docPr id="611" name="Frame611"/>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3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764" w:type="dxa"/>
            <w:tcBorders/>
            <w:vAlign w:val="center"/>
          </w:tcPr>
          <w:p>
            <w:pPr>
              <w:pStyle w:val="TableContents"/>
              <w:bidi w:val="0"/>
              <w:spacing w:before="0" w:after="0"/>
              <w:ind w:left="0" w:right="0" w:hanging="0"/>
              <w:jc w:val="center"/>
              <w:rPr/>
            </w:pPr>
            <w:r>
              <w:rPr/>
              <w:t>​</w:t>
            </w:r>
          </w:p>
        </w:tc>
        <w:tc>
          <w:tcPr>
            <w:tcW w:w="39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764" w:type="dxa"/>
            <w:tcBorders/>
            <w:vAlign w:val="center"/>
          </w:tcPr>
          <w:p>
            <w:pPr>
              <w:pStyle w:val="TableContents"/>
              <w:bidi w:val="0"/>
              <w:spacing w:before="0" w:after="0"/>
              <w:ind w:left="0" w:right="0" w:hanging="0"/>
              <w:jc w:val="center"/>
              <w:rPr/>
            </w:pPr>
            <w:r>
              <w:rPr/>
              <w:t>​</w:t>
            </w:r>
          </w:p>
        </w:tc>
        <w:tc>
          <w:tcPr>
            <w:tcW w:w="39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91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Year-Over-Year Change</w:t>
            </w:r>
          </w:p>
        </w:tc>
        <w:tc>
          <w:tcPr>
            <w:tcW w:w="316" w:type="dxa"/>
            <w:tcBorders/>
            <w:vAlign w:val="center"/>
          </w:tcPr>
          <w:p>
            <w:pPr>
              <w:pStyle w:val="TableContents"/>
              <w:bidi w:val="0"/>
              <w:spacing w:before="0" w:after="0"/>
              <w:ind w:left="0" w:right="0" w:hanging="0"/>
              <w:jc w:val="center"/>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 ​ ​</w:t>
            </w:r>
          </w:p>
        </w:tc>
        <w:tc>
          <w:tcPr>
            <w:tcW w:w="238" w:type="dxa"/>
            <w:tcBorders/>
            <w:vAlign w:val="center"/>
          </w:tcPr>
          <w:p>
            <w:pPr>
              <w:pStyle w:val="TableContents"/>
              <w:bidi w:val="0"/>
              <w:spacing w:before="0" w:after="0"/>
              <w:ind w:left="0" w:right="0" w:hanging="0"/>
              <w:jc w:val="left"/>
              <w:rPr/>
            </w:pPr>
            <w:r>
              <w:rPr/>
              <w:t>​</w:t>
            </w:r>
          </w:p>
        </w:tc>
        <w:tc>
          <w:tcPr>
            <w:tcW w:w="764" w:type="dxa"/>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left"/>
              <w:rPr/>
            </w:pPr>
            <w:r>
              <w:rPr/>
              <w:t>  ​ ​ ​</w:t>
            </w:r>
          </w:p>
        </w:tc>
        <w:tc>
          <w:tcPr>
            <w:tcW w:w="526" w:type="dxa"/>
            <w:tcBorders/>
            <w:vAlign w:val="center"/>
          </w:tcPr>
          <w:p>
            <w:pPr>
              <w:pStyle w:val="TableContents"/>
              <w:bidi w:val="0"/>
              <w:spacing w:before="0" w:after="0"/>
              <w:ind w:left="0" w:right="0" w:hanging="0"/>
              <w:jc w:val="right"/>
              <w:rPr/>
            </w:pPr>
            <w:r>
              <w:rPr/>
              <w:t>  ​</w:t>
            </w:r>
          </w:p>
        </w:tc>
        <w:tc>
          <w:tcPr>
            <w:tcW w:w="316" w:type="dxa"/>
            <w:tcBorders/>
            <w:vAlign w:val="center"/>
          </w:tcPr>
          <w:p>
            <w:pPr>
              <w:pStyle w:val="TableContents"/>
              <w:bidi w:val="0"/>
              <w:spacing w:before="0" w:after="0"/>
              <w:ind w:left="0" w:right="0" w:hanging="0"/>
              <w:jc w:val="right"/>
              <w:rPr/>
            </w:pPr>
            <w:r>
              <w:rPr/>
              <w:t>​</w:t>
            </w:r>
          </w:p>
        </w:tc>
      </w:tr>
      <w:tr>
        <w:trPr/>
        <w:tc>
          <w:tcPr>
            <w:tcW w:w="19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Software subscriptions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341,899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308,605</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33,294</w:t>
            </w:r>
          </w:p>
        </w:tc>
        <w:tc>
          <w:tcPr>
            <w:tcW w:w="391"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58,717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53,016</w:t>
            </w:r>
          </w:p>
        </w:tc>
        <w:tc>
          <w:tcPr>
            <w:tcW w:w="346" w:type="dxa"/>
            <w:tcBorders/>
            <w:vAlign w:val="center"/>
          </w:tcPr>
          <w:p>
            <w:pPr>
              <w:pStyle w:val="TableContents"/>
              <w:bidi w:val="0"/>
              <w:spacing w:before="0" w:after="0"/>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5,701</w:t>
            </w:r>
          </w:p>
        </w:tc>
        <w:tc>
          <w:tcPr>
            <w:tcW w:w="391"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9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400,616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361,621</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38,995</w:t>
            </w:r>
          </w:p>
        </w:tc>
        <w:tc>
          <w:tcPr>
            <w:tcW w:w="391"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Revenues increased $39.0 million, or 10.8%, to $400.6 million for the six months ended June 30, 2026 compared to $361.6 million for the same period in 2025. The increase in software subscriptions revenues of $33.3 million, or 10.8%, was primarily driven by increases from our existing customers through cross-selling new products, and to a lesser extent, increases due to expanded use and price increases. Software subscriptions revenues derived from new customers averaged 6.0% and 8.3% of total software subscriptions revenues in the six months ended June 30, 2026 and 2025, respectively.</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$5.7 million increase in services revenues was primarily driven by a $3.3 million increase in recurring services revenues due to returns processing volume increases related to customer business growth and regulatory changes as customers expanded their tax filings into more jurisdictions, as well as an increase in interest received from our funds held for customers. Additionally, our managed services offering experienced a $2.4 million increase in service revenues associated with the growth in subscription revenues, which includes new customers implementing our solutions and existing customers upgrading to newer versions of our solutions. </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b/>
          <w:sz w:val="20"/>
        </w:rPr>
      </w:pPr>
      <w:r>
        <w:rPr>
          <w:rFonts w:ascii="Times New Roman;Times;serif" w:hAnsi="Times New Roman;Times;serif"/>
          <w:b/>
          <w:sz w:val="20"/>
        </w:rPr>
        <w:t xml:space="preserve">Cost of Software Subscriptions Revenues </w:t>
      </w:r>
    </w:p>
    <w:tbl>
      <w:tblPr>
        <w:tblW w:w="8468" w:type="dxa"/>
        <w:jc w:val="left"/>
        <w:tblInd w:w="0" w:type="dxa"/>
        <w:tblLayout w:type="fixed"/>
        <w:tblCellMar>
          <w:top w:w="0" w:type="dxa"/>
          <w:left w:w="0" w:type="dxa"/>
          <w:bottom w:w="0" w:type="dxa"/>
          <w:right w:w="0" w:type="dxa"/>
        </w:tblCellMar>
      </w:tblPr>
      <w:tblGrid>
        <w:gridCol w:w="3316"/>
        <w:gridCol w:w="346"/>
        <w:gridCol w:w="211"/>
        <w:gridCol w:w="781"/>
        <w:gridCol w:w="346"/>
        <w:gridCol w:w="211"/>
        <w:gridCol w:w="676"/>
        <w:gridCol w:w="346"/>
        <w:gridCol w:w="238"/>
        <w:gridCol w:w="764"/>
        <w:gridCol w:w="391"/>
        <w:gridCol w:w="526"/>
        <w:gridCol w:w="316"/>
      </w:tblGrid>
      <w:tr>
        <w:trPr/>
        <w:tc>
          <w:tcPr>
            <w:tcW w:w="3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3">
                      <wp:simplePos x="0" y="0"/>
                      <wp:positionH relativeFrom="character">
                        <wp:align>left</wp:align>
                      </wp:positionH>
                      <wp:positionV relativeFrom="line">
                        <wp:posOffset>635</wp:posOffset>
                      </wp:positionV>
                      <wp:extent cx="2105660" cy="175260"/>
                      <wp:effectExtent l="0" t="0" r="0" b="0"/>
                      <wp:wrapNone/>
                      <wp:docPr id="612" name="Frame612"/>
                      <a:graphic xmlns:a="http://schemas.openxmlformats.org/drawingml/2006/main">
                        <a:graphicData uri="http://schemas.microsoft.com/office/word/2010/wordprocessingShape">
                          <wps:wsp>
                            <wps:cNvSpPr txBox="1"/>
                            <wps:spPr>
                              <a:xfrm>
                                <a:off x="0" y="0"/>
                                <a:ext cx="2105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4">
                      <wp:simplePos x="0" y="0"/>
                      <wp:positionH relativeFrom="character">
                        <wp:align>left</wp:align>
                      </wp:positionH>
                      <wp:positionV relativeFrom="line">
                        <wp:posOffset>635</wp:posOffset>
                      </wp:positionV>
                      <wp:extent cx="219710" cy="175260"/>
                      <wp:effectExtent l="0" t="0" r="0" b="0"/>
                      <wp:wrapNone/>
                      <wp:docPr id="613" name="Frame6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5">
                      <wp:simplePos x="0" y="0"/>
                      <wp:positionH relativeFrom="character">
                        <wp:align>left</wp:align>
                      </wp:positionH>
                      <wp:positionV relativeFrom="line">
                        <wp:posOffset>635</wp:posOffset>
                      </wp:positionV>
                      <wp:extent cx="133985" cy="175260"/>
                      <wp:effectExtent l="0" t="0" r="0" b="0"/>
                      <wp:wrapNone/>
                      <wp:docPr id="614" name="Frame6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6">
                      <wp:simplePos x="0" y="0"/>
                      <wp:positionH relativeFrom="character">
                        <wp:align>left</wp:align>
                      </wp:positionH>
                      <wp:positionV relativeFrom="line">
                        <wp:posOffset>635</wp:posOffset>
                      </wp:positionV>
                      <wp:extent cx="495935" cy="175260"/>
                      <wp:effectExtent l="0" t="0" r="0" b="0"/>
                      <wp:wrapNone/>
                      <wp:docPr id="615" name="Frame61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7">
                      <wp:simplePos x="0" y="0"/>
                      <wp:positionH relativeFrom="character">
                        <wp:align>left</wp:align>
                      </wp:positionH>
                      <wp:positionV relativeFrom="line">
                        <wp:posOffset>635</wp:posOffset>
                      </wp:positionV>
                      <wp:extent cx="219710" cy="175260"/>
                      <wp:effectExtent l="0" t="0" r="0" b="0"/>
                      <wp:wrapNone/>
                      <wp:docPr id="616" name="Frame6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8">
                      <wp:simplePos x="0" y="0"/>
                      <wp:positionH relativeFrom="character">
                        <wp:align>left</wp:align>
                      </wp:positionH>
                      <wp:positionV relativeFrom="line">
                        <wp:posOffset>635</wp:posOffset>
                      </wp:positionV>
                      <wp:extent cx="133985" cy="175260"/>
                      <wp:effectExtent l="0" t="0" r="0" b="0"/>
                      <wp:wrapNone/>
                      <wp:docPr id="617" name="Frame6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9">
                      <wp:simplePos x="0" y="0"/>
                      <wp:positionH relativeFrom="character">
                        <wp:align>left</wp:align>
                      </wp:positionH>
                      <wp:positionV relativeFrom="line">
                        <wp:posOffset>635</wp:posOffset>
                      </wp:positionV>
                      <wp:extent cx="429260" cy="175260"/>
                      <wp:effectExtent l="0" t="0" r="0" b="0"/>
                      <wp:wrapNone/>
                      <wp:docPr id="618" name="Frame61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0">
                      <wp:simplePos x="0" y="0"/>
                      <wp:positionH relativeFrom="character">
                        <wp:align>left</wp:align>
                      </wp:positionH>
                      <wp:positionV relativeFrom="line">
                        <wp:posOffset>635</wp:posOffset>
                      </wp:positionV>
                      <wp:extent cx="219710" cy="175260"/>
                      <wp:effectExtent l="0" t="0" r="0" b="0"/>
                      <wp:wrapNone/>
                      <wp:docPr id="619" name="Frame6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1">
                      <wp:simplePos x="0" y="0"/>
                      <wp:positionH relativeFrom="character">
                        <wp:align>left</wp:align>
                      </wp:positionH>
                      <wp:positionV relativeFrom="line">
                        <wp:posOffset>635</wp:posOffset>
                      </wp:positionV>
                      <wp:extent cx="151130" cy="175260"/>
                      <wp:effectExtent l="0" t="0" r="0" b="0"/>
                      <wp:wrapNone/>
                      <wp:docPr id="620" name="Frame620"/>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2">
                      <wp:simplePos x="0" y="0"/>
                      <wp:positionH relativeFrom="character">
                        <wp:align>left</wp:align>
                      </wp:positionH>
                      <wp:positionV relativeFrom="line">
                        <wp:posOffset>635</wp:posOffset>
                      </wp:positionV>
                      <wp:extent cx="485140" cy="175260"/>
                      <wp:effectExtent l="0" t="0" r="0" b="0"/>
                      <wp:wrapNone/>
                      <wp:docPr id="621" name="Frame621"/>
                      <a:graphic xmlns:a="http://schemas.openxmlformats.org/drawingml/2006/main">
                        <a:graphicData uri="http://schemas.microsoft.com/office/word/2010/wordprocessingShape">
                          <wps:wsp>
                            <wps:cNvSpPr txBox="1"/>
                            <wps:spPr>
                              <a:xfrm>
                                <a:off x="0" y="0"/>
                                <a:ext cx="485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3">
                      <wp:simplePos x="0" y="0"/>
                      <wp:positionH relativeFrom="character">
                        <wp:align>left</wp:align>
                      </wp:positionH>
                      <wp:positionV relativeFrom="line">
                        <wp:posOffset>635</wp:posOffset>
                      </wp:positionV>
                      <wp:extent cx="248285" cy="175260"/>
                      <wp:effectExtent l="0" t="0" r="0" b="0"/>
                      <wp:wrapNone/>
                      <wp:docPr id="622" name="Frame622"/>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4">
                      <wp:simplePos x="0" y="0"/>
                      <wp:positionH relativeFrom="character">
                        <wp:align>left</wp:align>
                      </wp:positionH>
                      <wp:positionV relativeFrom="line">
                        <wp:posOffset>635</wp:posOffset>
                      </wp:positionV>
                      <wp:extent cx="334010" cy="175260"/>
                      <wp:effectExtent l="0" t="0" r="0" b="0"/>
                      <wp:wrapNone/>
                      <wp:docPr id="623" name="Frame623"/>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5">
                      <wp:simplePos x="0" y="0"/>
                      <wp:positionH relativeFrom="character">
                        <wp:align>left</wp:align>
                      </wp:positionH>
                      <wp:positionV relativeFrom="line">
                        <wp:posOffset>635</wp:posOffset>
                      </wp:positionV>
                      <wp:extent cx="200660" cy="175260"/>
                      <wp:effectExtent l="0" t="0" r="0" b="0"/>
                      <wp:wrapNone/>
                      <wp:docPr id="624" name="Frame62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2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764" w:type="dxa"/>
            <w:tcBorders/>
            <w:vAlign w:val="center"/>
          </w:tcPr>
          <w:p>
            <w:pPr>
              <w:pStyle w:val="TableContents"/>
              <w:bidi w:val="0"/>
              <w:spacing w:before="0" w:after="0"/>
              <w:ind w:left="0" w:right="0" w:hanging="0"/>
              <w:jc w:val="center"/>
              <w:rPr/>
            </w:pPr>
            <w:r>
              <w:rPr/>
              <w:t>​</w:t>
            </w:r>
          </w:p>
        </w:tc>
        <w:tc>
          <w:tcPr>
            <w:tcW w:w="39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33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764" w:type="dxa"/>
            <w:tcBorders/>
            <w:vAlign w:val="center"/>
          </w:tcPr>
          <w:p>
            <w:pPr>
              <w:pStyle w:val="TableContents"/>
              <w:bidi w:val="0"/>
              <w:spacing w:before="0" w:after="0"/>
              <w:ind w:left="0" w:right="0" w:hanging="0"/>
              <w:jc w:val="center"/>
              <w:rPr/>
            </w:pPr>
            <w:r>
              <w:rPr/>
              <w:t>​</w:t>
            </w:r>
          </w:p>
        </w:tc>
        <w:tc>
          <w:tcPr>
            <w:tcW w:w="39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left"/>
              <w:rPr/>
            </w:pPr>
            <w:r>
              <w:rPr/>
              <w:t> </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91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Year-Over-Year Change</w:t>
            </w:r>
          </w:p>
        </w:tc>
        <w:tc>
          <w:tcPr>
            <w:tcW w:w="316" w:type="dxa"/>
            <w:tcBorders/>
            <w:vAlign w:val="center"/>
          </w:tcPr>
          <w:p>
            <w:pPr>
              <w:pStyle w:val="TableContents"/>
              <w:bidi w:val="0"/>
              <w:spacing w:before="0" w:after="0"/>
              <w:ind w:left="0" w:right="0" w:hanging="0"/>
              <w:jc w:val="left"/>
              <w:rPr/>
            </w:pPr>
            <w:r>
              <w:rPr/>
              <w:t> </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software subscriptions revenues</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103,346</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88,704</w:t>
            </w:r>
          </w:p>
        </w:tc>
        <w:tc>
          <w:tcPr>
            <w:tcW w:w="346" w:type="dxa"/>
            <w:tcBorders/>
            <w:shd w:fill="CCEEFF" w:val="clear"/>
            <w:vAlign w:val="center"/>
          </w:tcPr>
          <w:p>
            <w:pPr>
              <w:pStyle w:val="TableContents"/>
              <w:bidi w:val="0"/>
              <w:spacing w:before="0" w:after="0"/>
              <w:ind w:left="0" w:right="0" w:hanging="0"/>
              <w:jc w:val="left"/>
              <w:rPr/>
            </w:pPr>
            <w:r>
              <w:rPr/>
              <w:t>  ​ ​ ​</w:t>
            </w:r>
          </w:p>
        </w:tc>
        <w:tc>
          <w:tcPr>
            <w:tcW w:w="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14,642</w:t>
            </w:r>
          </w:p>
        </w:tc>
        <w:tc>
          <w:tcPr>
            <w:tcW w:w="391" w:type="dxa"/>
            <w:tcBorders/>
            <w:shd w:fill="CCEEFF" w:val="clear"/>
            <w:vAlign w:val="center"/>
          </w:tcPr>
          <w:p>
            <w:pPr>
              <w:pStyle w:val="TableContents"/>
              <w:bidi w:val="0"/>
              <w:spacing w:before="0" w:after="0"/>
              <w:ind w:left="0" w:right="0" w:hanging="0"/>
              <w:jc w:val="left"/>
              <w:rPr/>
            </w:pPr>
            <w:r>
              <w:rPr/>
              <w:t>  ​ ​ ​</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36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Cost of software subscriptions revenues increased $14.6 million, or 16.5%, to $103.3 million for the six months ended June 30, 2026 compared to $88.7 million for the same period in 2025. The increase was primarily driven by a $9.4 million increase in depreciation and amortization of capitalized software and acquired intangible assets associated with our ongoing investments in internal-use software for cloud-based subscription solutions, software developed for sale for new products and enhancements to existing products, and costs associated with the increased amortization of acquired intangible assets. Additionally, there was a $5.2 million increase in costs of personnel supporting period-over-period growth of sales and customers, ongoing infrastructure investments and support costs to enable the continued expansion of customer transaction volumes for our cloud-based subscription customers.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b/>
          <w:sz w:val="20"/>
        </w:rPr>
      </w:pPr>
      <w:r>
        <w:rPr>
          <w:rFonts w:ascii="Times New Roman;Times;serif" w:hAnsi="Times New Roman;Times;serif"/>
          <w:b/>
          <w:sz w:val="20"/>
        </w:rPr>
        <w:t xml:space="preserve">Cost of Services Revenues </w:t>
      </w:r>
    </w:p>
    <w:tbl>
      <w:tblPr>
        <w:tblW w:w="7208" w:type="dxa"/>
        <w:jc w:val="left"/>
        <w:tblInd w:w="0" w:type="dxa"/>
        <w:tblLayout w:type="fixed"/>
        <w:tblCellMar>
          <w:top w:w="0" w:type="dxa"/>
          <w:left w:w="0" w:type="dxa"/>
          <w:bottom w:w="0" w:type="dxa"/>
          <w:right w:w="0" w:type="dxa"/>
        </w:tblCellMar>
      </w:tblPr>
      <w:tblGrid>
        <w:gridCol w:w="2161"/>
        <w:gridCol w:w="346"/>
        <w:gridCol w:w="211"/>
        <w:gridCol w:w="676"/>
        <w:gridCol w:w="346"/>
        <w:gridCol w:w="211"/>
        <w:gridCol w:w="676"/>
        <w:gridCol w:w="346"/>
        <w:gridCol w:w="272"/>
        <w:gridCol w:w="736"/>
        <w:gridCol w:w="446"/>
        <w:gridCol w:w="465"/>
        <w:gridCol w:w="316"/>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6">
                      <wp:simplePos x="0" y="0"/>
                      <wp:positionH relativeFrom="character">
                        <wp:align>left</wp:align>
                      </wp:positionH>
                      <wp:positionV relativeFrom="line">
                        <wp:posOffset>635</wp:posOffset>
                      </wp:positionV>
                      <wp:extent cx="1372235" cy="175260"/>
                      <wp:effectExtent l="0" t="0" r="0" b="0"/>
                      <wp:wrapNone/>
                      <wp:docPr id="625" name="Frame625"/>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7">
                      <wp:simplePos x="0" y="0"/>
                      <wp:positionH relativeFrom="character">
                        <wp:align>left</wp:align>
                      </wp:positionH>
                      <wp:positionV relativeFrom="line">
                        <wp:posOffset>635</wp:posOffset>
                      </wp:positionV>
                      <wp:extent cx="219710" cy="175260"/>
                      <wp:effectExtent l="0" t="0" r="0" b="0"/>
                      <wp:wrapNone/>
                      <wp:docPr id="626" name="Frame6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8">
                      <wp:simplePos x="0" y="0"/>
                      <wp:positionH relativeFrom="character">
                        <wp:align>left</wp:align>
                      </wp:positionH>
                      <wp:positionV relativeFrom="line">
                        <wp:posOffset>635</wp:posOffset>
                      </wp:positionV>
                      <wp:extent cx="133985" cy="175260"/>
                      <wp:effectExtent l="0" t="0" r="0" b="0"/>
                      <wp:wrapNone/>
                      <wp:docPr id="627" name="Frame6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9">
                      <wp:simplePos x="0" y="0"/>
                      <wp:positionH relativeFrom="character">
                        <wp:align>left</wp:align>
                      </wp:positionH>
                      <wp:positionV relativeFrom="line">
                        <wp:posOffset>635</wp:posOffset>
                      </wp:positionV>
                      <wp:extent cx="429260" cy="175260"/>
                      <wp:effectExtent l="0" t="0" r="0" b="0"/>
                      <wp:wrapNone/>
                      <wp:docPr id="628" name="Frame62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0">
                      <wp:simplePos x="0" y="0"/>
                      <wp:positionH relativeFrom="character">
                        <wp:align>left</wp:align>
                      </wp:positionH>
                      <wp:positionV relativeFrom="line">
                        <wp:posOffset>635</wp:posOffset>
                      </wp:positionV>
                      <wp:extent cx="219710" cy="175260"/>
                      <wp:effectExtent l="0" t="0" r="0" b="0"/>
                      <wp:wrapNone/>
                      <wp:docPr id="629" name="Frame6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1">
                      <wp:simplePos x="0" y="0"/>
                      <wp:positionH relativeFrom="character">
                        <wp:align>left</wp:align>
                      </wp:positionH>
                      <wp:positionV relativeFrom="line">
                        <wp:posOffset>635</wp:posOffset>
                      </wp:positionV>
                      <wp:extent cx="133985" cy="175260"/>
                      <wp:effectExtent l="0" t="0" r="0" b="0"/>
                      <wp:wrapNone/>
                      <wp:docPr id="630" name="Frame6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2">
                      <wp:simplePos x="0" y="0"/>
                      <wp:positionH relativeFrom="character">
                        <wp:align>left</wp:align>
                      </wp:positionH>
                      <wp:positionV relativeFrom="line">
                        <wp:posOffset>635</wp:posOffset>
                      </wp:positionV>
                      <wp:extent cx="429260" cy="175260"/>
                      <wp:effectExtent l="0" t="0" r="0" b="0"/>
                      <wp:wrapNone/>
                      <wp:docPr id="631" name="Frame63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3">
                      <wp:simplePos x="0" y="0"/>
                      <wp:positionH relativeFrom="character">
                        <wp:align>left</wp:align>
                      </wp:positionH>
                      <wp:positionV relativeFrom="line">
                        <wp:posOffset>635</wp:posOffset>
                      </wp:positionV>
                      <wp:extent cx="219710" cy="175260"/>
                      <wp:effectExtent l="0" t="0" r="0" b="0"/>
                      <wp:wrapNone/>
                      <wp:docPr id="632" name="Frame6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4">
                      <wp:simplePos x="0" y="0"/>
                      <wp:positionH relativeFrom="character">
                        <wp:align>left</wp:align>
                      </wp:positionH>
                      <wp:positionV relativeFrom="line">
                        <wp:posOffset>635</wp:posOffset>
                      </wp:positionV>
                      <wp:extent cx="172720" cy="175260"/>
                      <wp:effectExtent l="0" t="0" r="0" b="0"/>
                      <wp:wrapNone/>
                      <wp:docPr id="633" name="Frame633"/>
                      <a:graphic xmlns:a="http://schemas.openxmlformats.org/drawingml/2006/main">
                        <a:graphicData uri="http://schemas.microsoft.com/office/word/2010/wordprocessingShape">
                          <wps:wsp>
                            <wps:cNvSpPr txBox="1"/>
                            <wps:spPr>
                              <a:xfrm>
                                <a:off x="0" y="0"/>
                                <a:ext cx="172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5">
                      <wp:simplePos x="0" y="0"/>
                      <wp:positionH relativeFrom="character">
                        <wp:align>left</wp:align>
                      </wp:positionH>
                      <wp:positionV relativeFrom="line">
                        <wp:posOffset>635</wp:posOffset>
                      </wp:positionV>
                      <wp:extent cx="467360" cy="175260"/>
                      <wp:effectExtent l="0" t="0" r="0" b="0"/>
                      <wp:wrapNone/>
                      <wp:docPr id="634" name="Frame634"/>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6">
                      <wp:simplePos x="0" y="0"/>
                      <wp:positionH relativeFrom="character">
                        <wp:align>left</wp:align>
                      </wp:positionH>
                      <wp:positionV relativeFrom="line">
                        <wp:posOffset>635</wp:posOffset>
                      </wp:positionV>
                      <wp:extent cx="283210" cy="175260"/>
                      <wp:effectExtent l="0" t="0" r="0" b="0"/>
                      <wp:wrapNone/>
                      <wp:docPr id="635" name="Frame635"/>
                      <a:graphic xmlns:a="http://schemas.openxmlformats.org/drawingml/2006/main">
                        <a:graphicData uri="http://schemas.microsoft.com/office/word/2010/wordprocessingShape">
                          <wps:wsp>
                            <wps:cNvSpPr txBox="1"/>
                            <wps:spPr>
                              <a:xfrm>
                                <a:off x="0" y="0"/>
                                <a:ext cx="283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7">
                      <wp:simplePos x="0" y="0"/>
                      <wp:positionH relativeFrom="character">
                        <wp:align>left</wp:align>
                      </wp:positionH>
                      <wp:positionV relativeFrom="line">
                        <wp:posOffset>635</wp:posOffset>
                      </wp:positionV>
                      <wp:extent cx="295275" cy="175260"/>
                      <wp:effectExtent l="0" t="0" r="0" b="0"/>
                      <wp:wrapNone/>
                      <wp:docPr id="636" name="Frame636"/>
                      <a:graphic xmlns:a="http://schemas.openxmlformats.org/drawingml/2006/main">
                        <a:graphicData uri="http://schemas.microsoft.com/office/word/2010/wordprocessingShape">
                          <wps:wsp>
                            <wps:cNvSpPr txBox="1"/>
                            <wps:spPr>
                              <a:xfrm>
                                <a:off x="0" y="0"/>
                                <a:ext cx="295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8">
                      <wp:simplePos x="0" y="0"/>
                      <wp:positionH relativeFrom="character">
                        <wp:align>left</wp:align>
                      </wp:positionH>
                      <wp:positionV relativeFrom="line">
                        <wp:posOffset>635</wp:posOffset>
                      </wp:positionV>
                      <wp:extent cx="200660" cy="175260"/>
                      <wp:effectExtent l="0" t="0" r="0" b="0"/>
                      <wp:wrapNone/>
                      <wp:docPr id="637" name="Frame637"/>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2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c>
          <w:tcPr>
            <w:tcW w:w="346"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446" w:type="dxa"/>
            <w:tcBorders/>
            <w:vAlign w:val="center"/>
          </w:tcPr>
          <w:p>
            <w:pPr>
              <w:pStyle w:val="TableContents"/>
              <w:bidi w:val="0"/>
              <w:spacing w:before="0" w:after="0"/>
              <w:ind w:left="0" w:right="0" w:hanging="0"/>
              <w:jc w:val="left"/>
              <w:rPr/>
            </w:pPr>
            <w:r>
              <w:rPr/>
              <w:t>​</w:t>
            </w:r>
          </w:p>
        </w:tc>
        <w:tc>
          <w:tcPr>
            <w:tcW w:w="465"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21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446" w:type="dxa"/>
            <w:tcBorders/>
            <w:vAlign w:val="center"/>
          </w:tcPr>
          <w:p>
            <w:pPr>
              <w:pStyle w:val="TableContents"/>
              <w:bidi w:val="0"/>
              <w:spacing w:before="0" w:after="0"/>
              <w:ind w:left="0" w:right="0" w:hanging="0"/>
              <w:jc w:val="left"/>
              <w:rPr/>
            </w:pPr>
            <w:r>
              <w:rPr/>
              <w:t>​</w:t>
            </w:r>
          </w:p>
        </w:tc>
        <w:tc>
          <w:tcPr>
            <w:tcW w:w="465"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91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Year-Over-Year Change</w:t>
            </w:r>
          </w:p>
        </w:tc>
        <w:tc>
          <w:tcPr>
            <w:tcW w:w="316" w:type="dxa"/>
            <w:tcBorders/>
            <w:vAlign w:val="center"/>
          </w:tcPr>
          <w:p>
            <w:pPr>
              <w:pStyle w:val="TableContents"/>
              <w:bidi w:val="0"/>
              <w:spacing w:before="0" w:after="0"/>
              <w:ind w:left="0" w:right="0" w:hanging="0"/>
              <w:jc w:val="center"/>
              <w:rPr/>
            </w:pPr>
            <w:r>
              <w:rPr/>
              <w:t>​</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services revenues</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41,101</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38,723</w:t>
            </w:r>
          </w:p>
        </w:tc>
        <w:tc>
          <w:tcPr>
            <w:tcW w:w="346" w:type="dxa"/>
            <w:tcBorders/>
            <w:shd w:fill="CCEEFF" w:val="clear"/>
            <w:vAlign w:val="center"/>
          </w:tcPr>
          <w:p>
            <w:pPr>
              <w:pStyle w:val="TableContents"/>
              <w:bidi w:val="0"/>
              <w:spacing w:before="0" w:after="0"/>
              <w:ind w:left="0" w:right="0" w:hanging="0"/>
              <w:jc w:val="left"/>
              <w:rPr/>
            </w:pPr>
            <w:r>
              <w:rPr/>
              <w:t>  ​ ​ ​</w:t>
            </w:r>
          </w:p>
        </w:tc>
        <w:tc>
          <w:tcPr>
            <w:tcW w:w="2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2,378</w:t>
            </w:r>
          </w:p>
        </w:tc>
        <w:tc>
          <w:tcPr>
            <w:tcW w:w="446" w:type="dxa"/>
            <w:tcBorders/>
            <w:shd w:fill="CCEEFF" w:val="clear"/>
            <w:vAlign w:val="center"/>
          </w:tcPr>
          <w:p>
            <w:pPr>
              <w:pStyle w:val="TableContents"/>
              <w:bidi w:val="0"/>
              <w:spacing w:before="0" w:after="0"/>
              <w:ind w:left="0" w:right="0" w:hanging="0"/>
              <w:jc w:val="left"/>
              <w:rPr/>
            </w:pPr>
            <w:r>
              <w:rPr/>
              <w:t>  ​ ​ ​</w:t>
            </w:r>
          </w:p>
        </w:tc>
        <w:tc>
          <w:tcPr>
            <w:tcW w:w="4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Cost of services revenues increased $2.4 million, or 6.1%, to $41.1 million for the six months ended June 30, 2026, compared to $38.7 million for the same period in 2025. The increase was primarily due to an increase in costs of service delivery personnel to support revenue growth in software subscription-related services and our managed services offering.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b/>
          <w:sz w:val="20"/>
        </w:rPr>
      </w:pPr>
      <w:r>
        <w:rPr>
          <w:rFonts w:ascii="Times New Roman;Times;serif" w:hAnsi="Times New Roman;Times;serif"/>
          <w:b/>
          <w:sz w:val="20"/>
        </w:rPr>
        <w:t xml:space="preserve">Research and Development </w:t>
      </w:r>
    </w:p>
    <w:tbl>
      <w:tblPr>
        <w:tblW w:w="7358" w:type="dxa"/>
        <w:jc w:val="left"/>
        <w:tblInd w:w="0" w:type="dxa"/>
        <w:tblLayout w:type="fixed"/>
        <w:tblCellMar>
          <w:top w:w="0" w:type="dxa"/>
          <w:left w:w="0" w:type="dxa"/>
          <w:bottom w:w="0" w:type="dxa"/>
          <w:right w:w="0" w:type="dxa"/>
        </w:tblCellMar>
      </w:tblPr>
      <w:tblGrid>
        <w:gridCol w:w="2311"/>
        <w:gridCol w:w="346"/>
        <w:gridCol w:w="211"/>
        <w:gridCol w:w="676"/>
        <w:gridCol w:w="346"/>
        <w:gridCol w:w="211"/>
        <w:gridCol w:w="676"/>
        <w:gridCol w:w="346"/>
        <w:gridCol w:w="290"/>
        <w:gridCol w:w="786"/>
        <w:gridCol w:w="201"/>
        <w:gridCol w:w="642"/>
        <w:gridCol w:w="316"/>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9">
                      <wp:simplePos x="0" y="0"/>
                      <wp:positionH relativeFrom="character">
                        <wp:align>left</wp:align>
                      </wp:positionH>
                      <wp:positionV relativeFrom="line">
                        <wp:posOffset>635</wp:posOffset>
                      </wp:positionV>
                      <wp:extent cx="1467485" cy="175260"/>
                      <wp:effectExtent l="0" t="0" r="0" b="0"/>
                      <wp:wrapNone/>
                      <wp:docPr id="638" name="Frame638"/>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0">
                      <wp:simplePos x="0" y="0"/>
                      <wp:positionH relativeFrom="character">
                        <wp:align>left</wp:align>
                      </wp:positionH>
                      <wp:positionV relativeFrom="line">
                        <wp:posOffset>635</wp:posOffset>
                      </wp:positionV>
                      <wp:extent cx="219710" cy="175260"/>
                      <wp:effectExtent l="0" t="0" r="0" b="0"/>
                      <wp:wrapNone/>
                      <wp:docPr id="639" name="Frame6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1">
                      <wp:simplePos x="0" y="0"/>
                      <wp:positionH relativeFrom="character">
                        <wp:align>left</wp:align>
                      </wp:positionH>
                      <wp:positionV relativeFrom="line">
                        <wp:posOffset>635</wp:posOffset>
                      </wp:positionV>
                      <wp:extent cx="133985" cy="175260"/>
                      <wp:effectExtent l="0" t="0" r="0" b="0"/>
                      <wp:wrapNone/>
                      <wp:docPr id="640" name="Frame6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2">
                      <wp:simplePos x="0" y="0"/>
                      <wp:positionH relativeFrom="character">
                        <wp:align>left</wp:align>
                      </wp:positionH>
                      <wp:positionV relativeFrom="line">
                        <wp:posOffset>635</wp:posOffset>
                      </wp:positionV>
                      <wp:extent cx="429260" cy="175260"/>
                      <wp:effectExtent l="0" t="0" r="0" b="0"/>
                      <wp:wrapNone/>
                      <wp:docPr id="641" name="Frame64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3">
                      <wp:simplePos x="0" y="0"/>
                      <wp:positionH relativeFrom="character">
                        <wp:align>left</wp:align>
                      </wp:positionH>
                      <wp:positionV relativeFrom="line">
                        <wp:posOffset>635</wp:posOffset>
                      </wp:positionV>
                      <wp:extent cx="219710" cy="175260"/>
                      <wp:effectExtent l="0" t="0" r="0" b="0"/>
                      <wp:wrapNone/>
                      <wp:docPr id="642" name="Frame6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4">
                      <wp:simplePos x="0" y="0"/>
                      <wp:positionH relativeFrom="character">
                        <wp:align>left</wp:align>
                      </wp:positionH>
                      <wp:positionV relativeFrom="line">
                        <wp:posOffset>635</wp:posOffset>
                      </wp:positionV>
                      <wp:extent cx="133985" cy="175260"/>
                      <wp:effectExtent l="0" t="0" r="0" b="0"/>
                      <wp:wrapNone/>
                      <wp:docPr id="643" name="Frame6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5">
                      <wp:simplePos x="0" y="0"/>
                      <wp:positionH relativeFrom="character">
                        <wp:align>left</wp:align>
                      </wp:positionH>
                      <wp:positionV relativeFrom="line">
                        <wp:posOffset>635</wp:posOffset>
                      </wp:positionV>
                      <wp:extent cx="429260" cy="175260"/>
                      <wp:effectExtent l="0" t="0" r="0" b="0"/>
                      <wp:wrapNone/>
                      <wp:docPr id="644" name="Frame64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6">
                      <wp:simplePos x="0" y="0"/>
                      <wp:positionH relativeFrom="character">
                        <wp:align>left</wp:align>
                      </wp:positionH>
                      <wp:positionV relativeFrom="line">
                        <wp:posOffset>635</wp:posOffset>
                      </wp:positionV>
                      <wp:extent cx="219710" cy="175260"/>
                      <wp:effectExtent l="0" t="0" r="0" b="0"/>
                      <wp:wrapNone/>
                      <wp:docPr id="645" name="Frame6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7">
                      <wp:simplePos x="0" y="0"/>
                      <wp:positionH relativeFrom="character">
                        <wp:align>left</wp:align>
                      </wp:positionH>
                      <wp:positionV relativeFrom="line">
                        <wp:posOffset>635</wp:posOffset>
                      </wp:positionV>
                      <wp:extent cx="184150" cy="175260"/>
                      <wp:effectExtent l="0" t="0" r="0" b="0"/>
                      <wp:wrapNone/>
                      <wp:docPr id="646" name="Frame646"/>
                      <a:graphic xmlns:a="http://schemas.openxmlformats.org/drawingml/2006/main">
                        <a:graphicData uri="http://schemas.microsoft.com/office/word/2010/wordprocessingShape">
                          <wps:wsp>
                            <wps:cNvSpPr txBox="1"/>
                            <wps:spPr>
                              <a:xfrm>
                                <a:off x="0" y="0"/>
                                <a:ext cx="184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8">
                      <wp:simplePos x="0" y="0"/>
                      <wp:positionH relativeFrom="character">
                        <wp:align>left</wp:align>
                      </wp:positionH>
                      <wp:positionV relativeFrom="line">
                        <wp:posOffset>635</wp:posOffset>
                      </wp:positionV>
                      <wp:extent cx="499110" cy="175260"/>
                      <wp:effectExtent l="0" t="0" r="0" b="0"/>
                      <wp:wrapNone/>
                      <wp:docPr id="647" name="Frame647"/>
                      <a:graphic xmlns:a="http://schemas.openxmlformats.org/drawingml/2006/main">
                        <a:graphicData uri="http://schemas.microsoft.com/office/word/2010/wordprocessingShape">
                          <wps:wsp>
                            <wps:cNvSpPr txBox="1"/>
                            <wps:spPr>
                              <a:xfrm>
                                <a:off x="0" y="0"/>
                                <a:ext cx="499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9">
                      <wp:simplePos x="0" y="0"/>
                      <wp:positionH relativeFrom="character">
                        <wp:align>left</wp:align>
                      </wp:positionH>
                      <wp:positionV relativeFrom="line">
                        <wp:posOffset>635</wp:posOffset>
                      </wp:positionV>
                      <wp:extent cx="127635" cy="175260"/>
                      <wp:effectExtent l="0" t="0" r="0" b="0"/>
                      <wp:wrapNone/>
                      <wp:docPr id="648" name="Frame648"/>
                      <a:graphic xmlns:a="http://schemas.openxmlformats.org/drawingml/2006/main">
                        <a:graphicData uri="http://schemas.microsoft.com/office/word/2010/wordprocessingShape">
                          <wps:wsp>
                            <wps:cNvSpPr txBox="1"/>
                            <wps:spPr>
                              <a:xfrm>
                                <a:off x="0" y="0"/>
                                <a:ext cx="127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0">
                      <wp:simplePos x="0" y="0"/>
                      <wp:positionH relativeFrom="character">
                        <wp:align>left</wp:align>
                      </wp:positionH>
                      <wp:positionV relativeFrom="line">
                        <wp:posOffset>635</wp:posOffset>
                      </wp:positionV>
                      <wp:extent cx="407670" cy="175260"/>
                      <wp:effectExtent l="0" t="0" r="0" b="0"/>
                      <wp:wrapNone/>
                      <wp:docPr id="649" name="Frame649"/>
                      <a:graphic xmlns:a="http://schemas.openxmlformats.org/drawingml/2006/main">
                        <a:graphicData uri="http://schemas.microsoft.com/office/word/2010/wordprocessingShape">
                          <wps:wsp>
                            <wps:cNvSpPr txBox="1"/>
                            <wps:spPr>
                              <a:xfrm>
                                <a:off x="0" y="0"/>
                                <a:ext cx="407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1">
                      <wp:simplePos x="0" y="0"/>
                      <wp:positionH relativeFrom="character">
                        <wp:align>left</wp:align>
                      </wp:positionH>
                      <wp:positionV relativeFrom="line">
                        <wp:posOffset>635</wp:posOffset>
                      </wp:positionV>
                      <wp:extent cx="200660" cy="175260"/>
                      <wp:effectExtent l="0" t="0" r="0" b="0"/>
                      <wp:wrapNone/>
                      <wp:docPr id="650" name="Frame650"/>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2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center"/>
              <w:rPr/>
            </w:pPr>
            <w:r>
              <w:rPr/>
              <w:t>​</w:t>
            </w:r>
          </w:p>
        </w:tc>
        <w:tc>
          <w:tcPr>
            <w:tcW w:w="201" w:type="dxa"/>
            <w:tcBorders/>
            <w:vAlign w:val="center"/>
          </w:tcPr>
          <w:p>
            <w:pPr>
              <w:pStyle w:val="TableContents"/>
              <w:bidi w:val="0"/>
              <w:spacing w:before="0" w:after="0"/>
              <w:ind w:left="0" w:right="0" w:hanging="0"/>
              <w:jc w:val="left"/>
              <w:rPr/>
            </w:pPr>
            <w:r>
              <w:rPr/>
              <w:t>​</w:t>
            </w:r>
          </w:p>
        </w:tc>
        <w:tc>
          <w:tcPr>
            <w:tcW w:w="642"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2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center"/>
              <w:rPr/>
            </w:pPr>
            <w:r>
              <w:rPr/>
              <w:t>​</w:t>
            </w:r>
          </w:p>
        </w:tc>
        <w:tc>
          <w:tcPr>
            <w:tcW w:w="201" w:type="dxa"/>
            <w:tcBorders/>
            <w:vAlign w:val="center"/>
          </w:tcPr>
          <w:p>
            <w:pPr>
              <w:pStyle w:val="TableContents"/>
              <w:bidi w:val="0"/>
              <w:spacing w:before="0" w:after="0"/>
              <w:ind w:left="0" w:right="0" w:hanging="0"/>
              <w:jc w:val="left"/>
              <w:rPr/>
            </w:pPr>
            <w:r>
              <w:rPr/>
              <w:t>​</w:t>
            </w:r>
          </w:p>
        </w:tc>
        <w:tc>
          <w:tcPr>
            <w:tcW w:w="642"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left"/>
              <w:rPr/>
            </w:pPr>
            <w:r>
              <w:rPr/>
              <w:t> </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91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Year-Over-Year Change</w:t>
            </w:r>
          </w:p>
        </w:tc>
        <w:tc>
          <w:tcPr>
            <w:tcW w:w="316" w:type="dxa"/>
            <w:tcBorders/>
            <w:vAlign w:val="center"/>
          </w:tcPr>
          <w:p>
            <w:pPr>
              <w:pStyle w:val="TableContents"/>
              <w:bidi w:val="0"/>
              <w:spacing w:before="0" w:after="0"/>
              <w:ind w:left="0" w:right="0" w:hanging="0"/>
              <w:jc w:val="left"/>
              <w:rPr/>
            </w:pPr>
            <w:r>
              <w:rPr/>
              <w:t> </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49,355</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41,468</w:t>
            </w:r>
          </w:p>
        </w:tc>
        <w:tc>
          <w:tcPr>
            <w:tcW w:w="346" w:type="dxa"/>
            <w:tcBorders/>
            <w:shd w:fill="CCEEFF" w:val="clear"/>
            <w:vAlign w:val="center"/>
          </w:tcPr>
          <w:p>
            <w:pPr>
              <w:pStyle w:val="TableContents"/>
              <w:bidi w:val="0"/>
              <w:spacing w:before="0" w:after="0"/>
              <w:ind w:left="0" w:right="0" w:hanging="0"/>
              <w:jc w:val="left"/>
              <w:rPr/>
            </w:pPr>
            <w:r>
              <w:rPr/>
              <w:t>  ​ ​ ​</w:t>
            </w:r>
          </w:p>
        </w:tc>
        <w:tc>
          <w:tcPr>
            <w:tcW w:w="2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7,887</w:t>
            </w:r>
          </w:p>
        </w:tc>
        <w:tc>
          <w:tcPr>
            <w:tcW w:w="201" w:type="dxa"/>
            <w:tcBorders/>
            <w:shd w:fill="CCEEFF" w:val="clear"/>
            <w:vAlign w:val="center"/>
          </w:tcPr>
          <w:p>
            <w:pPr>
              <w:pStyle w:val="TableContents"/>
              <w:bidi w:val="0"/>
              <w:spacing w:before="0" w:after="0"/>
              <w:ind w:left="0" w:right="0" w:hanging="0"/>
              <w:jc w:val="left"/>
              <w:rPr/>
            </w:pPr>
            <w:r>
              <w:rPr/>
              <w:t> </w:t>
            </w:r>
          </w:p>
        </w:tc>
        <w:tc>
          <w:tcPr>
            <w:tcW w:w="6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Research and development expenses increased $7.9 million, or 19.0%, to $49.4 million for the six months ended June 30, 2026 compared to $41.5 million for the same period in 2025. This increase in research and development expenses was primarily due to an increase in personnel costs related to development work associated with new solutions to address end-to-end data analysis and compliance needs of our customers, and continued expansion of connectors and application program interfaces to customer ERP and other software platforms. Additionally, this increase reflects additional research and development investments related to the commercialization of our AI-based Smart Categorization product, other AI-related internal tools and new product initiatives, and other emerging technologies.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b/>
          <w:sz w:val="20"/>
        </w:rPr>
      </w:pPr>
      <w:r>
        <w:rPr>
          <w:rFonts w:ascii="Times New Roman;Times;serif" w:hAnsi="Times New Roman;Times;serif"/>
          <w:b/>
          <w:sz w:val="20"/>
        </w:rPr>
        <w:t xml:space="preserve">Selling and Marketing </w:t>
      </w:r>
    </w:p>
    <w:tbl>
      <w:tblPr>
        <w:tblW w:w="7073" w:type="dxa"/>
        <w:jc w:val="left"/>
        <w:tblInd w:w="0" w:type="dxa"/>
        <w:tblLayout w:type="fixed"/>
        <w:tblCellMar>
          <w:top w:w="0" w:type="dxa"/>
          <w:left w:w="0" w:type="dxa"/>
          <w:bottom w:w="0" w:type="dxa"/>
          <w:right w:w="0" w:type="dxa"/>
        </w:tblCellMar>
      </w:tblPr>
      <w:tblGrid>
        <w:gridCol w:w="1921"/>
        <w:gridCol w:w="346"/>
        <w:gridCol w:w="211"/>
        <w:gridCol w:w="781"/>
        <w:gridCol w:w="346"/>
        <w:gridCol w:w="211"/>
        <w:gridCol w:w="676"/>
        <w:gridCol w:w="346"/>
        <w:gridCol w:w="272"/>
        <w:gridCol w:w="736"/>
        <w:gridCol w:w="446"/>
        <w:gridCol w:w="465"/>
        <w:gridCol w:w="316"/>
      </w:tblGrid>
      <w:tr>
        <w:trPr/>
        <w:tc>
          <w:tcPr>
            <w:tcW w:w="1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2">
                      <wp:simplePos x="0" y="0"/>
                      <wp:positionH relativeFrom="character">
                        <wp:align>left</wp:align>
                      </wp:positionH>
                      <wp:positionV relativeFrom="line">
                        <wp:posOffset>635</wp:posOffset>
                      </wp:positionV>
                      <wp:extent cx="1219835" cy="175260"/>
                      <wp:effectExtent l="0" t="0" r="0" b="0"/>
                      <wp:wrapNone/>
                      <wp:docPr id="651" name="Frame651"/>
                      <a:graphic xmlns:a="http://schemas.openxmlformats.org/drawingml/2006/main">
                        <a:graphicData uri="http://schemas.microsoft.com/office/word/2010/wordprocessingShape">
                          <wps:wsp>
                            <wps:cNvSpPr txBox="1"/>
                            <wps:spPr>
                              <a:xfrm>
                                <a:off x="0" y="0"/>
                                <a:ext cx="1219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3">
                      <wp:simplePos x="0" y="0"/>
                      <wp:positionH relativeFrom="character">
                        <wp:align>left</wp:align>
                      </wp:positionH>
                      <wp:positionV relativeFrom="line">
                        <wp:posOffset>635</wp:posOffset>
                      </wp:positionV>
                      <wp:extent cx="219710" cy="175260"/>
                      <wp:effectExtent l="0" t="0" r="0" b="0"/>
                      <wp:wrapNone/>
                      <wp:docPr id="652" name="Frame6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4">
                      <wp:simplePos x="0" y="0"/>
                      <wp:positionH relativeFrom="character">
                        <wp:align>left</wp:align>
                      </wp:positionH>
                      <wp:positionV relativeFrom="line">
                        <wp:posOffset>635</wp:posOffset>
                      </wp:positionV>
                      <wp:extent cx="133985" cy="175260"/>
                      <wp:effectExtent l="0" t="0" r="0" b="0"/>
                      <wp:wrapNone/>
                      <wp:docPr id="653" name="Frame6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5">
                      <wp:simplePos x="0" y="0"/>
                      <wp:positionH relativeFrom="character">
                        <wp:align>left</wp:align>
                      </wp:positionH>
                      <wp:positionV relativeFrom="line">
                        <wp:posOffset>635</wp:posOffset>
                      </wp:positionV>
                      <wp:extent cx="495935" cy="175260"/>
                      <wp:effectExtent l="0" t="0" r="0" b="0"/>
                      <wp:wrapNone/>
                      <wp:docPr id="654" name="Frame65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6">
                      <wp:simplePos x="0" y="0"/>
                      <wp:positionH relativeFrom="character">
                        <wp:align>left</wp:align>
                      </wp:positionH>
                      <wp:positionV relativeFrom="line">
                        <wp:posOffset>635</wp:posOffset>
                      </wp:positionV>
                      <wp:extent cx="219710" cy="175260"/>
                      <wp:effectExtent l="0" t="0" r="0" b="0"/>
                      <wp:wrapNone/>
                      <wp:docPr id="655" name="Frame6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7">
                      <wp:simplePos x="0" y="0"/>
                      <wp:positionH relativeFrom="character">
                        <wp:align>left</wp:align>
                      </wp:positionH>
                      <wp:positionV relativeFrom="line">
                        <wp:posOffset>635</wp:posOffset>
                      </wp:positionV>
                      <wp:extent cx="133985" cy="175260"/>
                      <wp:effectExtent l="0" t="0" r="0" b="0"/>
                      <wp:wrapNone/>
                      <wp:docPr id="656" name="Frame6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8">
                      <wp:simplePos x="0" y="0"/>
                      <wp:positionH relativeFrom="character">
                        <wp:align>left</wp:align>
                      </wp:positionH>
                      <wp:positionV relativeFrom="line">
                        <wp:posOffset>635</wp:posOffset>
                      </wp:positionV>
                      <wp:extent cx="429260" cy="175260"/>
                      <wp:effectExtent l="0" t="0" r="0" b="0"/>
                      <wp:wrapNone/>
                      <wp:docPr id="657" name="Frame65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9">
                      <wp:simplePos x="0" y="0"/>
                      <wp:positionH relativeFrom="character">
                        <wp:align>left</wp:align>
                      </wp:positionH>
                      <wp:positionV relativeFrom="line">
                        <wp:posOffset>635</wp:posOffset>
                      </wp:positionV>
                      <wp:extent cx="219710" cy="175260"/>
                      <wp:effectExtent l="0" t="0" r="0" b="0"/>
                      <wp:wrapNone/>
                      <wp:docPr id="658" name="Frame6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0">
                      <wp:simplePos x="0" y="0"/>
                      <wp:positionH relativeFrom="character">
                        <wp:align>left</wp:align>
                      </wp:positionH>
                      <wp:positionV relativeFrom="line">
                        <wp:posOffset>635</wp:posOffset>
                      </wp:positionV>
                      <wp:extent cx="172720" cy="175260"/>
                      <wp:effectExtent l="0" t="0" r="0" b="0"/>
                      <wp:wrapNone/>
                      <wp:docPr id="659" name="Frame659"/>
                      <a:graphic xmlns:a="http://schemas.openxmlformats.org/drawingml/2006/main">
                        <a:graphicData uri="http://schemas.microsoft.com/office/word/2010/wordprocessingShape">
                          <wps:wsp>
                            <wps:cNvSpPr txBox="1"/>
                            <wps:spPr>
                              <a:xfrm>
                                <a:off x="0" y="0"/>
                                <a:ext cx="172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1">
                      <wp:simplePos x="0" y="0"/>
                      <wp:positionH relativeFrom="character">
                        <wp:align>left</wp:align>
                      </wp:positionH>
                      <wp:positionV relativeFrom="line">
                        <wp:posOffset>635</wp:posOffset>
                      </wp:positionV>
                      <wp:extent cx="467360" cy="175260"/>
                      <wp:effectExtent l="0" t="0" r="0" b="0"/>
                      <wp:wrapNone/>
                      <wp:docPr id="660" name="Frame660"/>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2">
                      <wp:simplePos x="0" y="0"/>
                      <wp:positionH relativeFrom="character">
                        <wp:align>left</wp:align>
                      </wp:positionH>
                      <wp:positionV relativeFrom="line">
                        <wp:posOffset>635</wp:posOffset>
                      </wp:positionV>
                      <wp:extent cx="283210" cy="175260"/>
                      <wp:effectExtent l="0" t="0" r="0" b="0"/>
                      <wp:wrapNone/>
                      <wp:docPr id="661" name="Frame661"/>
                      <a:graphic xmlns:a="http://schemas.openxmlformats.org/drawingml/2006/main">
                        <a:graphicData uri="http://schemas.microsoft.com/office/word/2010/wordprocessingShape">
                          <wps:wsp>
                            <wps:cNvSpPr txBox="1"/>
                            <wps:spPr>
                              <a:xfrm>
                                <a:off x="0" y="0"/>
                                <a:ext cx="283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3">
                      <wp:simplePos x="0" y="0"/>
                      <wp:positionH relativeFrom="character">
                        <wp:align>left</wp:align>
                      </wp:positionH>
                      <wp:positionV relativeFrom="line">
                        <wp:posOffset>635</wp:posOffset>
                      </wp:positionV>
                      <wp:extent cx="295275" cy="175260"/>
                      <wp:effectExtent l="0" t="0" r="0" b="0"/>
                      <wp:wrapNone/>
                      <wp:docPr id="662" name="Frame662"/>
                      <a:graphic xmlns:a="http://schemas.openxmlformats.org/drawingml/2006/main">
                        <a:graphicData uri="http://schemas.microsoft.com/office/word/2010/wordprocessingShape">
                          <wps:wsp>
                            <wps:cNvSpPr txBox="1"/>
                            <wps:spPr>
                              <a:xfrm>
                                <a:off x="0" y="0"/>
                                <a:ext cx="295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4">
                      <wp:simplePos x="0" y="0"/>
                      <wp:positionH relativeFrom="character">
                        <wp:align>left</wp:align>
                      </wp:positionH>
                      <wp:positionV relativeFrom="line">
                        <wp:posOffset>635</wp:posOffset>
                      </wp:positionV>
                      <wp:extent cx="200660" cy="175260"/>
                      <wp:effectExtent l="0" t="0" r="0" b="0"/>
                      <wp:wrapNone/>
                      <wp:docPr id="663" name="Frame66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2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c>
          <w:tcPr>
            <w:tcW w:w="346"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446" w:type="dxa"/>
            <w:tcBorders/>
            <w:vAlign w:val="center"/>
          </w:tcPr>
          <w:p>
            <w:pPr>
              <w:pStyle w:val="TableContents"/>
              <w:bidi w:val="0"/>
              <w:spacing w:before="0" w:after="0"/>
              <w:ind w:left="0" w:right="0" w:hanging="0"/>
              <w:jc w:val="left"/>
              <w:rPr/>
            </w:pPr>
            <w:r>
              <w:rPr/>
              <w:t>​</w:t>
            </w:r>
          </w:p>
        </w:tc>
        <w:tc>
          <w:tcPr>
            <w:tcW w:w="465"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19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446" w:type="dxa"/>
            <w:tcBorders/>
            <w:vAlign w:val="center"/>
          </w:tcPr>
          <w:p>
            <w:pPr>
              <w:pStyle w:val="TableContents"/>
              <w:bidi w:val="0"/>
              <w:spacing w:before="0" w:after="0"/>
              <w:ind w:left="0" w:right="0" w:hanging="0"/>
              <w:jc w:val="left"/>
              <w:rPr/>
            </w:pPr>
            <w:r>
              <w:rPr/>
              <w:t>​</w:t>
            </w:r>
          </w:p>
        </w:tc>
        <w:tc>
          <w:tcPr>
            <w:tcW w:w="465"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left"/>
              <w:rPr/>
            </w:pPr>
            <w:r>
              <w:rPr/>
              <w:t> </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91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Year-Over-Year Change</w:t>
            </w:r>
          </w:p>
        </w:tc>
        <w:tc>
          <w:tcPr>
            <w:tcW w:w="316" w:type="dxa"/>
            <w:tcBorders/>
            <w:vAlign w:val="center"/>
          </w:tcPr>
          <w:p>
            <w:pPr>
              <w:pStyle w:val="TableContents"/>
              <w:bidi w:val="0"/>
              <w:spacing w:before="0" w:after="0"/>
              <w:ind w:left="0" w:right="0" w:hanging="0"/>
              <w:jc w:val="left"/>
              <w:rPr/>
            </w:pPr>
            <w:r>
              <w:rPr/>
              <w:t> </w:t>
            </w:r>
          </w:p>
        </w:tc>
      </w:tr>
      <w:tr>
        <w:trPr/>
        <w:tc>
          <w:tcPr>
            <w:tcW w:w="1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104,534</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96,609</w:t>
            </w:r>
          </w:p>
        </w:tc>
        <w:tc>
          <w:tcPr>
            <w:tcW w:w="346" w:type="dxa"/>
            <w:tcBorders/>
            <w:shd w:fill="CCEEFF" w:val="clear"/>
            <w:vAlign w:val="center"/>
          </w:tcPr>
          <w:p>
            <w:pPr>
              <w:pStyle w:val="TableContents"/>
              <w:bidi w:val="0"/>
              <w:spacing w:before="0" w:after="0"/>
              <w:ind w:left="0" w:right="0" w:hanging="0"/>
              <w:jc w:val="left"/>
              <w:rPr/>
            </w:pPr>
            <w:r>
              <w:rPr/>
              <w:t>  ​ ​ ​</w:t>
            </w:r>
          </w:p>
        </w:tc>
        <w:tc>
          <w:tcPr>
            <w:tcW w:w="2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7,925</w:t>
            </w:r>
          </w:p>
        </w:tc>
        <w:tc>
          <w:tcPr>
            <w:tcW w:w="446" w:type="dxa"/>
            <w:tcBorders/>
            <w:shd w:fill="CCEEFF" w:val="clear"/>
            <w:vAlign w:val="center"/>
          </w:tcPr>
          <w:p>
            <w:pPr>
              <w:pStyle w:val="TableContents"/>
              <w:bidi w:val="0"/>
              <w:spacing w:before="0" w:after="0"/>
              <w:ind w:left="0" w:right="0" w:hanging="0"/>
              <w:jc w:val="left"/>
              <w:rPr/>
            </w:pPr>
            <w:r>
              <w:rPr/>
              <w:t>  ​ ​ ​</w:t>
            </w:r>
          </w:p>
        </w:tc>
        <w:tc>
          <w:tcPr>
            <w:tcW w:w="4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Selling and marketing expenses increased $7.9 million, or 8.2%, to $104.5 million for the six months ended June 30, 2026 compared to $96.6 million for the same period in 2025. This increase was primarily driven by a $6.3 million increase in payroll and related expenses associated with the growth in period-over-period subscription sales and services revenues and expansion of our partner and channel management programs. Additionally, there was an increase of $1.6 million in advertising and promotional spending related to expanded brand awareness efforts.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b/>
          <w:sz w:val="20"/>
        </w:rPr>
      </w:pPr>
      <w:r>
        <w:rPr>
          <w:rFonts w:ascii="Times New Roman;Times;serif" w:hAnsi="Times New Roman;Times;serif"/>
          <w:b/>
          <w:sz w:val="20"/>
        </w:rPr>
        <w:t>General and Administrative</w:t>
      </w:r>
    </w:p>
    <w:tbl>
      <w:tblPr>
        <w:tblW w:w="7463" w:type="dxa"/>
        <w:jc w:val="left"/>
        <w:tblInd w:w="0" w:type="dxa"/>
        <w:tblLayout w:type="fixed"/>
        <w:tblCellMar>
          <w:top w:w="0" w:type="dxa"/>
          <w:left w:w="0" w:type="dxa"/>
          <w:bottom w:w="0" w:type="dxa"/>
          <w:right w:w="0" w:type="dxa"/>
        </w:tblCellMar>
      </w:tblPr>
      <w:tblGrid>
        <w:gridCol w:w="2311"/>
        <w:gridCol w:w="346"/>
        <w:gridCol w:w="211"/>
        <w:gridCol w:w="781"/>
        <w:gridCol w:w="346"/>
        <w:gridCol w:w="211"/>
        <w:gridCol w:w="676"/>
        <w:gridCol w:w="346"/>
        <w:gridCol w:w="238"/>
        <w:gridCol w:w="764"/>
        <w:gridCol w:w="391"/>
        <w:gridCol w:w="526"/>
        <w:gridCol w:w="316"/>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5">
                      <wp:simplePos x="0" y="0"/>
                      <wp:positionH relativeFrom="character">
                        <wp:align>left</wp:align>
                      </wp:positionH>
                      <wp:positionV relativeFrom="line">
                        <wp:posOffset>635</wp:posOffset>
                      </wp:positionV>
                      <wp:extent cx="1467485" cy="175260"/>
                      <wp:effectExtent l="0" t="0" r="0" b="0"/>
                      <wp:wrapNone/>
                      <wp:docPr id="664" name="Frame664"/>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6">
                      <wp:simplePos x="0" y="0"/>
                      <wp:positionH relativeFrom="character">
                        <wp:align>left</wp:align>
                      </wp:positionH>
                      <wp:positionV relativeFrom="line">
                        <wp:posOffset>635</wp:posOffset>
                      </wp:positionV>
                      <wp:extent cx="219710" cy="175260"/>
                      <wp:effectExtent l="0" t="0" r="0" b="0"/>
                      <wp:wrapNone/>
                      <wp:docPr id="665" name="Frame6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7">
                      <wp:simplePos x="0" y="0"/>
                      <wp:positionH relativeFrom="character">
                        <wp:align>left</wp:align>
                      </wp:positionH>
                      <wp:positionV relativeFrom="line">
                        <wp:posOffset>635</wp:posOffset>
                      </wp:positionV>
                      <wp:extent cx="133985" cy="175260"/>
                      <wp:effectExtent l="0" t="0" r="0" b="0"/>
                      <wp:wrapNone/>
                      <wp:docPr id="666" name="Frame6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8">
                      <wp:simplePos x="0" y="0"/>
                      <wp:positionH relativeFrom="character">
                        <wp:align>left</wp:align>
                      </wp:positionH>
                      <wp:positionV relativeFrom="line">
                        <wp:posOffset>635</wp:posOffset>
                      </wp:positionV>
                      <wp:extent cx="495935" cy="175260"/>
                      <wp:effectExtent l="0" t="0" r="0" b="0"/>
                      <wp:wrapNone/>
                      <wp:docPr id="667" name="Frame66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9">
                      <wp:simplePos x="0" y="0"/>
                      <wp:positionH relativeFrom="character">
                        <wp:align>left</wp:align>
                      </wp:positionH>
                      <wp:positionV relativeFrom="line">
                        <wp:posOffset>635</wp:posOffset>
                      </wp:positionV>
                      <wp:extent cx="219710" cy="175260"/>
                      <wp:effectExtent l="0" t="0" r="0" b="0"/>
                      <wp:wrapNone/>
                      <wp:docPr id="668" name="Frame6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0">
                      <wp:simplePos x="0" y="0"/>
                      <wp:positionH relativeFrom="character">
                        <wp:align>left</wp:align>
                      </wp:positionH>
                      <wp:positionV relativeFrom="line">
                        <wp:posOffset>635</wp:posOffset>
                      </wp:positionV>
                      <wp:extent cx="133985" cy="175260"/>
                      <wp:effectExtent l="0" t="0" r="0" b="0"/>
                      <wp:wrapNone/>
                      <wp:docPr id="669" name="Frame6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1">
                      <wp:simplePos x="0" y="0"/>
                      <wp:positionH relativeFrom="character">
                        <wp:align>left</wp:align>
                      </wp:positionH>
                      <wp:positionV relativeFrom="line">
                        <wp:posOffset>635</wp:posOffset>
                      </wp:positionV>
                      <wp:extent cx="429260" cy="175260"/>
                      <wp:effectExtent l="0" t="0" r="0" b="0"/>
                      <wp:wrapNone/>
                      <wp:docPr id="670" name="Frame67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2">
                      <wp:simplePos x="0" y="0"/>
                      <wp:positionH relativeFrom="character">
                        <wp:align>left</wp:align>
                      </wp:positionH>
                      <wp:positionV relativeFrom="line">
                        <wp:posOffset>635</wp:posOffset>
                      </wp:positionV>
                      <wp:extent cx="219710" cy="175260"/>
                      <wp:effectExtent l="0" t="0" r="0" b="0"/>
                      <wp:wrapNone/>
                      <wp:docPr id="671" name="Frame6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3">
                      <wp:simplePos x="0" y="0"/>
                      <wp:positionH relativeFrom="character">
                        <wp:align>left</wp:align>
                      </wp:positionH>
                      <wp:positionV relativeFrom="line">
                        <wp:posOffset>635</wp:posOffset>
                      </wp:positionV>
                      <wp:extent cx="151130" cy="175260"/>
                      <wp:effectExtent l="0" t="0" r="0" b="0"/>
                      <wp:wrapNone/>
                      <wp:docPr id="672" name="Frame672"/>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4">
                      <wp:simplePos x="0" y="0"/>
                      <wp:positionH relativeFrom="character">
                        <wp:align>left</wp:align>
                      </wp:positionH>
                      <wp:positionV relativeFrom="line">
                        <wp:posOffset>635</wp:posOffset>
                      </wp:positionV>
                      <wp:extent cx="485140" cy="175260"/>
                      <wp:effectExtent l="0" t="0" r="0" b="0"/>
                      <wp:wrapNone/>
                      <wp:docPr id="673" name="Frame673"/>
                      <a:graphic xmlns:a="http://schemas.openxmlformats.org/drawingml/2006/main">
                        <a:graphicData uri="http://schemas.microsoft.com/office/word/2010/wordprocessingShape">
                          <wps:wsp>
                            <wps:cNvSpPr txBox="1"/>
                            <wps:spPr>
                              <a:xfrm>
                                <a:off x="0" y="0"/>
                                <a:ext cx="485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5">
                      <wp:simplePos x="0" y="0"/>
                      <wp:positionH relativeFrom="character">
                        <wp:align>left</wp:align>
                      </wp:positionH>
                      <wp:positionV relativeFrom="line">
                        <wp:posOffset>635</wp:posOffset>
                      </wp:positionV>
                      <wp:extent cx="248285" cy="175260"/>
                      <wp:effectExtent l="0" t="0" r="0" b="0"/>
                      <wp:wrapNone/>
                      <wp:docPr id="674" name="Frame674"/>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6">
                      <wp:simplePos x="0" y="0"/>
                      <wp:positionH relativeFrom="character">
                        <wp:align>left</wp:align>
                      </wp:positionH>
                      <wp:positionV relativeFrom="line">
                        <wp:posOffset>635</wp:posOffset>
                      </wp:positionV>
                      <wp:extent cx="334010" cy="175260"/>
                      <wp:effectExtent l="0" t="0" r="0" b="0"/>
                      <wp:wrapNone/>
                      <wp:docPr id="675" name="Frame675"/>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7">
                      <wp:simplePos x="0" y="0"/>
                      <wp:positionH relativeFrom="character">
                        <wp:align>left</wp:align>
                      </wp:positionH>
                      <wp:positionV relativeFrom="line">
                        <wp:posOffset>635</wp:posOffset>
                      </wp:positionV>
                      <wp:extent cx="200660" cy="175260"/>
                      <wp:effectExtent l="0" t="0" r="0" b="0"/>
                      <wp:wrapNone/>
                      <wp:docPr id="676" name="Frame67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2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764" w:type="dxa"/>
            <w:tcBorders/>
            <w:vAlign w:val="center"/>
          </w:tcPr>
          <w:p>
            <w:pPr>
              <w:pStyle w:val="TableContents"/>
              <w:bidi w:val="0"/>
              <w:spacing w:before="0" w:after="0"/>
              <w:ind w:left="0" w:right="0" w:hanging="0"/>
              <w:jc w:val="center"/>
              <w:rPr/>
            </w:pPr>
            <w:r>
              <w:rPr/>
              <w:t>​</w:t>
            </w:r>
          </w:p>
        </w:tc>
        <w:tc>
          <w:tcPr>
            <w:tcW w:w="39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2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764" w:type="dxa"/>
            <w:tcBorders/>
            <w:vAlign w:val="center"/>
          </w:tcPr>
          <w:p>
            <w:pPr>
              <w:pStyle w:val="TableContents"/>
              <w:bidi w:val="0"/>
              <w:spacing w:before="0" w:after="0"/>
              <w:ind w:left="0" w:right="0" w:hanging="0"/>
              <w:jc w:val="center"/>
              <w:rPr/>
            </w:pPr>
            <w:r>
              <w:rPr/>
              <w:t>​</w:t>
            </w:r>
          </w:p>
        </w:tc>
        <w:tc>
          <w:tcPr>
            <w:tcW w:w="39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91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Year-Over-Year Change</w:t>
            </w:r>
          </w:p>
        </w:tc>
        <w:tc>
          <w:tcPr>
            <w:tcW w:w="316" w:type="dxa"/>
            <w:tcBorders/>
            <w:vAlign w:val="center"/>
          </w:tcPr>
          <w:p>
            <w:pPr>
              <w:pStyle w:val="TableContents"/>
              <w:bidi w:val="0"/>
              <w:spacing w:before="0" w:after="0"/>
              <w:ind w:left="0" w:right="0" w:hanging="0"/>
              <w:jc w:val="center"/>
              <w:rPr/>
            </w:pPr>
            <w:r>
              <w:rPr/>
              <w:t>​</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105,481</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88,420</w:t>
            </w:r>
          </w:p>
        </w:tc>
        <w:tc>
          <w:tcPr>
            <w:tcW w:w="346" w:type="dxa"/>
            <w:tcBorders/>
            <w:shd w:fill="CCEEFF" w:val="clear"/>
            <w:vAlign w:val="center"/>
          </w:tcPr>
          <w:p>
            <w:pPr>
              <w:pStyle w:val="TableContents"/>
              <w:bidi w:val="0"/>
              <w:spacing w:before="0" w:after="0"/>
              <w:ind w:left="0" w:right="0" w:hanging="0"/>
              <w:jc w:val="left"/>
              <w:rPr/>
            </w:pPr>
            <w:r>
              <w:rPr/>
              <w:t>  ​ ​ ​</w:t>
            </w:r>
          </w:p>
        </w:tc>
        <w:tc>
          <w:tcPr>
            <w:tcW w:w="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17,061</w:t>
            </w:r>
          </w:p>
        </w:tc>
        <w:tc>
          <w:tcPr>
            <w:tcW w:w="391" w:type="dxa"/>
            <w:tcBorders/>
            <w:shd w:fill="CCEEFF" w:val="clear"/>
            <w:vAlign w:val="center"/>
          </w:tcPr>
          <w:p>
            <w:pPr>
              <w:pStyle w:val="TableContents"/>
              <w:bidi w:val="0"/>
              <w:spacing w:before="0" w:after="0"/>
              <w:ind w:left="0" w:right="0" w:hanging="0"/>
              <w:jc w:val="left"/>
              <w:rPr/>
            </w:pPr>
            <w:r>
              <w:rPr/>
              <w:t>  ​ ​ ​</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General and administrative expenses increased $17.1 million, or 19.3%, to $105.5 million for the six months ended June 30, 2026 compared to $88.4 million for the same period in 2025, primarily driven by planned strategic investments in information technology infrastructure, business process re-engineering and other initiatives to drive future operating leverage, as well as investments in employees, systems and other resources in support of our growth. Additionally, $7.9 million of severance expense and $8.8 million of execution costs related to our Value Creation Plan were recorded in the six months ended June 30, 2026. For further information, refer to Note 15, “Restructuring” to the condensed consolidated financial statements included in this Quarterly Report on Form 10-Q. The six months ended June 30, 2026 period also includes $1.7 million in compensation expense recognized related to the Additional Cash Consideration obligation associated with the acquisition of Brinta. For further information, refer to Note 3, “Acquisitions” to the condensed consolidated financial statements included in this Quarterly Report on Form 10-Q.</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Depreciation and Amortization</w:t>
      </w:r>
    </w:p>
    <w:tbl>
      <w:tblPr>
        <w:tblW w:w="7643" w:type="dxa"/>
        <w:jc w:val="left"/>
        <w:tblInd w:w="0" w:type="dxa"/>
        <w:tblLayout w:type="fixed"/>
        <w:tblCellMar>
          <w:top w:w="0" w:type="dxa"/>
          <w:left w:w="0" w:type="dxa"/>
          <w:bottom w:w="0" w:type="dxa"/>
          <w:right w:w="0" w:type="dxa"/>
        </w:tblCellMar>
      </w:tblPr>
      <w:tblGrid>
        <w:gridCol w:w="2596"/>
        <w:gridCol w:w="346"/>
        <w:gridCol w:w="211"/>
        <w:gridCol w:w="676"/>
        <w:gridCol w:w="346"/>
        <w:gridCol w:w="211"/>
        <w:gridCol w:w="676"/>
        <w:gridCol w:w="346"/>
        <w:gridCol w:w="272"/>
        <w:gridCol w:w="736"/>
        <w:gridCol w:w="446"/>
        <w:gridCol w:w="465"/>
        <w:gridCol w:w="316"/>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8">
                      <wp:simplePos x="0" y="0"/>
                      <wp:positionH relativeFrom="character">
                        <wp:align>left</wp:align>
                      </wp:positionH>
                      <wp:positionV relativeFrom="line">
                        <wp:posOffset>635</wp:posOffset>
                      </wp:positionV>
                      <wp:extent cx="1648460" cy="175260"/>
                      <wp:effectExtent l="0" t="0" r="0" b="0"/>
                      <wp:wrapNone/>
                      <wp:docPr id="677" name="Frame677"/>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9">
                      <wp:simplePos x="0" y="0"/>
                      <wp:positionH relativeFrom="character">
                        <wp:align>left</wp:align>
                      </wp:positionH>
                      <wp:positionV relativeFrom="line">
                        <wp:posOffset>635</wp:posOffset>
                      </wp:positionV>
                      <wp:extent cx="219710" cy="175260"/>
                      <wp:effectExtent l="0" t="0" r="0" b="0"/>
                      <wp:wrapNone/>
                      <wp:docPr id="678" name="Frame6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0">
                      <wp:simplePos x="0" y="0"/>
                      <wp:positionH relativeFrom="character">
                        <wp:align>left</wp:align>
                      </wp:positionH>
                      <wp:positionV relativeFrom="line">
                        <wp:posOffset>635</wp:posOffset>
                      </wp:positionV>
                      <wp:extent cx="133985" cy="175260"/>
                      <wp:effectExtent l="0" t="0" r="0" b="0"/>
                      <wp:wrapNone/>
                      <wp:docPr id="679" name="Frame6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1">
                      <wp:simplePos x="0" y="0"/>
                      <wp:positionH relativeFrom="character">
                        <wp:align>left</wp:align>
                      </wp:positionH>
                      <wp:positionV relativeFrom="line">
                        <wp:posOffset>635</wp:posOffset>
                      </wp:positionV>
                      <wp:extent cx="429260" cy="175260"/>
                      <wp:effectExtent l="0" t="0" r="0" b="0"/>
                      <wp:wrapNone/>
                      <wp:docPr id="680" name="Frame68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2">
                      <wp:simplePos x="0" y="0"/>
                      <wp:positionH relativeFrom="character">
                        <wp:align>left</wp:align>
                      </wp:positionH>
                      <wp:positionV relativeFrom="line">
                        <wp:posOffset>635</wp:posOffset>
                      </wp:positionV>
                      <wp:extent cx="219710" cy="175260"/>
                      <wp:effectExtent l="0" t="0" r="0" b="0"/>
                      <wp:wrapNone/>
                      <wp:docPr id="681" name="Frame6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3">
                      <wp:simplePos x="0" y="0"/>
                      <wp:positionH relativeFrom="character">
                        <wp:align>left</wp:align>
                      </wp:positionH>
                      <wp:positionV relativeFrom="line">
                        <wp:posOffset>635</wp:posOffset>
                      </wp:positionV>
                      <wp:extent cx="133985" cy="175260"/>
                      <wp:effectExtent l="0" t="0" r="0" b="0"/>
                      <wp:wrapNone/>
                      <wp:docPr id="682" name="Frame6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4">
                      <wp:simplePos x="0" y="0"/>
                      <wp:positionH relativeFrom="character">
                        <wp:align>left</wp:align>
                      </wp:positionH>
                      <wp:positionV relativeFrom="line">
                        <wp:posOffset>635</wp:posOffset>
                      </wp:positionV>
                      <wp:extent cx="429260" cy="175260"/>
                      <wp:effectExtent l="0" t="0" r="0" b="0"/>
                      <wp:wrapNone/>
                      <wp:docPr id="683" name="Frame68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5">
                      <wp:simplePos x="0" y="0"/>
                      <wp:positionH relativeFrom="character">
                        <wp:align>left</wp:align>
                      </wp:positionH>
                      <wp:positionV relativeFrom="line">
                        <wp:posOffset>635</wp:posOffset>
                      </wp:positionV>
                      <wp:extent cx="219710" cy="175260"/>
                      <wp:effectExtent l="0" t="0" r="0" b="0"/>
                      <wp:wrapNone/>
                      <wp:docPr id="684" name="Frame6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6">
                      <wp:simplePos x="0" y="0"/>
                      <wp:positionH relativeFrom="character">
                        <wp:align>left</wp:align>
                      </wp:positionH>
                      <wp:positionV relativeFrom="line">
                        <wp:posOffset>635</wp:posOffset>
                      </wp:positionV>
                      <wp:extent cx="172720" cy="175260"/>
                      <wp:effectExtent l="0" t="0" r="0" b="0"/>
                      <wp:wrapNone/>
                      <wp:docPr id="685" name="Frame685"/>
                      <a:graphic xmlns:a="http://schemas.openxmlformats.org/drawingml/2006/main">
                        <a:graphicData uri="http://schemas.microsoft.com/office/word/2010/wordprocessingShape">
                          <wps:wsp>
                            <wps:cNvSpPr txBox="1"/>
                            <wps:spPr>
                              <a:xfrm>
                                <a:off x="0" y="0"/>
                                <a:ext cx="172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7">
                      <wp:simplePos x="0" y="0"/>
                      <wp:positionH relativeFrom="character">
                        <wp:align>left</wp:align>
                      </wp:positionH>
                      <wp:positionV relativeFrom="line">
                        <wp:posOffset>635</wp:posOffset>
                      </wp:positionV>
                      <wp:extent cx="467360" cy="175260"/>
                      <wp:effectExtent l="0" t="0" r="0" b="0"/>
                      <wp:wrapNone/>
                      <wp:docPr id="686" name="Frame686"/>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8">
                      <wp:simplePos x="0" y="0"/>
                      <wp:positionH relativeFrom="character">
                        <wp:align>left</wp:align>
                      </wp:positionH>
                      <wp:positionV relativeFrom="line">
                        <wp:posOffset>635</wp:posOffset>
                      </wp:positionV>
                      <wp:extent cx="283210" cy="175260"/>
                      <wp:effectExtent l="0" t="0" r="0" b="0"/>
                      <wp:wrapNone/>
                      <wp:docPr id="687" name="Frame687"/>
                      <a:graphic xmlns:a="http://schemas.openxmlformats.org/drawingml/2006/main">
                        <a:graphicData uri="http://schemas.microsoft.com/office/word/2010/wordprocessingShape">
                          <wps:wsp>
                            <wps:cNvSpPr txBox="1"/>
                            <wps:spPr>
                              <a:xfrm>
                                <a:off x="0" y="0"/>
                                <a:ext cx="283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9">
                      <wp:simplePos x="0" y="0"/>
                      <wp:positionH relativeFrom="character">
                        <wp:align>left</wp:align>
                      </wp:positionH>
                      <wp:positionV relativeFrom="line">
                        <wp:posOffset>635</wp:posOffset>
                      </wp:positionV>
                      <wp:extent cx="295275" cy="175260"/>
                      <wp:effectExtent l="0" t="0" r="0" b="0"/>
                      <wp:wrapNone/>
                      <wp:docPr id="688" name="Frame688"/>
                      <a:graphic xmlns:a="http://schemas.openxmlformats.org/drawingml/2006/main">
                        <a:graphicData uri="http://schemas.microsoft.com/office/word/2010/wordprocessingShape">
                          <wps:wsp>
                            <wps:cNvSpPr txBox="1"/>
                            <wps:spPr>
                              <a:xfrm>
                                <a:off x="0" y="0"/>
                                <a:ext cx="295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0">
                      <wp:simplePos x="0" y="0"/>
                      <wp:positionH relativeFrom="character">
                        <wp:align>left</wp:align>
                      </wp:positionH>
                      <wp:positionV relativeFrom="line">
                        <wp:posOffset>635</wp:posOffset>
                      </wp:positionV>
                      <wp:extent cx="200660" cy="175260"/>
                      <wp:effectExtent l="0" t="0" r="0" b="0"/>
                      <wp:wrapNone/>
                      <wp:docPr id="689" name="Frame68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2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c>
          <w:tcPr>
            <w:tcW w:w="346"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446" w:type="dxa"/>
            <w:tcBorders/>
            <w:vAlign w:val="center"/>
          </w:tcPr>
          <w:p>
            <w:pPr>
              <w:pStyle w:val="TableContents"/>
              <w:bidi w:val="0"/>
              <w:spacing w:before="0" w:after="0"/>
              <w:ind w:left="0" w:right="0" w:hanging="0"/>
              <w:jc w:val="left"/>
              <w:rPr/>
            </w:pPr>
            <w:r>
              <w:rPr/>
              <w:t>​</w:t>
            </w:r>
          </w:p>
        </w:tc>
        <w:tc>
          <w:tcPr>
            <w:tcW w:w="465"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2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446" w:type="dxa"/>
            <w:tcBorders/>
            <w:vAlign w:val="center"/>
          </w:tcPr>
          <w:p>
            <w:pPr>
              <w:pStyle w:val="TableContents"/>
              <w:bidi w:val="0"/>
              <w:spacing w:before="0" w:after="0"/>
              <w:ind w:left="0" w:right="0" w:hanging="0"/>
              <w:jc w:val="left"/>
              <w:rPr/>
            </w:pPr>
            <w:r>
              <w:rPr/>
              <w:t>​</w:t>
            </w:r>
          </w:p>
        </w:tc>
        <w:tc>
          <w:tcPr>
            <w:tcW w:w="465"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w:t>
            </w:r>
          </w:p>
        </w:tc>
        <w:tc>
          <w:tcPr>
            <w:tcW w:w="191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Year-Over-Year Change</w:t>
            </w:r>
          </w:p>
        </w:tc>
        <w:tc>
          <w:tcPr>
            <w:tcW w:w="316" w:type="dxa"/>
            <w:tcBorders/>
            <w:vAlign w:val="center"/>
          </w:tcPr>
          <w:p>
            <w:pPr>
              <w:pStyle w:val="TableContents"/>
              <w:bidi w:val="0"/>
              <w:spacing w:before="0" w:after="0"/>
              <w:ind w:left="0" w:right="0" w:hanging="0"/>
              <w:jc w:val="center"/>
              <w:rPr/>
            </w:pPr>
            <w:r>
              <w:rPr/>
              <w:t> </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13,162</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12,067</w:t>
            </w:r>
          </w:p>
        </w:tc>
        <w:tc>
          <w:tcPr>
            <w:tcW w:w="346" w:type="dxa"/>
            <w:tcBorders/>
            <w:shd w:fill="CCEEFF" w:val="clear"/>
            <w:vAlign w:val="center"/>
          </w:tcPr>
          <w:p>
            <w:pPr>
              <w:pStyle w:val="TableContents"/>
              <w:bidi w:val="0"/>
              <w:spacing w:before="0" w:after="0"/>
              <w:ind w:left="0" w:right="0" w:hanging="0"/>
              <w:jc w:val="left"/>
              <w:rPr/>
            </w:pPr>
            <w:r>
              <w:rPr/>
              <w:t>  ​ ​ ​</w:t>
            </w:r>
          </w:p>
        </w:tc>
        <w:tc>
          <w:tcPr>
            <w:tcW w:w="2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1,095</w:t>
            </w:r>
          </w:p>
        </w:tc>
        <w:tc>
          <w:tcPr>
            <w:tcW w:w="446" w:type="dxa"/>
            <w:tcBorders/>
            <w:shd w:fill="CCEEFF" w:val="clear"/>
            <w:vAlign w:val="center"/>
          </w:tcPr>
          <w:p>
            <w:pPr>
              <w:pStyle w:val="TableContents"/>
              <w:bidi w:val="0"/>
              <w:spacing w:before="0" w:after="0"/>
              <w:ind w:left="0" w:right="0" w:hanging="0"/>
              <w:jc w:val="left"/>
              <w:rPr/>
            </w:pPr>
            <w:r>
              <w:rPr/>
              <w:t>  ​ ​ ​</w:t>
            </w:r>
          </w:p>
        </w:tc>
        <w:tc>
          <w:tcPr>
            <w:tcW w:w="4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Depreciation and amortization expenses increased $1.1 million, or 9.1%, to $13.2 million for the six months ended June 30, 2026 compared to $12.1 million for the same period in 2025. The increase was primarily due to the impact of infrastructure and technology purchases and other capitalized costs to support our growth. </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b/>
          <w:sz w:val="20"/>
        </w:rPr>
      </w:pPr>
      <w:r>
        <w:rPr>
          <w:rFonts w:ascii="Times New Roman;Times;serif" w:hAnsi="Times New Roman;Times;serif"/>
          <w:b/>
          <w:sz w:val="20"/>
        </w:rPr>
        <w:t>Change in Fair Value of Acquisition Contingent Earn-outs</w:t>
      </w:r>
    </w:p>
    <w:tbl>
      <w:tblPr>
        <w:tblW w:w="8791" w:type="dxa"/>
        <w:jc w:val="left"/>
        <w:tblInd w:w="0" w:type="dxa"/>
        <w:tblLayout w:type="fixed"/>
        <w:tblCellMar>
          <w:top w:w="0" w:type="dxa"/>
          <w:left w:w="0" w:type="dxa"/>
          <w:bottom w:w="0" w:type="dxa"/>
          <w:right w:w="0" w:type="dxa"/>
        </w:tblCellMar>
      </w:tblPr>
      <w:tblGrid>
        <w:gridCol w:w="4036"/>
        <w:gridCol w:w="406"/>
        <w:gridCol w:w="196"/>
        <w:gridCol w:w="691"/>
        <w:gridCol w:w="109"/>
        <w:gridCol w:w="196"/>
        <w:gridCol w:w="796"/>
        <w:gridCol w:w="346"/>
        <w:gridCol w:w="196"/>
        <w:gridCol w:w="571"/>
        <w:gridCol w:w="346"/>
        <w:gridCol w:w="586"/>
        <w:gridCol w:w="316"/>
      </w:tblGrid>
      <w:tr>
        <w:trPr/>
        <w:tc>
          <w:tcPr>
            <w:tcW w:w="4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1">
                      <wp:simplePos x="0" y="0"/>
                      <wp:positionH relativeFrom="character">
                        <wp:align>left</wp:align>
                      </wp:positionH>
                      <wp:positionV relativeFrom="line">
                        <wp:posOffset>635</wp:posOffset>
                      </wp:positionV>
                      <wp:extent cx="2562860" cy="175260"/>
                      <wp:effectExtent l="0" t="0" r="0" b="0"/>
                      <wp:wrapNone/>
                      <wp:docPr id="690" name="Frame690"/>
                      <a:graphic xmlns:a="http://schemas.openxmlformats.org/drawingml/2006/main">
                        <a:graphicData uri="http://schemas.microsoft.com/office/word/2010/wordprocessingShape">
                          <wps:wsp>
                            <wps:cNvSpPr txBox="1"/>
                            <wps:spPr>
                              <a:xfrm>
                                <a:off x="0" y="0"/>
                                <a:ext cx="2562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2">
                      <wp:simplePos x="0" y="0"/>
                      <wp:positionH relativeFrom="character">
                        <wp:align>left</wp:align>
                      </wp:positionH>
                      <wp:positionV relativeFrom="line">
                        <wp:posOffset>635</wp:posOffset>
                      </wp:positionV>
                      <wp:extent cx="257810" cy="175260"/>
                      <wp:effectExtent l="0" t="0" r="0" b="0"/>
                      <wp:wrapNone/>
                      <wp:docPr id="691" name="Frame691"/>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3">
                      <wp:simplePos x="0" y="0"/>
                      <wp:positionH relativeFrom="character">
                        <wp:align>left</wp:align>
                      </wp:positionH>
                      <wp:positionV relativeFrom="line">
                        <wp:posOffset>635</wp:posOffset>
                      </wp:positionV>
                      <wp:extent cx="124460" cy="175260"/>
                      <wp:effectExtent l="0" t="0" r="0" b="0"/>
                      <wp:wrapNone/>
                      <wp:docPr id="692" name="Frame69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4">
                      <wp:simplePos x="0" y="0"/>
                      <wp:positionH relativeFrom="character">
                        <wp:align>left</wp:align>
                      </wp:positionH>
                      <wp:positionV relativeFrom="line">
                        <wp:posOffset>635</wp:posOffset>
                      </wp:positionV>
                      <wp:extent cx="438785" cy="175260"/>
                      <wp:effectExtent l="0" t="0" r="0" b="0"/>
                      <wp:wrapNone/>
                      <wp:docPr id="693" name="Frame69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5">
                      <wp:simplePos x="0" y="0"/>
                      <wp:positionH relativeFrom="character">
                        <wp:align>left</wp:align>
                      </wp:positionH>
                      <wp:positionV relativeFrom="line">
                        <wp:posOffset>635</wp:posOffset>
                      </wp:positionV>
                      <wp:extent cx="69215" cy="175260"/>
                      <wp:effectExtent l="0" t="0" r="0" b="0"/>
                      <wp:wrapNone/>
                      <wp:docPr id="694" name="Frame6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6">
                      <wp:simplePos x="0" y="0"/>
                      <wp:positionH relativeFrom="character">
                        <wp:align>left</wp:align>
                      </wp:positionH>
                      <wp:positionV relativeFrom="line">
                        <wp:posOffset>635</wp:posOffset>
                      </wp:positionV>
                      <wp:extent cx="124460" cy="175260"/>
                      <wp:effectExtent l="0" t="0" r="0" b="0"/>
                      <wp:wrapNone/>
                      <wp:docPr id="695" name="Frame69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7">
                      <wp:simplePos x="0" y="0"/>
                      <wp:positionH relativeFrom="character">
                        <wp:align>left</wp:align>
                      </wp:positionH>
                      <wp:positionV relativeFrom="line">
                        <wp:posOffset>635</wp:posOffset>
                      </wp:positionV>
                      <wp:extent cx="505460" cy="175260"/>
                      <wp:effectExtent l="0" t="0" r="0" b="0"/>
                      <wp:wrapNone/>
                      <wp:docPr id="696" name="Frame69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8">
                      <wp:simplePos x="0" y="0"/>
                      <wp:positionH relativeFrom="character">
                        <wp:align>left</wp:align>
                      </wp:positionH>
                      <wp:positionV relativeFrom="line">
                        <wp:posOffset>635</wp:posOffset>
                      </wp:positionV>
                      <wp:extent cx="219710" cy="175260"/>
                      <wp:effectExtent l="0" t="0" r="0" b="0"/>
                      <wp:wrapNone/>
                      <wp:docPr id="697" name="Frame6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9">
                      <wp:simplePos x="0" y="0"/>
                      <wp:positionH relativeFrom="character">
                        <wp:align>left</wp:align>
                      </wp:positionH>
                      <wp:positionV relativeFrom="line">
                        <wp:posOffset>635</wp:posOffset>
                      </wp:positionV>
                      <wp:extent cx="124460" cy="175260"/>
                      <wp:effectExtent l="0" t="0" r="0" b="0"/>
                      <wp:wrapNone/>
                      <wp:docPr id="698" name="Frame69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0">
                      <wp:simplePos x="0" y="0"/>
                      <wp:positionH relativeFrom="character">
                        <wp:align>left</wp:align>
                      </wp:positionH>
                      <wp:positionV relativeFrom="line">
                        <wp:posOffset>635</wp:posOffset>
                      </wp:positionV>
                      <wp:extent cx="362585" cy="175260"/>
                      <wp:effectExtent l="0" t="0" r="0" b="0"/>
                      <wp:wrapNone/>
                      <wp:docPr id="699" name="Frame69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1">
                      <wp:simplePos x="0" y="0"/>
                      <wp:positionH relativeFrom="character">
                        <wp:align>left</wp:align>
                      </wp:positionH>
                      <wp:positionV relativeFrom="line">
                        <wp:posOffset>635</wp:posOffset>
                      </wp:positionV>
                      <wp:extent cx="219710" cy="175260"/>
                      <wp:effectExtent l="0" t="0" r="0" b="0"/>
                      <wp:wrapNone/>
                      <wp:docPr id="700" name="Frame7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2">
                      <wp:simplePos x="0" y="0"/>
                      <wp:positionH relativeFrom="character">
                        <wp:align>left</wp:align>
                      </wp:positionH>
                      <wp:positionV relativeFrom="line">
                        <wp:posOffset>635</wp:posOffset>
                      </wp:positionV>
                      <wp:extent cx="372110" cy="175260"/>
                      <wp:effectExtent l="0" t="0" r="0" b="0"/>
                      <wp:wrapNone/>
                      <wp:docPr id="701" name="Frame701"/>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3">
                      <wp:simplePos x="0" y="0"/>
                      <wp:positionH relativeFrom="character">
                        <wp:align>left</wp:align>
                      </wp:positionH>
                      <wp:positionV relativeFrom="line">
                        <wp:posOffset>635</wp:posOffset>
                      </wp:positionV>
                      <wp:extent cx="200660" cy="175260"/>
                      <wp:effectExtent l="0" t="0" r="0" b="0"/>
                      <wp:wrapNone/>
                      <wp:docPr id="702" name="Frame70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36"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left"/>
              <w:rPr/>
            </w:pPr>
            <w:r>
              <w:rPr/>
              <w:t>​</w:t>
            </w:r>
          </w:p>
        </w:tc>
        <w:tc>
          <w:tcPr>
            <w:tcW w:w="1988"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left"/>
              <w:rPr/>
            </w:pPr>
            <w:r>
              <w:rPr/>
              <w:t>​</w:t>
            </w:r>
          </w:p>
        </w:tc>
      </w:tr>
      <w:tr>
        <w:trPr/>
        <w:tc>
          <w:tcPr>
            <w:tcW w:w="4036"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left"/>
              <w:rPr/>
            </w:pPr>
            <w:r>
              <w:rPr/>
              <w:t>  ​ ​ ​ ​</w:t>
            </w:r>
          </w:p>
        </w:tc>
        <w:tc>
          <w:tcPr>
            <w:tcW w:w="198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left"/>
              <w:rPr/>
            </w:pPr>
            <w:r>
              <w:rPr/>
              <w:t>​</w:t>
            </w:r>
          </w:p>
        </w:tc>
      </w:tr>
      <w:tr>
        <w:trPr/>
        <w:tc>
          <w:tcPr>
            <w:tcW w:w="403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406"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1"/>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201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Year-Over-Year Change</w:t>
            </w:r>
          </w:p>
        </w:tc>
      </w:tr>
      <w:tr>
        <w:trPr/>
        <w:tc>
          <w:tcPr>
            <w:tcW w:w="40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Change in fair value of acquisition contingent earn-outs</w:t>
            </w:r>
          </w:p>
        </w:tc>
        <w:tc>
          <w:tcPr>
            <w:tcW w:w="40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(5,838)</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(12,400)</w:t>
            </w:r>
          </w:p>
        </w:tc>
        <w:tc>
          <w:tcPr>
            <w:tcW w:w="346" w:type="dxa"/>
            <w:tcBorders/>
            <w:shd w:fill="CCEEFF" w:val="clear"/>
            <w:vAlign w:val="center"/>
          </w:tcPr>
          <w:p>
            <w:pPr>
              <w:pStyle w:val="TableContents"/>
              <w:bidi w:val="0"/>
              <w:spacing w:before="0" w:after="1"/>
              <w:ind w:left="0" w:right="0" w:hanging="0"/>
              <w:jc w:val="left"/>
              <w:rPr/>
            </w:pPr>
            <w:r>
              <w:rPr/>
              <w:t>  ​ ​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6,562</w:t>
            </w:r>
          </w:p>
        </w:tc>
        <w:tc>
          <w:tcPr>
            <w:tcW w:w="346" w:type="dxa"/>
            <w:tcBorders/>
            <w:shd w:fill="CCEEFF" w:val="clear"/>
            <w:vAlign w:val="center"/>
          </w:tcPr>
          <w:p>
            <w:pPr>
              <w:pStyle w:val="TableContents"/>
              <w:bidi w:val="0"/>
              <w:spacing w:before="0" w:after="1"/>
              <w:ind w:left="0" w:right="0" w:hanging="0"/>
              <w:jc w:val="right"/>
              <w:rPr/>
            </w:pPr>
            <w:r>
              <w:rPr/>
              <w:t>  ​ ​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(52.9)</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36"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316"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Change in fair value of acquisition contingent earn-outs was $(5.8) million for the six months ended June 30, 2026 due to adjustments to the fair value of our ecosio acquisition contingent Stock Earn-outs of $(5.8) million. Change in fair value of acquisition contingent earn-outs was $(12.4) million for the six months ended June 30, 2025 due to adjustments to the fair values of our ecosio acquisition contingent Cash Earn-outs and Stock Earn-outs of $3.5 million and $(15.9) million, respectively. For further information, refer to Note 4, “Financial Instruments and Fair Value Measurements” to the condensed consolidated financial statements included in this Quarterly Report on Form 10-Q.</w:t>
      </w:r>
    </w:p>
    <w:p>
      <w:pPr>
        <w:pStyle w:val="TextBody"/>
        <w:bidi w:val="0"/>
        <w:spacing w:before="0" w:after="0"/>
        <w:ind w:left="0" w:right="0" w:firstLine="360"/>
        <w:jc w:val="left"/>
        <w:rPr>
          <w:rFonts w:ascii="Times New Roman;Times;serif" w:hAnsi="Times New Roman;Times;serif"/>
          <w:b/>
          <w:sz w:val="20"/>
        </w:rPr>
      </w:pPr>
      <w:r>
        <w:rPr>
          <w:rFonts w:ascii="Times New Roman;Times;serif" w:hAnsi="Times New Roman;Times;serif"/>
          <w:b/>
          <w:sz w:val="20"/>
        </w:rPr>
        <w:t>Other Operating Expense, Net</w:t>
      </w:r>
    </w:p>
    <w:tbl>
      <w:tblPr>
        <w:tblW w:w="7337" w:type="dxa"/>
        <w:jc w:val="left"/>
        <w:tblInd w:w="0" w:type="dxa"/>
        <w:tblLayout w:type="fixed"/>
        <w:tblCellMar>
          <w:top w:w="0" w:type="dxa"/>
          <w:left w:w="0" w:type="dxa"/>
          <w:bottom w:w="0" w:type="dxa"/>
          <w:right w:w="0" w:type="dxa"/>
        </w:tblCellMar>
      </w:tblPr>
      <w:tblGrid>
        <w:gridCol w:w="2446"/>
        <w:gridCol w:w="346"/>
        <w:gridCol w:w="217"/>
        <w:gridCol w:w="587"/>
        <w:gridCol w:w="356"/>
        <w:gridCol w:w="217"/>
        <w:gridCol w:w="587"/>
        <w:gridCol w:w="346"/>
        <w:gridCol w:w="236"/>
        <w:gridCol w:w="774"/>
        <w:gridCol w:w="387"/>
        <w:gridCol w:w="522"/>
        <w:gridCol w:w="316"/>
      </w:tblGrid>
      <w:tr>
        <w:trPr/>
        <w:tc>
          <w:tcPr>
            <w:tcW w:w="2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4">
                      <wp:simplePos x="0" y="0"/>
                      <wp:positionH relativeFrom="character">
                        <wp:align>left</wp:align>
                      </wp:positionH>
                      <wp:positionV relativeFrom="line">
                        <wp:posOffset>635</wp:posOffset>
                      </wp:positionV>
                      <wp:extent cx="1553210" cy="175260"/>
                      <wp:effectExtent l="0" t="0" r="0" b="0"/>
                      <wp:wrapNone/>
                      <wp:docPr id="703" name="Frame703"/>
                      <a:graphic xmlns:a="http://schemas.openxmlformats.org/drawingml/2006/main">
                        <a:graphicData uri="http://schemas.microsoft.com/office/word/2010/wordprocessingShape">
                          <wps:wsp>
                            <wps:cNvSpPr txBox="1"/>
                            <wps:spPr>
                              <a:xfrm>
                                <a:off x="0" y="0"/>
                                <a:ext cx="1553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5">
                      <wp:simplePos x="0" y="0"/>
                      <wp:positionH relativeFrom="character">
                        <wp:align>left</wp:align>
                      </wp:positionH>
                      <wp:positionV relativeFrom="line">
                        <wp:posOffset>635</wp:posOffset>
                      </wp:positionV>
                      <wp:extent cx="219710" cy="175260"/>
                      <wp:effectExtent l="0" t="0" r="0" b="0"/>
                      <wp:wrapNone/>
                      <wp:docPr id="704" name="Frame7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6">
                      <wp:simplePos x="0" y="0"/>
                      <wp:positionH relativeFrom="character">
                        <wp:align>left</wp:align>
                      </wp:positionH>
                      <wp:positionV relativeFrom="line">
                        <wp:posOffset>635</wp:posOffset>
                      </wp:positionV>
                      <wp:extent cx="137795" cy="175260"/>
                      <wp:effectExtent l="0" t="0" r="0" b="0"/>
                      <wp:wrapNone/>
                      <wp:docPr id="705" name="Frame705"/>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7">
                      <wp:simplePos x="0" y="0"/>
                      <wp:positionH relativeFrom="character">
                        <wp:align>left</wp:align>
                      </wp:positionH>
                      <wp:positionV relativeFrom="line">
                        <wp:posOffset>635</wp:posOffset>
                      </wp:positionV>
                      <wp:extent cx="372745" cy="175260"/>
                      <wp:effectExtent l="0" t="0" r="0" b="0"/>
                      <wp:wrapNone/>
                      <wp:docPr id="706" name="Frame706"/>
                      <a:graphic xmlns:a="http://schemas.openxmlformats.org/drawingml/2006/main">
                        <a:graphicData uri="http://schemas.microsoft.com/office/word/2010/wordprocessingShape">
                          <wps:wsp>
                            <wps:cNvSpPr txBox="1"/>
                            <wps:spPr>
                              <a:xfrm>
                                <a:off x="0" y="0"/>
                                <a:ext cx="372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8">
                      <wp:simplePos x="0" y="0"/>
                      <wp:positionH relativeFrom="character">
                        <wp:align>left</wp:align>
                      </wp:positionH>
                      <wp:positionV relativeFrom="line">
                        <wp:posOffset>635</wp:posOffset>
                      </wp:positionV>
                      <wp:extent cx="226060" cy="175260"/>
                      <wp:effectExtent l="0" t="0" r="0" b="0"/>
                      <wp:wrapNone/>
                      <wp:docPr id="707" name="Frame707"/>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9">
                      <wp:simplePos x="0" y="0"/>
                      <wp:positionH relativeFrom="character">
                        <wp:align>left</wp:align>
                      </wp:positionH>
                      <wp:positionV relativeFrom="line">
                        <wp:posOffset>635</wp:posOffset>
                      </wp:positionV>
                      <wp:extent cx="137795" cy="175260"/>
                      <wp:effectExtent l="0" t="0" r="0" b="0"/>
                      <wp:wrapNone/>
                      <wp:docPr id="708" name="Frame708"/>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0">
                      <wp:simplePos x="0" y="0"/>
                      <wp:positionH relativeFrom="character">
                        <wp:align>left</wp:align>
                      </wp:positionH>
                      <wp:positionV relativeFrom="line">
                        <wp:posOffset>635</wp:posOffset>
                      </wp:positionV>
                      <wp:extent cx="372745" cy="175260"/>
                      <wp:effectExtent l="0" t="0" r="0" b="0"/>
                      <wp:wrapNone/>
                      <wp:docPr id="709" name="Frame709"/>
                      <a:graphic xmlns:a="http://schemas.openxmlformats.org/drawingml/2006/main">
                        <a:graphicData uri="http://schemas.microsoft.com/office/word/2010/wordprocessingShape">
                          <wps:wsp>
                            <wps:cNvSpPr txBox="1"/>
                            <wps:spPr>
                              <a:xfrm>
                                <a:off x="0" y="0"/>
                                <a:ext cx="372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1">
                      <wp:simplePos x="0" y="0"/>
                      <wp:positionH relativeFrom="character">
                        <wp:align>left</wp:align>
                      </wp:positionH>
                      <wp:positionV relativeFrom="line">
                        <wp:posOffset>635</wp:posOffset>
                      </wp:positionV>
                      <wp:extent cx="219710" cy="175260"/>
                      <wp:effectExtent l="0" t="0" r="0" b="0"/>
                      <wp:wrapNone/>
                      <wp:docPr id="710" name="Frame7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2">
                      <wp:simplePos x="0" y="0"/>
                      <wp:positionH relativeFrom="character">
                        <wp:align>left</wp:align>
                      </wp:positionH>
                      <wp:positionV relativeFrom="line">
                        <wp:posOffset>635</wp:posOffset>
                      </wp:positionV>
                      <wp:extent cx="149860" cy="175260"/>
                      <wp:effectExtent l="0" t="0" r="0" b="0"/>
                      <wp:wrapNone/>
                      <wp:docPr id="711" name="Frame711"/>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3">
                      <wp:simplePos x="0" y="0"/>
                      <wp:positionH relativeFrom="character">
                        <wp:align>left</wp:align>
                      </wp:positionH>
                      <wp:positionV relativeFrom="line">
                        <wp:posOffset>635</wp:posOffset>
                      </wp:positionV>
                      <wp:extent cx="491490" cy="175260"/>
                      <wp:effectExtent l="0" t="0" r="0" b="0"/>
                      <wp:wrapNone/>
                      <wp:docPr id="712" name="Frame712"/>
                      <a:graphic xmlns:a="http://schemas.openxmlformats.org/drawingml/2006/main">
                        <a:graphicData uri="http://schemas.microsoft.com/office/word/2010/wordprocessingShape">
                          <wps:wsp>
                            <wps:cNvSpPr txBox="1"/>
                            <wps:spPr>
                              <a:xfrm>
                                <a:off x="0" y="0"/>
                                <a:ext cx="491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4">
                      <wp:simplePos x="0" y="0"/>
                      <wp:positionH relativeFrom="character">
                        <wp:align>left</wp:align>
                      </wp:positionH>
                      <wp:positionV relativeFrom="line">
                        <wp:posOffset>635</wp:posOffset>
                      </wp:positionV>
                      <wp:extent cx="245745" cy="175260"/>
                      <wp:effectExtent l="0" t="0" r="0" b="0"/>
                      <wp:wrapNone/>
                      <wp:docPr id="713" name="Frame713"/>
                      <a:graphic xmlns:a="http://schemas.openxmlformats.org/drawingml/2006/main">
                        <a:graphicData uri="http://schemas.microsoft.com/office/word/2010/wordprocessingShape">
                          <wps:wsp>
                            <wps:cNvSpPr txBox="1"/>
                            <wps:spPr>
                              <a:xfrm>
                                <a:off x="0" y="0"/>
                                <a:ext cx="245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5">
                      <wp:simplePos x="0" y="0"/>
                      <wp:positionH relativeFrom="character">
                        <wp:align>left</wp:align>
                      </wp:positionH>
                      <wp:positionV relativeFrom="line">
                        <wp:posOffset>635</wp:posOffset>
                      </wp:positionV>
                      <wp:extent cx="331470" cy="175260"/>
                      <wp:effectExtent l="0" t="0" r="0" b="0"/>
                      <wp:wrapNone/>
                      <wp:docPr id="714" name="Frame714"/>
                      <a:graphic xmlns:a="http://schemas.openxmlformats.org/drawingml/2006/main">
                        <a:graphicData uri="http://schemas.microsoft.com/office/word/2010/wordprocessingShape">
                          <wps:wsp>
                            <wps:cNvSpPr txBox="1"/>
                            <wps:spPr>
                              <a:xfrm>
                                <a:off x="0" y="0"/>
                                <a:ext cx="331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6">
                      <wp:simplePos x="0" y="0"/>
                      <wp:positionH relativeFrom="character">
                        <wp:align>left</wp:align>
                      </wp:positionH>
                      <wp:positionV relativeFrom="line">
                        <wp:posOffset>635</wp:posOffset>
                      </wp:positionV>
                      <wp:extent cx="200660" cy="175260"/>
                      <wp:effectExtent l="0" t="0" r="0" b="0"/>
                      <wp:wrapNone/>
                      <wp:docPr id="715" name="Frame71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774" w:type="dxa"/>
            <w:tcBorders/>
            <w:vAlign w:val="center"/>
          </w:tcPr>
          <w:p>
            <w:pPr>
              <w:pStyle w:val="TableContents"/>
              <w:bidi w:val="0"/>
              <w:spacing w:before="0" w:after="0"/>
              <w:ind w:left="0" w:right="0" w:hanging="0"/>
              <w:jc w:val="center"/>
              <w:rPr/>
            </w:pPr>
            <w:r>
              <w:rPr/>
              <w:t>​</w:t>
            </w:r>
          </w:p>
        </w:tc>
        <w:tc>
          <w:tcPr>
            <w:tcW w:w="387" w:type="dxa"/>
            <w:tcBorders/>
            <w:vAlign w:val="center"/>
          </w:tcPr>
          <w:p>
            <w:pPr>
              <w:pStyle w:val="TableContents"/>
              <w:bidi w:val="0"/>
              <w:spacing w:before="0" w:after="0"/>
              <w:ind w:left="0" w:right="0" w:hanging="0"/>
              <w:jc w:val="left"/>
              <w:rPr/>
            </w:pPr>
            <w:r>
              <w:rPr/>
              <w:t>​</w:t>
            </w:r>
          </w:p>
        </w:tc>
        <w:tc>
          <w:tcPr>
            <w:tcW w:w="522"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24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774" w:type="dxa"/>
            <w:tcBorders/>
            <w:vAlign w:val="center"/>
          </w:tcPr>
          <w:p>
            <w:pPr>
              <w:pStyle w:val="TableContents"/>
              <w:bidi w:val="0"/>
              <w:spacing w:before="0" w:after="0"/>
              <w:ind w:left="0" w:right="0" w:hanging="0"/>
              <w:jc w:val="center"/>
              <w:rPr/>
            </w:pPr>
            <w:r>
              <w:rPr/>
              <w:t>​</w:t>
            </w:r>
          </w:p>
        </w:tc>
        <w:tc>
          <w:tcPr>
            <w:tcW w:w="387" w:type="dxa"/>
            <w:tcBorders/>
            <w:vAlign w:val="center"/>
          </w:tcPr>
          <w:p>
            <w:pPr>
              <w:pStyle w:val="TableContents"/>
              <w:bidi w:val="0"/>
              <w:spacing w:before="0" w:after="0"/>
              <w:ind w:left="0" w:right="0" w:hanging="0"/>
              <w:jc w:val="left"/>
              <w:rPr/>
            </w:pPr>
            <w:r>
              <w:rPr/>
              <w:t>​</w:t>
            </w:r>
          </w:p>
        </w:tc>
        <w:tc>
          <w:tcPr>
            <w:tcW w:w="522"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 </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46" w:type="dxa"/>
            <w:tcBorders/>
            <w:vAlign w:val="center"/>
          </w:tcPr>
          <w:p>
            <w:pPr>
              <w:pStyle w:val="TableContents"/>
              <w:bidi w:val="0"/>
              <w:spacing w:before="0" w:after="0"/>
              <w:ind w:left="0" w:right="0" w:hanging="0"/>
              <w:jc w:val="left"/>
              <w:rPr/>
            </w:pPr>
            <w:r>
              <w:rPr/>
              <w:t> </w:t>
            </w:r>
          </w:p>
        </w:tc>
        <w:tc>
          <w:tcPr>
            <w:tcW w:w="8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56" w:type="dxa"/>
            <w:tcBorders/>
            <w:vAlign w:val="center"/>
          </w:tcPr>
          <w:p>
            <w:pPr>
              <w:pStyle w:val="TableContents"/>
              <w:bidi w:val="0"/>
              <w:spacing w:before="0" w:after="0"/>
              <w:ind w:left="0" w:right="0" w:hanging="0"/>
              <w:jc w:val="left"/>
              <w:rPr/>
            </w:pPr>
            <w:r>
              <w:rPr/>
              <w:t>  ​ ​ ​</w:t>
            </w:r>
          </w:p>
        </w:tc>
        <w:tc>
          <w:tcPr>
            <w:tcW w:w="8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w:t>
            </w:r>
          </w:p>
        </w:tc>
        <w:tc>
          <w:tcPr>
            <w:tcW w:w="191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Year-Over-Year Change</w:t>
            </w:r>
          </w:p>
        </w:tc>
        <w:tc>
          <w:tcPr>
            <w:tcW w:w="316" w:type="dxa"/>
            <w:tcBorders/>
            <w:vAlign w:val="center"/>
          </w:tcPr>
          <w:p>
            <w:pPr>
              <w:pStyle w:val="TableContents"/>
              <w:bidi w:val="0"/>
              <w:spacing w:before="0" w:after="0"/>
              <w:ind w:left="0" w:right="0" w:hanging="0"/>
              <w:jc w:val="left"/>
              <w:rPr/>
            </w:pPr>
            <w:r>
              <w:rPr/>
              <w:t>​</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operating expense, net</w:t>
            </w:r>
          </w:p>
        </w:tc>
        <w:tc>
          <w:tcPr>
            <w:tcW w:w="346" w:type="dxa"/>
            <w:tcBorders/>
            <w:shd w:fill="CCEEFF" w:val="clear"/>
            <w:vAlign w:val="center"/>
          </w:tcPr>
          <w:p>
            <w:pPr>
              <w:pStyle w:val="TableContents"/>
              <w:bidi w:val="0"/>
              <w:spacing w:before="0" w:after="0"/>
              <w:ind w:left="0" w:right="0" w:hanging="0"/>
              <w:jc w:val="left"/>
              <w:rPr/>
            </w:pPr>
            <w:r>
              <w:rPr/>
              <w:t>  ​ ​ ​</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4,524</w:t>
            </w:r>
          </w:p>
        </w:tc>
        <w:tc>
          <w:tcPr>
            <w:tcW w:w="356" w:type="dxa"/>
            <w:tcBorders/>
            <w:shd w:fill="CCEEFF" w:val="clear"/>
            <w:vAlign w:val="center"/>
          </w:tcPr>
          <w:p>
            <w:pPr>
              <w:pStyle w:val="TableContents"/>
              <w:bidi w:val="0"/>
              <w:spacing w:before="0" w:after="0"/>
              <w:ind w:left="0" w:right="0" w:hanging="0"/>
              <w:jc w:val="left"/>
              <w:rPr/>
            </w:pPr>
            <w:r>
              <w:rPr/>
              <w:t>  ​ ​ ​</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7,408</w:t>
            </w:r>
          </w:p>
        </w:tc>
        <w:tc>
          <w:tcPr>
            <w:tcW w:w="346" w:type="dxa"/>
            <w:tcBorders/>
            <w:shd w:fill="CCEEFF" w:val="clear"/>
            <w:vAlign w:val="center"/>
          </w:tcPr>
          <w:p>
            <w:pPr>
              <w:pStyle w:val="TableContents"/>
              <w:bidi w:val="0"/>
              <w:spacing w:before="0" w:after="0"/>
              <w:ind w:left="0" w:right="0" w:hanging="0"/>
              <w:jc w:val="left"/>
              <w:rPr/>
            </w:pPr>
            <w:r>
              <w:rPr/>
              <w:t>  ​ ​ ​</w:t>
            </w:r>
          </w:p>
        </w:tc>
        <w:tc>
          <w:tcPr>
            <w:tcW w:w="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(2,884)</w:t>
            </w:r>
          </w:p>
        </w:tc>
        <w:tc>
          <w:tcPr>
            <w:tcW w:w="387" w:type="dxa"/>
            <w:tcBorders/>
            <w:shd w:fill="CCEEFF" w:val="clear"/>
            <w:vAlign w:val="center"/>
          </w:tcPr>
          <w:p>
            <w:pPr>
              <w:pStyle w:val="TableContents"/>
              <w:bidi w:val="0"/>
              <w:spacing w:before="0" w:after="0"/>
              <w:ind w:left="0" w:right="0" w:hanging="0"/>
              <w:jc w:val="left"/>
              <w:rPr/>
            </w:pPr>
            <w:r>
              <w:rPr/>
              <w:t>  ​ ​ ​</w:t>
            </w:r>
          </w:p>
        </w:tc>
        <w:tc>
          <w:tcPr>
            <w:tcW w:w="5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36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Other operating expense, net was $4.5 million for the six months ended June 30, 2026 compared to $7.4 million for the same period in 2025. Legal costs associated with a pending legal claim were $3.8 million and $5.3 million for the six months ended June 30, 2026 and 2025, respectively. For further information, refer to Note 12, “Commitments and Contingencies” to the condensed consolidated financial statements included in this Quarterly Report on Form 10-Q. Additionally, foreign currency transaction (gains) losses were $(0.03) million and $1.6 million for the six months ended June 30, 2026 and 2025, respectively.</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b/>
          <w:sz w:val="20"/>
        </w:rPr>
      </w:pPr>
      <w:r>
        <w:rPr>
          <w:rFonts w:ascii="Times New Roman;Times;serif" w:hAnsi="Times New Roman;Times;serif"/>
          <w:b/>
          <w:sz w:val="20"/>
        </w:rPr>
        <w:t>Interest Income, Net</w:t>
      </w:r>
    </w:p>
    <w:p>
      <w:pPr>
        <w:pStyle w:val="TextBody"/>
        <w:bidi w:val="0"/>
        <w:spacing w:before="0" w:after="0"/>
        <w:ind w:left="0" w:right="0" w:firstLine="360"/>
        <w:jc w:val="left"/>
        <w:rPr/>
      </w:pPr>
      <w:r>
        <w:rPr/>
        <w:t>​</w:t>
      </w:r>
    </w:p>
    <w:tbl>
      <w:tblPr>
        <w:tblW w:w="6787" w:type="dxa"/>
        <w:jc w:val="left"/>
        <w:tblInd w:w="0" w:type="dxa"/>
        <w:tblLayout w:type="fixed"/>
        <w:tblCellMar>
          <w:top w:w="0" w:type="dxa"/>
          <w:left w:w="0" w:type="dxa"/>
          <w:bottom w:w="0" w:type="dxa"/>
          <w:right w:w="0" w:type="dxa"/>
        </w:tblCellMar>
      </w:tblPr>
      <w:tblGrid>
        <w:gridCol w:w="1711"/>
        <w:gridCol w:w="346"/>
        <w:gridCol w:w="211"/>
        <w:gridCol w:w="691"/>
        <w:gridCol w:w="346"/>
        <w:gridCol w:w="211"/>
        <w:gridCol w:w="691"/>
        <w:gridCol w:w="346"/>
        <w:gridCol w:w="236"/>
        <w:gridCol w:w="639"/>
        <w:gridCol w:w="387"/>
        <w:gridCol w:w="656"/>
        <w:gridCol w:w="316"/>
      </w:tblGrid>
      <w:tr>
        <w:trPr/>
        <w:tc>
          <w:tcPr>
            <w:tcW w:w="1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7">
                      <wp:simplePos x="0" y="0"/>
                      <wp:positionH relativeFrom="character">
                        <wp:align>left</wp:align>
                      </wp:positionH>
                      <wp:positionV relativeFrom="line">
                        <wp:posOffset>635</wp:posOffset>
                      </wp:positionV>
                      <wp:extent cx="1086485" cy="175260"/>
                      <wp:effectExtent l="0" t="0" r="0" b="0"/>
                      <wp:wrapNone/>
                      <wp:docPr id="716" name="Frame716"/>
                      <a:graphic xmlns:a="http://schemas.openxmlformats.org/drawingml/2006/main">
                        <a:graphicData uri="http://schemas.microsoft.com/office/word/2010/wordprocessingShape">
                          <wps:wsp>
                            <wps:cNvSpPr txBox="1"/>
                            <wps:spPr>
                              <a:xfrm>
                                <a:off x="0" y="0"/>
                                <a:ext cx="1086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8">
                      <wp:simplePos x="0" y="0"/>
                      <wp:positionH relativeFrom="character">
                        <wp:align>left</wp:align>
                      </wp:positionH>
                      <wp:positionV relativeFrom="line">
                        <wp:posOffset>635</wp:posOffset>
                      </wp:positionV>
                      <wp:extent cx="219710" cy="175260"/>
                      <wp:effectExtent l="0" t="0" r="0" b="0"/>
                      <wp:wrapNone/>
                      <wp:docPr id="717" name="Frame7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9">
                      <wp:simplePos x="0" y="0"/>
                      <wp:positionH relativeFrom="character">
                        <wp:align>left</wp:align>
                      </wp:positionH>
                      <wp:positionV relativeFrom="line">
                        <wp:posOffset>635</wp:posOffset>
                      </wp:positionV>
                      <wp:extent cx="133985" cy="175260"/>
                      <wp:effectExtent l="0" t="0" r="0" b="0"/>
                      <wp:wrapNone/>
                      <wp:docPr id="718" name="Frame7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0">
                      <wp:simplePos x="0" y="0"/>
                      <wp:positionH relativeFrom="character">
                        <wp:align>left</wp:align>
                      </wp:positionH>
                      <wp:positionV relativeFrom="line">
                        <wp:posOffset>635</wp:posOffset>
                      </wp:positionV>
                      <wp:extent cx="438785" cy="175260"/>
                      <wp:effectExtent l="0" t="0" r="0" b="0"/>
                      <wp:wrapNone/>
                      <wp:docPr id="719" name="Frame71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1">
                      <wp:simplePos x="0" y="0"/>
                      <wp:positionH relativeFrom="character">
                        <wp:align>left</wp:align>
                      </wp:positionH>
                      <wp:positionV relativeFrom="line">
                        <wp:posOffset>635</wp:posOffset>
                      </wp:positionV>
                      <wp:extent cx="219710" cy="175260"/>
                      <wp:effectExtent l="0" t="0" r="0" b="0"/>
                      <wp:wrapNone/>
                      <wp:docPr id="720" name="Frame7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2">
                      <wp:simplePos x="0" y="0"/>
                      <wp:positionH relativeFrom="character">
                        <wp:align>left</wp:align>
                      </wp:positionH>
                      <wp:positionV relativeFrom="line">
                        <wp:posOffset>635</wp:posOffset>
                      </wp:positionV>
                      <wp:extent cx="133985" cy="175260"/>
                      <wp:effectExtent l="0" t="0" r="0" b="0"/>
                      <wp:wrapNone/>
                      <wp:docPr id="721" name="Frame7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3">
                      <wp:simplePos x="0" y="0"/>
                      <wp:positionH relativeFrom="character">
                        <wp:align>left</wp:align>
                      </wp:positionH>
                      <wp:positionV relativeFrom="line">
                        <wp:posOffset>635</wp:posOffset>
                      </wp:positionV>
                      <wp:extent cx="438785" cy="175260"/>
                      <wp:effectExtent l="0" t="0" r="0" b="0"/>
                      <wp:wrapNone/>
                      <wp:docPr id="722" name="Frame72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4">
                      <wp:simplePos x="0" y="0"/>
                      <wp:positionH relativeFrom="character">
                        <wp:align>left</wp:align>
                      </wp:positionH>
                      <wp:positionV relativeFrom="line">
                        <wp:posOffset>635</wp:posOffset>
                      </wp:positionV>
                      <wp:extent cx="219710" cy="175260"/>
                      <wp:effectExtent l="0" t="0" r="0" b="0"/>
                      <wp:wrapNone/>
                      <wp:docPr id="723" name="Frame7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5">
                      <wp:simplePos x="0" y="0"/>
                      <wp:positionH relativeFrom="character">
                        <wp:align>left</wp:align>
                      </wp:positionH>
                      <wp:positionV relativeFrom="line">
                        <wp:posOffset>635</wp:posOffset>
                      </wp:positionV>
                      <wp:extent cx="149860" cy="175260"/>
                      <wp:effectExtent l="0" t="0" r="0" b="0"/>
                      <wp:wrapNone/>
                      <wp:docPr id="724" name="Frame724"/>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6">
                      <wp:simplePos x="0" y="0"/>
                      <wp:positionH relativeFrom="character">
                        <wp:align>left</wp:align>
                      </wp:positionH>
                      <wp:positionV relativeFrom="line">
                        <wp:posOffset>635</wp:posOffset>
                      </wp:positionV>
                      <wp:extent cx="405765" cy="175260"/>
                      <wp:effectExtent l="0" t="0" r="0" b="0"/>
                      <wp:wrapNone/>
                      <wp:docPr id="725" name="Frame725"/>
                      <a:graphic xmlns:a="http://schemas.openxmlformats.org/drawingml/2006/main">
                        <a:graphicData uri="http://schemas.microsoft.com/office/word/2010/wordprocessingShape">
                          <wps:wsp>
                            <wps:cNvSpPr txBox="1"/>
                            <wps:spPr>
                              <a:xfrm>
                                <a:off x="0" y="0"/>
                                <a:ext cx="405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7">
                      <wp:simplePos x="0" y="0"/>
                      <wp:positionH relativeFrom="character">
                        <wp:align>left</wp:align>
                      </wp:positionH>
                      <wp:positionV relativeFrom="line">
                        <wp:posOffset>635</wp:posOffset>
                      </wp:positionV>
                      <wp:extent cx="245745" cy="175260"/>
                      <wp:effectExtent l="0" t="0" r="0" b="0"/>
                      <wp:wrapNone/>
                      <wp:docPr id="726" name="Frame726"/>
                      <a:graphic xmlns:a="http://schemas.openxmlformats.org/drawingml/2006/main">
                        <a:graphicData uri="http://schemas.microsoft.com/office/word/2010/wordprocessingShape">
                          <wps:wsp>
                            <wps:cNvSpPr txBox="1"/>
                            <wps:spPr>
                              <a:xfrm>
                                <a:off x="0" y="0"/>
                                <a:ext cx="245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8">
                      <wp:simplePos x="0" y="0"/>
                      <wp:positionH relativeFrom="character">
                        <wp:align>left</wp:align>
                      </wp:positionH>
                      <wp:positionV relativeFrom="line">
                        <wp:posOffset>635</wp:posOffset>
                      </wp:positionV>
                      <wp:extent cx="416560" cy="175260"/>
                      <wp:effectExtent l="0" t="0" r="0" b="0"/>
                      <wp:wrapNone/>
                      <wp:docPr id="727" name="Frame727"/>
                      <a:graphic xmlns:a="http://schemas.openxmlformats.org/drawingml/2006/main">
                        <a:graphicData uri="http://schemas.microsoft.com/office/word/2010/wordprocessingShape">
                          <wps:wsp>
                            <wps:cNvSpPr txBox="1"/>
                            <wps:spPr>
                              <a:xfrm>
                                <a:off x="0" y="0"/>
                                <a:ext cx="416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9">
                      <wp:simplePos x="0" y="0"/>
                      <wp:positionH relativeFrom="character">
                        <wp:align>left</wp:align>
                      </wp:positionH>
                      <wp:positionV relativeFrom="line">
                        <wp:posOffset>635</wp:posOffset>
                      </wp:positionV>
                      <wp:extent cx="200660" cy="175260"/>
                      <wp:effectExtent l="0" t="0" r="0" b="0"/>
                      <wp:wrapNone/>
                      <wp:docPr id="728" name="Frame72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5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639" w:type="dxa"/>
            <w:tcBorders/>
            <w:vAlign w:val="center"/>
          </w:tcPr>
          <w:p>
            <w:pPr>
              <w:pStyle w:val="TableContents"/>
              <w:bidi w:val="0"/>
              <w:spacing w:before="0" w:after="0"/>
              <w:ind w:left="0" w:right="0" w:hanging="0"/>
              <w:jc w:val="center"/>
              <w:rPr/>
            </w:pPr>
            <w:r>
              <w:rPr/>
              <w:t>​</w:t>
            </w:r>
          </w:p>
        </w:tc>
        <w:tc>
          <w:tcPr>
            <w:tcW w:w="387" w:type="dxa"/>
            <w:tcBorders/>
            <w:vAlign w:val="center"/>
          </w:tcPr>
          <w:p>
            <w:pPr>
              <w:pStyle w:val="TableContents"/>
              <w:bidi w:val="0"/>
              <w:spacing w:before="0" w:after="0"/>
              <w:ind w:left="0" w:right="0" w:hanging="0"/>
              <w:jc w:val="left"/>
              <w:rPr/>
            </w:pPr>
            <w:r>
              <w:rPr/>
              <w:t>​</w:t>
            </w:r>
          </w:p>
        </w:tc>
        <w:tc>
          <w:tcPr>
            <w:tcW w:w="656"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17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639" w:type="dxa"/>
            <w:tcBorders/>
            <w:vAlign w:val="center"/>
          </w:tcPr>
          <w:p>
            <w:pPr>
              <w:pStyle w:val="TableContents"/>
              <w:bidi w:val="0"/>
              <w:spacing w:before="0" w:after="0"/>
              <w:ind w:left="0" w:right="0" w:hanging="0"/>
              <w:jc w:val="center"/>
              <w:rPr/>
            </w:pPr>
            <w:r>
              <w:rPr/>
              <w:t>​</w:t>
            </w:r>
          </w:p>
        </w:tc>
        <w:tc>
          <w:tcPr>
            <w:tcW w:w="387" w:type="dxa"/>
            <w:tcBorders/>
            <w:vAlign w:val="center"/>
          </w:tcPr>
          <w:p>
            <w:pPr>
              <w:pStyle w:val="TableContents"/>
              <w:bidi w:val="0"/>
              <w:spacing w:before="0" w:after="0"/>
              <w:ind w:left="0" w:right="0" w:hanging="0"/>
              <w:jc w:val="left"/>
              <w:rPr/>
            </w:pPr>
            <w:r>
              <w:rPr/>
              <w:t>​</w:t>
            </w:r>
          </w:p>
        </w:tc>
        <w:tc>
          <w:tcPr>
            <w:tcW w:w="656"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 </w:t>
            </w:r>
          </w:p>
        </w:tc>
      </w:tr>
      <w:tr>
        <w:trPr/>
        <w:tc>
          <w:tcPr>
            <w:tcW w:w="171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4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w:t>
            </w:r>
          </w:p>
        </w:tc>
        <w:tc>
          <w:tcPr>
            <w:tcW w:w="191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Year-Over-Year Change</w:t>
            </w:r>
          </w:p>
        </w:tc>
        <w:tc>
          <w:tcPr>
            <w:tcW w:w="316" w:type="dxa"/>
            <w:tcBorders/>
            <w:vAlign w:val="center"/>
          </w:tcPr>
          <w:p>
            <w:pPr>
              <w:pStyle w:val="TableContents"/>
              <w:bidi w:val="0"/>
              <w:spacing w:before="0" w:after="0"/>
              <w:ind w:left="0" w:right="0" w:hanging="0"/>
              <w:jc w:val="left"/>
              <w:rPr/>
            </w:pPr>
            <w:r>
              <w:rPr/>
              <w:t>​</w:t>
            </w:r>
          </w:p>
        </w:tc>
      </w:tr>
      <w:tr>
        <w:trPr/>
        <w:tc>
          <w:tcPr>
            <w:tcW w:w="1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net</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(1,301)</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(2,767)</w:t>
            </w:r>
          </w:p>
        </w:tc>
        <w:tc>
          <w:tcPr>
            <w:tcW w:w="346" w:type="dxa"/>
            <w:tcBorders/>
            <w:shd w:fill="CCEEFF" w:val="clear"/>
            <w:vAlign w:val="center"/>
          </w:tcPr>
          <w:p>
            <w:pPr>
              <w:pStyle w:val="TableContents"/>
              <w:bidi w:val="0"/>
              <w:spacing w:before="0" w:after="0"/>
              <w:ind w:left="0" w:right="0" w:hanging="0"/>
              <w:jc w:val="left"/>
              <w:rPr/>
            </w:pPr>
            <w:r>
              <w:rPr/>
              <w:t>  ​ ​ ​</w:t>
            </w:r>
          </w:p>
        </w:tc>
        <w:tc>
          <w:tcPr>
            <w:tcW w:w="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1,466</w:t>
            </w:r>
          </w:p>
        </w:tc>
        <w:tc>
          <w:tcPr>
            <w:tcW w:w="387" w:type="dxa"/>
            <w:tcBorders/>
            <w:shd w:fill="CCEEFF" w:val="clear"/>
            <w:vAlign w:val="center"/>
          </w:tcPr>
          <w:p>
            <w:pPr>
              <w:pStyle w:val="TableContents"/>
              <w:bidi w:val="0"/>
              <w:spacing w:before="0" w:after="0"/>
              <w:ind w:left="0" w:right="0" w:hanging="0"/>
              <w:jc w:val="left"/>
              <w:rPr/>
            </w:pPr>
            <w:r>
              <w:rPr/>
              <w:t>  ​ ​ ​</w:t>
            </w:r>
          </w:p>
        </w:tc>
        <w:tc>
          <w:tcPr>
            <w:tcW w:w="6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Interest income, net was $(1.3) million for the six months ended June 30, 2026 compared to $(2.8) million for the same period in 2025. This change was mainly due to a $1.6 million decrease in interest income driven by lower dollars invested and lower interest rates during the period, partially offset by a $0.1 million decrease in interest expense.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firstLine="360"/>
        <w:jc w:val="left"/>
        <w:rPr/>
      </w:pPr>
      <w:r>
        <w:rPr/>
        <w:t>​</w:t>
      </w:r>
    </w:p>
    <w:p>
      <w:pPr>
        <w:pStyle w:val="TextBody"/>
        <w:bidi w:val="0"/>
        <w:spacing w:before="0" w:after="0"/>
        <w:ind w:left="0" w:right="0" w:firstLine="360"/>
        <w:jc w:val="both"/>
        <w:rPr>
          <w:rFonts w:ascii="Times New Roman;Times;serif" w:hAnsi="Times New Roman;Times;serif"/>
          <w:b/>
          <w:sz w:val="20"/>
        </w:rPr>
      </w:pPr>
      <w:r>
        <w:rPr>
          <w:rFonts w:ascii="Times New Roman;Times;serif" w:hAnsi="Times New Roman;Times;serif"/>
          <w:b/>
          <w:sz w:val="20"/>
        </w:rPr>
        <w:t xml:space="preserve">Income Tax Benefit </w:t>
      </w:r>
    </w:p>
    <w:tbl>
      <w:tblPr>
        <w:tblW w:w="6898" w:type="dxa"/>
        <w:jc w:val="left"/>
        <w:tblInd w:w="0" w:type="dxa"/>
        <w:tblLayout w:type="fixed"/>
        <w:tblCellMar>
          <w:top w:w="0" w:type="dxa"/>
          <w:left w:w="0" w:type="dxa"/>
          <w:bottom w:w="0" w:type="dxa"/>
          <w:right w:w="0" w:type="dxa"/>
        </w:tblCellMar>
      </w:tblPr>
      <w:tblGrid>
        <w:gridCol w:w="1711"/>
        <w:gridCol w:w="346"/>
        <w:gridCol w:w="211"/>
        <w:gridCol w:w="796"/>
        <w:gridCol w:w="346"/>
        <w:gridCol w:w="211"/>
        <w:gridCol w:w="691"/>
        <w:gridCol w:w="346"/>
        <w:gridCol w:w="211"/>
        <w:gridCol w:w="796"/>
        <w:gridCol w:w="346"/>
        <w:gridCol w:w="571"/>
        <w:gridCol w:w="316"/>
      </w:tblGrid>
      <w:tr>
        <w:trPr/>
        <w:tc>
          <w:tcPr>
            <w:tcW w:w="1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0">
                      <wp:simplePos x="0" y="0"/>
                      <wp:positionH relativeFrom="character">
                        <wp:align>left</wp:align>
                      </wp:positionH>
                      <wp:positionV relativeFrom="line">
                        <wp:posOffset>635</wp:posOffset>
                      </wp:positionV>
                      <wp:extent cx="1086485" cy="175260"/>
                      <wp:effectExtent l="0" t="0" r="0" b="0"/>
                      <wp:wrapNone/>
                      <wp:docPr id="729" name="Frame729"/>
                      <a:graphic xmlns:a="http://schemas.openxmlformats.org/drawingml/2006/main">
                        <a:graphicData uri="http://schemas.microsoft.com/office/word/2010/wordprocessingShape">
                          <wps:wsp>
                            <wps:cNvSpPr txBox="1"/>
                            <wps:spPr>
                              <a:xfrm>
                                <a:off x="0" y="0"/>
                                <a:ext cx="1086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1">
                      <wp:simplePos x="0" y="0"/>
                      <wp:positionH relativeFrom="character">
                        <wp:align>left</wp:align>
                      </wp:positionH>
                      <wp:positionV relativeFrom="line">
                        <wp:posOffset>635</wp:posOffset>
                      </wp:positionV>
                      <wp:extent cx="219710" cy="175260"/>
                      <wp:effectExtent l="0" t="0" r="0" b="0"/>
                      <wp:wrapNone/>
                      <wp:docPr id="730" name="Frame7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2">
                      <wp:simplePos x="0" y="0"/>
                      <wp:positionH relativeFrom="character">
                        <wp:align>left</wp:align>
                      </wp:positionH>
                      <wp:positionV relativeFrom="line">
                        <wp:posOffset>635</wp:posOffset>
                      </wp:positionV>
                      <wp:extent cx="133985" cy="175260"/>
                      <wp:effectExtent l="0" t="0" r="0" b="0"/>
                      <wp:wrapNone/>
                      <wp:docPr id="731" name="Frame7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3">
                      <wp:simplePos x="0" y="0"/>
                      <wp:positionH relativeFrom="character">
                        <wp:align>left</wp:align>
                      </wp:positionH>
                      <wp:positionV relativeFrom="line">
                        <wp:posOffset>635</wp:posOffset>
                      </wp:positionV>
                      <wp:extent cx="505460" cy="175260"/>
                      <wp:effectExtent l="0" t="0" r="0" b="0"/>
                      <wp:wrapNone/>
                      <wp:docPr id="732" name="Frame73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4">
                      <wp:simplePos x="0" y="0"/>
                      <wp:positionH relativeFrom="character">
                        <wp:align>left</wp:align>
                      </wp:positionH>
                      <wp:positionV relativeFrom="line">
                        <wp:posOffset>635</wp:posOffset>
                      </wp:positionV>
                      <wp:extent cx="219710" cy="175260"/>
                      <wp:effectExtent l="0" t="0" r="0" b="0"/>
                      <wp:wrapNone/>
                      <wp:docPr id="733" name="Frame7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5">
                      <wp:simplePos x="0" y="0"/>
                      <wp:positionH relativeFrom="character">
                        <wp:align>left</wp:align>
                      </wp:positionH>
                      <wp:positionV relativeFrom="line">
                        <wp:posOffset>635</wp:posOffset>
                      </wp:positionV>
                      <wp:extent cx="133985" cy="175260"/>
                      <wp:effectExtent l="0" t="0" r="0" b="0"/>
                      <wp:wrapNone/>
                      <wp:docPr id="734" name="Frame7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6">
                      <wp:simplePos x="0" y="0"/>
                      <wp:positionH relativeFrom="character">
                        <wp:align>left</wp:align>
                      </wp:positionH>
                      <wp:positionV relativeFrom="line">
                        <wp:posOffset>635</wp:posOffset>
                      </wp:positionV>
                      <wp:extent cx="438785" cy="175260"/>
                      <wp:effectExtent l="0" t="0" r="0" b="0"/>
                      <wp:wrapNone/>
                      <wp:docPr id="735" name="Frame73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7">
                      <wp:simplePos x="0" y="0"/>
                      <wp:positionH relativeFrom="character">
                        <wp:align>left</wp:align>
                      </wp:positionH>
                      <wp:positionV relativeFrom="line">
                        <wp:posOffset>635</wp:posOffset>
                      </wp:positionV>
                      <wp:extent cx="219710" cy="175260"/>
                      <wp:effectExtent l="0" t="0" r="0" b="0"/>
                      <wp:wrapNone/>
                      <wp:docPr id="736" name="Frame7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8">
                      <wp:simplePos x="0" y="0"/>
                      <wp:positionH relativeFrom="character">
                        <wp:align>left</wp:align>
                      </wp:positionH>
                      <wp:positionV relativeFrom="line">
                        <wp:posOffset>635</wp:posOffset>
                      </wp:positionV>
                      <wp:extent cx="133985" cy="175260"/>
                      <wp:effectExtent l="0" t="0" r="0" b="0"/>
                      <wp:wrapNone/>
                      <wp:docPr id="737" name="Frame7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9">
                      <wp:simplePos x="0" y="0"/>
                      <wp:positionH relativeFrom="character">
                        <wp:align>left</wp:align>
                      </wp:positionH>
                      <wp:positionV relativeFrom="line">
                        <wp:posOffset>635</wp:posOffset>
                      </wp:positionV>
                      <wp:extent cx="505460" cy="175260"/>
                      <wp:effectExtent l="0" t="0" r="0" b="0"/>
                      <wp:wrapNone/>
                      <wp:docPr id="738" name="Frame73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0">
                      <wp:simplePos x="0" y="0"/>
                      <wp:positionH relativeFrom="character">
                        <wp:align>left</wp:align>
                      </wp:positionH>
                      <wp:positionV relativeFrom="line">
                        <wp:posOffset>635</wp:posOffset>
                      </wp:positionV>
                      <wp:extent cx="219710" cy="175260"/>
                      <wp:effectExtent l="0" t="0" r="0" b="0"/>
                      <wp:wrapNone/>
                      <wp:docPr id="739" name="Frame7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1">
                      <wp:simplePos x="0" y="0"/>
                      <wp:positionH relativeFrom="character">
                        <wp:align>left</wp:align>
                      </wp:positionH>
                      <wp:positionV relativeFrom="line">
                        <wp:posOffset>635</wp:posOffset>
                      </wp:positionV>
                      <wp:extent cx="362585" cy="175260"/>
                      <wp:effectExtent l="0" t="0" r="0" b="0"/>
                      <wp:wrapNone/>
                      <wp:docPr id="740" name="Frame74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2">
                      <wp:simplePos x="0" y="0"/>
                      <wp:positionH relativeFrom="character">
                        <wp:align>left</wp:align>
                      </wp:positionH>
                      <wp:positionV relativeFrom="line">
                        <wp:posOffset>635</wp:posOffset>
                      </wp:positionV>
                      <wp:extent cx="200660" cy="175260"/>
                      <wp:effectExtent l="0" t="0" r="0" b="0"/>
                      <wp:wrapNone/>
                      <wp:docPr id="741" name="Frame741"/>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5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17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 </w:t>
            </w:r>
          </w:p>
        </w:tc>
      </w:tr>
      <w:tr>
        <w:trPr/>
        <w:tc>
          <w:tcPr>
            <w:tcW w:w="171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46"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w:t>
            </w:r>
          </w:p>
        </w:tc>
        <w:tc>
          <w:tcPr>
            <w:tcW w:w="192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Year-Over-Year Change</w:t>
            </w:r>
          </w:p>
        </w:tc>
        <w:tc>
          <w:tcPr>
            <w:tcW w:w="316" w:type="dxa"/>
            <w:tcBorders/>
            <w:vAlign w:val="center"/>
          </w:tcPr>
          <w:p>
            <w:pPr>
              <w:pStyle w:val="TableContents"/>
              <w:bidi w:val="0"/>
              <w:spacing w:before="0" w:after="0"/>
              <w:ind w:left="0" w:right="0" w:hanging="0"/>
              <w:jc w:val="left"/>
              <w:rPr/>
            </w:pPr>
            <w:r>
              <w:rPr/>
              <w:t>​</w:t>
            </w:r>
          </w:p>
        </w:tc>
      </w:tr>
      <w:tr>
        <w:trPr/>
        <w:tc>
          <w:tcPr>
            <w:tcW w:w="1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(20,281)</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(6,780)</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(13,501)</w:t>
            </w:r>
          </w:p>
        </w:tc>
        <w:tc>
          <w:tcPr>
            <w:tcW w:w="346" w:type="dxa"/>
            <w:tcBorders/>
            <w:shd w:fill="CCEEFF" w:val="clear"/>
            <w:vAlign w:val="center"/>
          </w:tcPr>
          <w:p>
            <w:pPr>
              <w:pStyle w:val="TableContents"/>
              <w:bidi w:val="0"/>
              <w:spacing w:before="0" w:after="0"/>
              <w:ind w:left="0" w:right="0" w:hanging="0"/>
              <w:jc w:val="left"/>
              <w:rPr/>
            </w:pPr>
            <w:r>
              <w:rPr/>
              <w:t>  ​ ​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Income tax benefit was $(20.3) million and $(6.8) million for the six months ended June 30, 2026 and 2025, respectively. The year-over-year change was primarily driven by increased tax benefits from fluctuations in valuation allowances on net deferred tax assets established for U.S. and certain foreign jurisdictions, as well as the impact from the estimated annual effective tax rate applied to pre-tax loss for the six months ended June 30, 2026. These income tax benefit increases were offset partially by increased tax expense on exercises and vesting of stock awards, net of limitations on deductions of certain employees’ compensation as well as fluctuations in tax credits and non-deductible contingent consideration liabilities.</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 xml:space="preserve">Liquidity and Capital Resources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June 30, 2026, we had unrestricted cash and cash equivalents of $230.5 million. Our primary sources of capital include sales of our solutions, proceeds from bank lending facilities, and the offering of existing or future classes of stock.</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June 30, 2026, we had a credit agreement with a banking syndicate (the “Credit Agreement”) that provides a $300.0 million revolving facility (the “Line of Credit”). There were no outstanding borrowings under the Credit Agreement at June 30, 2026.</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April 26, 2024, we closed a private offering of $345.0 million aggregate principal amount of 0.750% Convertible Senior Notes due in 2029 (the “Notes”). The net proceeds from the offering of the Notes were $333.7 million, after deducting the initial purchasers’ discount and commissions, and other transaction and offering expenses. For further information on the Notes, refer to our 2025 Annual Report on Form 10-K. </w:t>
      </w:r>
    </w:p>
    <w:p>
      <w:pPr>
        <w:pStyle w:val="TextBody"/>
        <w:bidi w:val="0"/>
        <w:spacing w:before="0" w:after="0"/>
        <w:ind w:left="0" w:right="0" w:firstLine="360"/>
        <w:jc w:val="both"/>
        <w:rPr>
          <w:color w:val="7030A0"/>
        </w:rPr>
      </w:pPr>
      <w:r>
        <w:rPr>
          <w:color w:val="7030A0"/>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believe that our existing cash resources and our Line of Credit will be sufficient to meet our capital requirements and fund our operations for the next 12 months as well as our longer-term liquidity needs. If an early conversion notice occurs on our Notes, we have the option to pay cash, shares of our Class A common stock, or a combination of both. Also, we expect to have access to additional sources of funds in the capital markets, and we may, from time to time, seek additional capital through a combination of additional debt and/or equity financings. If we were to raise additional funds by issuing equity securities, our stockholders may experience dilution. Debt financing, if available, may involve covenants restricting our operations or our ability to incur additional debt. Any debt financing or additional equity that we raise may contain terms that are not favorable to us or our stockholders. Additional financing may not be available at all, or in amounts or on terms unacceptable to us.</w:t>
      </w:r>
    </w:p>
    <w:p>
      <w:pPr>
        <w:pStyle w:val="TextBody"/>
        <w:bidi w:val="0"/>
        <w:spacing w:before="0" w:after="0"/>
        <w:ind w:left="0" w:right="0" w:firstLine="360"/>
        <w:jc w:val="both"/>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following table presents a summary of our cash flows for the periods indicated:</w:t>
      </w:r>
    </w:p>
    <w:p>
      <w:pPr>
        <w:pStyle w:val="TextBody"/>
        <w:bidi w:val="0"/>
        <w:spacing w:before="0" w:after="0"/>
        <w:ind w:left="0" w:right="0" w:hanging="0"/>
        <w:jc w:val="left"/>
        <w:rPr/>
      </w:pPr>
      <w:r>
        <w:rPr/>
        <w:t>​</w:t>
      </w:r>
    </w:p>
    <w:tbl>
      <w:tblPr>
        <w:tblW w:w="9791" w:type="dxa"/>
        <w:jc w:val="left"/>
        <w:tblInd w:w="0" w:type="dxa"/>
        <w:tblLayout w:type="fixed"/>
        <w:tblCellMar>
          <w:top w:w="0" w:type="dxa"/>
          <w:left w:w="0" w:type="dxa"/>
          <w:bottom w:w="0" w:type="dxa"/>
          <w:right w:w="0" w:type="dxa"/>
        </w:tblCellMar>
      </w:tblPr>
      <w:tblGrid>
        <w:gridCol w:w="4741"/>
        <w:gridCol w:w="346"/>
        <w:gridCol w:w="211"/>
        <w:gridCol w:w="796"/>
        <w:gridCol w:w="346"/>
        <w:gridCol w:w="211"/>
        <w:gridCol w:w="796"/>
        <w:gridCol w:w="109"/>
        <w:gridCol w:w="238"/>
        <w:gridCol w:w="900"/>
        <w:gridCol w:w="781"/>
        <w:gridCol w:w="316"/>
      </w:tblGrid>
      <w:tr>
        <w:trPr/>
        <w:tc>
          <w:tcPr>
            <w:tcW w:w="4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3">
                      <wp:simplePos x="0" y="0"/>
                      <wp:positionH relativeFrom="character">
                        <wp:align>left</wp:align>
                      </wp:positionH>
                      <wp:positionV relativeFrom="line">
                        <wp:posOffset>635</wp:posOffset>
                      </wp:positionV>
                      <wp:extent cx="3010535" cy="175260"/>
                      <wp:effectExtent l="0" t="0" r="0" b="0"/>
                      <wp:wrapNone/>
                      <wp:docPr id="742" name="Frame742"/>
                      <a:graphic xmlns:a="http://schemas.openxmlformats.org/drawingml/2006/main">
                        <a:graphicData uri="http://schemas.microsoft.com/office/word/2010/wordprocessingShape">
                          <wps:wsp>
                            <wps:cNvSpPr txBox="1"/>
                            <wps:spPr>
                              <a:xfrm>
                                <a:off x="0" y="0"/>
                                <a:ext cx="3010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4">
                      <wp:simplePos x="0" y="0"/>
                      <wp:positionH relativeFrom="character">
                        <wp:align>left</wp:align>
                      </wp:positionH>
                      <wp:positionV relativeFrom="line">
                        <wp:posOffset>635</wp:posOffset>
                      </wp:positionV>
                      <wp:extent cx="219710" cy="175260"/>
                      <wp:effectExtent l="0" t="0" r="0" b="0"/>
                      <wp:wrapNone/>
                      <wp:docPr id="743" name="Frame7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5">
                      <wp:simplePos x="0" y="0"/>
                      <wp:positionH relativeFrom="character">
                        <wp:align>left</wp:align>
                      </wp:positionH>
                      <wp:positionV relativeFrom="line">
                        <wp:posOffset>635</wp:posOffset>
                      </wp:positionV>
                      <wp:extent cx="133985" cy="175260"/>
                      <wp:effectExtent l="0" t="0" r="0" b="0"/>
                      <wp:wrapNone/>
                      <wp:docPr id="744" name="Frame7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6">
                      <wp:simplePos x="0" y="0"/>
                      <wp:positionH relativeFrom="character">
                        <wp:align>left</wp:align>
                      </wp:positionH>
                      <wp:positionV relativeFrom="line">
                        <wp:posOffset>635</wp:posOffset>
                      </wp:positionV>
                      <wp:extent cx="505460" cy="175260"/>
                      <wp:effectExtent l="0" t="0" r="0" b="0"/>
                      <wp:wrapNone/>
                      <wp:docPr id="745" name="Frame74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7">
                      <wp:simplePos x="0" y="0"/>
                      <wp:positionH relativeFrom="character">
                        <wp:align>left</wp:align>
                      </wp:positionH>
                      <wp:positionV relativeFrom="line">
                        <wp:posOffset>635</wp:posOffset>
                      </wp:positionV>
                      <wp:extent cx="219710" cy="175260"/>
                      <wp:effectExtent l="0" t="0" r="0" b="0"/>
                      <wp:wrapNone/>
                      <wp:docPr id="746" name="Frame7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8">
                      <wp:simplePos x="0" y="0"/>
                      <wp:positionH relativeFrom="character">
                        <wp:align>left</wp:align>
                      </wp:positionH>
                      <wp:positionV relativeFrom="line">
                        <wp:posOffset>635</wp:posOffset>
                      </wp:positionV>
                      <wp:extent cx="133985" cy="175260"/>
                      <wp:effectExtent l="0" t="0" r="0" b="0"/>
                      <wp:wrapNone/>
                      <wp:docPr id="747" name="Frame7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9">
                      <wp:simplePos x="0" y="0"/>
                      <wp:positionH relativeFrom="character">
                        <wp:align>left</wp:align>
                      </wp:positionH>
                      <wp:positionV relativeFrom="line">
                        <wp:posOffset>635</wp:posOffset>
                      </wp:positionV>
                      <wp:extent cx="505460" cy="175260"/>
                      <wp:effectExtent l="0" t="0" r="0" b="0"/>
                      <wp:wrapNone/>
                      <wp:docPr id="748" name="Frame74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0">
                      <wp:simplePos x="0" y="0"/>
                      <wp:positionH relativeFrom="character">
                        <wp:align>left</wp:align>
                      </wp:positionH>
                      <wp:positionV relativeFrom="line">
                        <wp:posOffset>635</wp:posOffset>
                      </wp:positionV>
                      <wp:extent cx="69215" cy="175260"/>
                      <wp:effectExtent l="0" t="0" r="0" b="0"/>
                      <wp:wrapNone/>
                      <wp:docPr id="749" name="Frame74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1">
                      <wp:simplePos x="0" y="0"/>
                      <wp:positionH relativeFrom="character">
                        <wp:align>left</wp:align>
                      </wp:positionH>
                      <wp:positionV relativeFrom="line">
                        <wp:posOffset>635</wp:posOffset>
                      </wp:positionV>
                      <wp:extent cx="151130" cy="175260"/>
                      <wp:effectExtent l="0" t="0" r="0" b="0"/>
                      <wp:wrapNone/>
                      <wp:docPr id="750" name="Frame750"/>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2">
                      <wp:simplePos x="0" y="0"/>
                      <wp:positionH relativeFrom="character">
                        <wp:align>left</wp:align>
                      </wp:positionH>
                      <wp:positionV relativeFrom="line">
                        <wp:posOffset>635</wp:posOffset>
                      </wp:positionV>
                      <wp:extent cx="571500" cy="175260"/>
                      <wp:effectExtent l="0" t="0" r="0" b="0"/>
                      <wp:wrapNone/>
                      <wp:docPr id="751" name="Frame751"/>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3">
                      <wp:simplePos x="0" y="0"/>
                      <wp:positionH relativeFrom="character">
                        <wp:align>left</wp:align>
                      </wp:positionH>
                      <wp:positionV relativeFrom="line">
                        <wp:posOffset>635</wp:posOffset>
                      </wp:positionV>
                      <wp:extent cx="495935" cy="175260"/>
                      <wp:effectExtent l="0" t="0" r="0" b="0"/>
                      <wp:wrapNone/>
                      <wp:docPr id="752" name="Frame75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4">
                      <wp:simplePos x="0" y="0"/>
                      <wp:positionH relativeFrom="character">
                        <wp:align>left</wp:align>
                      </wp:positionH>
                      <wp:positionV relativeFrom="line">
                        <wp:posOffset>635</wp:posOffset>
                      </wp:positionV>
                      <wp:extent cx="200660" cy="175260"/>
                      <wp:effectExtent l="0" t="0" r="0" b="0"/>
                      <wp:wrapNone/>
                      <wp:docPr id="753" name="Frame75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36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c>
          <w:tcPr>
            <w:tcW w:w="109" w:type="dxa"/>
            <w:tcBorders/>
            <w:vAlign w:val="center"/>
          </w:tcPr>
          <w:p>
            <w:pPr>
              <w:pStyle w:val="TableContents"/>
              <w:bidi w:val="0"/>
              <w:spacing w:before="0" w:after="0"/>
              <w:ind w:left="0" w:right="0" w:hanging="0"/>
              <w:jc w:val="center"/>
              <w:rPr/>
            </w:pPr>
            <w:r>
              <w:rPr/>
              <w:t>​</w:t>
            </w:r>
          </w:p>
        </w:tc>
        <w:tc>
          <w:tcPr>
            <w:tcW w:w="238" w:type="dxa"/>
            <w:tcBorders/>
            <w:vAlign w:val="center"/>
          </w:tcPr>
          <w:p>
            <w:pPr>
              <w:pStyle w:val="TableContents"/>
              <w:bidi w:val="0"/>
              <w:spacing w:before="0" w:after="0"/>
              <w:ind w:left="0" w:right="0" w:hanging="0"/>
              <w:jc w:val="center"/>
              <w:rPr/>
            </w:pPr>
            <w:r>
              <w:rPr/>
              <w:t>​</w:t>
            </w:r>
          </w:p>
        </w:tc>
        <w:tc>
          <w:tcPr>
            <w:tcW w:w="900"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47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36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0"/>
              <w:ind w:left="0" w:right="0" w:hanging="0"/>
              <w:jc w:val="center"/>
              <w:rPr/>
            </w:pPr>
            <w:r>
              <w:rPr/>
              <w:t>​</w:t>
            </w:r>
          </w:p>
        </w:tc>
        <w:tc>
          <w:tcPr>
            <w:tcW w:w="238" w:type="dxa"/>
            <w:tcBorders/>
            <w:vAlign w:val="center"/>
          </w:tcPr>
          <w:p>
            <w:pPr>
              <w:pStyle w:val="TableContents"/>
              <w:bidi w:val="0"/>
              <w:spacing w:before="0" w:after="0"/>
              <w:ind w:left="0" w:right="0" w:hanging="0"/>
              <w:jc w:val="center"/>
              <w:rPr/>
            </w:pPr>
            <w:r>
              <w:rPr/>
              <w:t>​</w:t>
            </w:r>
          </w:p>
        </w:tc>
        <w:tc>
          <w:tcPr>
            <w:tcW w:w="900"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474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46" w:type="dxa"/>
            <w:tcBorders/>
            <w:vAlign w:val="center"/>
          </w:tcPr>
          <w:p>
            <w:pPr>
              <w:pStyle w:val="TableContents"/>
              <w:bidi w:val="0"/>
              <w:spacing w:before="0" w:after="0"/>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rPr/>
            </w:pPr>
            <w:r>
              <w:rPr/>
              <w:t>​</w:t>
            </w:r>
          </w:p>
        </w:tc>
        <w:tc>
          <w:tcPr>
            <w:tcW w:w="1919"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Year-Over-Year Change</w:t>
            </w:r>
          </w:p>
        </w:tc>
        <w:tc>
          <w:tcPr>
            <w:tcW w:w="31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r>
      <w:tr>
        <w:trPr/>
        <w:tc>
          <w:tcPr>
            <w:tcW w:w="4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operating activities</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68,871</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60,808</w:t>
            </w:r>
          </w:p>
        </w:tc>
        <w:tc>
          <w:tcPr>
            <w:tcW w:w="109" w:type="dxa"/>
            <w:tcBorders/>
            <w:shd w:fill="CCEEFF" w:val="clear"/>
            <w:vAlign w:val="center"/>
          </w:tcPr>
          <w:p>
            <w:pPr>
              <w:pStyle w:val="TableContents"/>
              <w:bidi w:val="0"/>
              <w:spacing w:before="0" w:after="0"/>
              <w:ind w:left="0" w:right="0" w:hanging="0"/>
              <w:jc w:val="right"/>
              <w:rPr/>
            </w:pPr>
            <w:r>
              <w:rPr/>
              <w:t>​</w:t>
            </w:r>
          </w:p>
        </w:tc>
        <w:tc>
          <w:tcPr>
            <w:tcW w:w="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8,063</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(80,447)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(59,262)</w:t>
            </w:r>
          </w:p>
        </w:tc>
        <w:tc>
          <w:tcPr>
            <w:tcW w:w="109" w:type="dxa"/>
            <w:tcBorders/>
            <w:vAlign w:val="center"/>
          </w:tcPr>
          <w:p>
            <w:pPr>
              <w:pStyle w:val="TableContents"/>
              <w:bidi w:val="0"/>
              <w:spacing w:before="0" w:after="0"/>
              <w:ind w:left="0" w:right="0" w:hanging="0"/>
              <w:jc w:val="right"/>
              <w:rPr/>
            </w:pPr>
            <w:r>
              <w:rPr/>
              <w:t>​</w:t>
            </w:r>
          </w:p>
        </w:tc>
        <w:tc>
          <w:tcPr>
            <w:tcW w:w="238"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(21,185)</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(69,091)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(20,157)</w:t>
            </w:r>
          </w:p>
        </w:tc>
        <w:tc>
          <w:tcPr>
            <w:tcW w:w="109" w:type="dxa"/>
            <w:tcBorders/>
            <w:shd w:fill="CCEEFF" w:val="clear"/>
            <w:vAlign w:val="center"/>
          </w:tcPr>
          <w:p>
            <w:pPr>
              <w:pStyle w:val="TableContents"/>
              <w:bidi w:val="0"/>
              <w:spacing w:before="0" w:after="0"/>
              <w:ind w:left="0" w:right="0" w:hanging="0"/>
              <w:jc w:val="righ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(48,934)</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foreign exchange rate changes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3,307</w:t>
            </w:r>
          </w:p>
        </w:tc>
        <w:tc>
          <w:tcPr>
            <w:tcW w:w="109" w:type="dxa"/>
            <w:tcBorders/>
            <w:vAlign w:val="center"/>
          </w:tcPr>
          <w:p>
            <w:pPr>
              <w:pStyle w:val="TableContents"/>
              <w:bidi w:val="0"/>
              <w:spacing w:before="0" w:after="0"/>
              <w:ind w:left="0" w:right="0" w:hanging="0"/>
              <w:jc w:val="right"/>
              <w:rPr/>
            </w:pPr>
            <w:r>
              <w:rPr/>
              <w:t>​</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(3,949)</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(119.4)</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decrease in cash, cash equivalents and restricted cash</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(81,309)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(15,304)</w:t>
            </w:r>
          </w:p>
        </w:tc>
        <w:tc>
          <w:tcPr>
            <w:tcW w:w="109" w:type="dxa"/>
            <w:tcBorders/>
            <w:shd w:fill="CCEEFF" w:val="clear"/>
            <w:vAlign w:val="center"/>
          </w:tcPr>
          <w:p>
            <w:pPr>
              <w:pStyle w:val="TableContents"/>
              <w:bidi w:val="0"/>
              <w:spacing w:before="0" w:after="0"/>
              <w:ind w:left="0" w:right="0" w:hanging="0"/>
              <w:jc w:val="left"/>
              <w:rPr/>
            </w:pPr>
            <w:r>
              <w:rPr/>
              <w:t>​</w:t>
            </w:r>
          </w:p>
        </w:tc>
        <w:tc>
          <w:tcPr>
            <w:tcW w:w="23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(66,005)</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(431.3)</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lineRule="auto" w:line="300" w:before="0" w:after="0"/>
        <w:ind w:left="0" w:right="0" w:firstLine="360"/>
        <w:jc w:val="both"/>
        <w:rPr>
          <w:rFonts w:ascii="Times New Roman;Times;serif" w:hAnsi="Times New Roman;Times;serif"/>
          <w:sz w:val="20"/>
        </w:rPr>
      </w:pPr>
      <w:r>
        <w:rPr>
          <w:rFonts w:ascii="Times New Roman;Times;serif" w:hAnsi="Times New Roman;Times;serif"/>
          <w:b/>
          <w:i/>
          <w:sz w:val="20"/>
        </w:rPr>
        <w:t xml:space="preserve">Operating Activities. </w:t>
      </w:r>
      <w:r>
        <w:rPr>
          <w:rFonts w:ascii="Times New Roman;Times;serif" w:hAnsi="Times New Roman;Times;serif"/>
          <w:sz w:val="20"/>
        </w:rPr>
        <w:t xml:space="preserve">Net cash provided by operating activities of $68.9 million for the six months ended June 30, 2026 consisted of net income of $6.5 million, adjusted for non-cash charges of $95.3 million, and cash outflows of $(32.9) million related to changes in operating assets and liabilities. The change in operating assets and liabilities was primarily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lineRule="auto" w:line="300" w:before="0" w:after="0"/>
        <w:ind w:left="0" w:right="0" w:hanging="0"/>
        <w:jc w:val="both"/>
        <w:rPr>
          <w:rFonts w:ascii="Times New Roman;Times;serif" w:hAnsi="Times New Roman;Times;serif"/>
          <w:sz w:val="20"/>
        </w:rPr>
      </w:pPr>
      <w:r>
        <w:rPr>
          <w:rFonts w:ascii="Times New Roman;Times;serif" w:hAnsi="Times New Roman;Times;serif"/>
          <w:sz w:val="20"/>
        </w:rPr>
        <w:t>driven by a decrease in accrued and deferred compensation and accrued expenses, and an increase in prepaid expenses and other current assets due to the timing of cash payments during the period. These changes were partially offset by a decrease in accounts receivable due to the timing of cash collections during the period.</w:t>
      </w:r>
    </w:p>
    <w:p>
      <w:pPr>
        <w:pStyle w:val="TextBody"/>
        <w:bidi w:val="0"/>
        <w:spacing w:lineRule="auto" w:line="302" w:before="0" w:after="0"/>
        <w:ind w:left="0" w:right="0" w:firstLine="360"/>
        <w:jc w:val="both"/>
        <w:rPr/>
      </w:pPr>
      <w:r>
        <w:rPr/>
        <w:t>​</w:t>
      </w:r>
    </w:p>
    <w:p>
      <w:pPr>
        <w:pStyle w:val="TextBody"/>
        <w:bidi w:val="0"/>
        <w:spacing w:lineRule="auto" w:line="302" w:before="0" w:after="0"/>
        <w:ind w:left="0" w:right="0" w:firstLine="360"/>
        <w:jc w:val="both"/>
        <w:rPr>
          <w:rFonts w:ascii="Times New Roman;Times;serif" w:hAnsi="Times New Roman;Times;serif"/>
          <w:sz w:val="20"/>
        </w:rPr>
      </w:pPr>
      <w:r>
        <w:rPr>
          <w:rFonts w:ascii="Times New Roman;Times;serif" w:hAnsi="Times New Roman;Times;serif"/>
          <w:sz w:val="20"/>
        </w:rPr>
        <w:t>Net cash provided by operating activities of $60.8 million for the six months ended June 30, 2025 consisted of net income of $10.2 million and adjustments for non-cash charges of $69.7 million, which were partially offset by cash outflows of $19.0 million related to changes in operating assets and liabilities. The change in operating assets and liabilities was primarily driven by a decrease in accrued and deferred compensation and an increase in prepaid expenses and other current assets due to the timing of cash payments during the period. These changes were partially offset by a decrease in accounts receivable due to the timing of cash collections during the period.</w:t>
      </w:r>
    </w:p>
    <w:p>
      <w:pPr>
        <w:pStyle w:val="TextBody"/>
        <w:bidi w:val="0"/>
        <w:spacing w:lineRule="auto" w:line="302"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b/>
          <w:i/>
          <w:sz w:val="20"/>
        </w:rPr>
        <w:t xml:space="preserve">Investing Activities. </w:t>
      </w:r>
      <w:r>
        <w:rPr>
          <w:rFonts w:ascii="Times New Roman;Times;serif" w:hAnsi="Times New Roman;Times;serif"/>
          <w:sz w:val="20"/>
        </w:rPr>
        <w:t>Net cash used in investing activities of $80.4 million for the six months ended June 30, 2026 consisted of investments in property and equipment, and capitalized software of $47.8 million and $10.6 million, respectively, related to investments in infrastructure, new products, and enhancements to existing products. Additionally, we paid $22.0 million for our acquisition of Brinta. For further information on the Acquisition, refer to Note 3, “Acquisitions” to the condensed consolidated financial statements included in this Quarterly Report on Form 10-Q.</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Net cash used in investing activities of $59.3 million for the six months ended June 30, 2025 consisted of investments in property and equipment, and capitalized software of $42.9 million and $10.6 million, respectively, related to investments in infrastructure, new products, and enhancements to existing products. During the second quarter of 2025, we invested $15.0 million in the Kintsugi Investment. Additionally, we invested $2.4 million in available-for-sale investment securities, which was more than offset by proceeds of $11.6 million received during the period for sales and maturities in our investment securities. For further information on the Kintsugi Investment, refer to Note 4, “Financial Instruments and Fair Value Measurements” to the condensed consolidated financial statements included in this Quarterly Report on Form 10-Q.</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b/>
          <w:i/>
          <w:sz w:val="20"/>
        </w:rPr>
        <w:t>Financing Activities.</w:t>
      </w:r>
      <w:r>
        <w:rPr>
          <w:rFonts w:ascii="Times New Roman;Times;serif" w:hAnsi="Times New Roman;Times;serif"/>
          <w:sz w:val="20"/>
        </w:rPr>
        <w:t xml:space="preserve"> Net cash used in financing activities of $69.1 million for the six months ended June 30, 2026 consisted of $46.6 million in payments for the repurchases of our Class A common stock under our Repurchase Program, $19.6 million in payments related to our ecosio Cash Earn-out, and $7.9 million in payments for taxes related to the net share settlement of stock-based awards. These uses of cash were partially offset by a $2.8 million increase in customer funds obligations, primarily due to timing differences between receipt of funds from customers and taxing jurisdiction withdrawals of these funds, $1.8 million in proceeds from the purchase of stock under our employee stock purchase plan (“ESPP”) and $0.4 million in proceeds from the exercise of stock options. For further information on the Cash Earn-outs, refer to Note 4, “Financial Instruments and Fair Value Measurements” to the condensed consolidated financial statements included in this Quarterly Report on Form 10-Q.</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Net cash used in financing activities of $20.2 million for the six months ended June 30, 2025 consisted of $26.1 million in payments for taxes related to the net share settlement of stock-based awards as well as a $3.5 million decrease in customer funds obligations, primarily due to timing differences between receipt of funds from customers and taxing jurisdiction withdrawals of these funds, partially offset by $7.7 million in proceeds from the exercise of stock options, and $1.8 million in proceeds from the purchase of stock under our ESPP.</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Debt</w:t>
      </w:r>
      <w:r>
        <w:rPr>
          <w:rFonts w:ascii="Times New Roman;Times;serif" w:hAnsi="Times New Roman;Times;serif"/>
          <w:b/>
          <w:sz w:val="20"/>
        </w:rPr>
        <w:t xml:space="preserve">. </w:t>
      </w:r>
      <w:r>
        <w:rPr>
          <w:rFonts w:ascii="Times New Roman;Times;serif" w:hAnsi="Times New Roman;Times;serif"/>
          <w:sz w:val="20"/>
        </w:rPr>
        <w:t>As of June 30, 2026, we had a $300.0 million Line of Credit with no outstanding borrowings in connection with our Credit Agreement. As of June 30, 2026, we had $345.0 million aggregate principal amount of debt outstanding related to our Notes. For further information on our debt obligations, refer to Note 8, “Debt” to the condensed consolidated financial statements included in this Quarterly Report on Form 10-Q.</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b/>
          <w:i/>
          <w:sz w:val="20"/>
        </w:rPr>
        <w:t>Repurchase Program.</w:t>
      </w:r>
      <w:r>
        <w:rPr>
          <w:rFonts w:ascii="Times New Roman;Times;serif" w:hAnsi="Times New Roman;Times;serif"/>
          <w:sz w:val="20"/>
        </w:rPr>
        <w:t xml:space="preserve"> On October 30, 2025, the Board authorized a stock repurchase program for up to $150.0 million of our outstanding shares of Class A common stock (the “Repurchase Program”). During the six months ended June 30,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2026, we repurchased 3,383,744 shares of our Class A common stock for an aggregate amount of $46.5 million (excluding exercise taxes and commissions) and have $93.4 million remaining for purchases under our authorization.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timing and actual number of shares repurchased under the Repurchase Program depend on a variety of factors, including price, general business and market conditions, and other investment opportunities. Shares may be repurchased through open market purchases or privately negotiated transactions, including through the use of trading plans intended to qualify under Rule 10b5-1 under the Exchange Act. Our Repurchase Program has no termination date and may be suspended, delayed, discontinued, or accelerated at any time. Any repurchased shares will be available for use in connection with our stock plans and for other corporate purposes. For further information on our Repurchase Program, refer to Note 9, “Stockholders’ Equity” to the condensed consolidated financial statements included in this Quarterly Report on Form 10-Q.</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Funds Held for Customers and Customer Funds Obligations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maintain trust accounts with financial institutions, which allow our customers to outsource their tax remittance functions to us. We have legal ownership over the accounts utilized for this purpose. Funds held for customers represent cash and cash equivalents that, based upon our intent, are restricted solely for satisfying the obligations to remit funds relating to our tax remittance services. Funds held for customers are not commingled with our operating funds.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Customer funds obligations represent our contractual obligations to remit collected funds to satisfy customer tax payments. Customer funds obligations are included as a current liability on our condensed consolidated balance sheets as the obligations are expected to be settled within one year. Cash flows related to changes in customer funds obligations liability are presented as cash flows from financing activities.</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Contractual Obligations and Commitments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As of June 30, 2026, we have no outstanding borrowings under our Line of Credit. Our Notes are due in May 2029. We expect to continue to fund debt maturities and interest payments with cash flows generated from operations, existing cash and cash equivalents, or proceeds from additional financing. For further information on our debt obligations, refer to Note 8, “Debt” to the condensed consolidated financial statements included in this Quarterly Report on Form 10-Q. </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There have been no material updates or changes to our contractual obligations and commitments compared to contractual obligations and commitments described in our 2025 Annual Report.</w:t>
      </w:r>
    </w:p>
    <w:p>
      <w:pPr>
        <w:pStyle w:val="TextBody"/>
        <w:bidi w:val="0"/>
        <w:spacing w:before="0" w:after="0"/>
        <w:ind w:left="0" w:right="0" w:firstLine="360"/>
        <w:jc w:val="both"/>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Key Business Metrics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regularly review the metrics identified below to evaluate growth trends, measure our performance, formulate financial projections and make strategic decisions.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Annual Recurring Revenue (“ARR”) and Average Annual Revenue Per Customer (“AARPC”).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derive the vast majority of our revenue from recurring software subscriptions. We believe ARR provides us with visibility to our projected software subscription revenue in order to evaluate the health of our business. Because we recognize subscription revenue ratably, we believe investors can use ARR to measure our expansion of existing customer revenues, new customer activity, and as an indicator of future software subscription revenues. ARR is based on monthly recurring revenue (“MRR”) from software subscriptions for the most recent month at period end, multiplied by twelve. MRR is calculated by dividing the software subscription price, inclusive of discounts, by the number of subscription covered months. MRR only includes direct customers with MRR at the end of the last month of the measurement period.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AARPC represents average annual revenue per direct customer and is calculated by dividing ARR by the number of software subscription direct customers at the end of the respective period.</w:t>
      </w:r>
    </w:p>
    <w:tbl>
      <w:tblPr>
        <w:tblW w:w="7222" w:type="dxa"/>
        <w:jc w:val="left"/>
        <w:tblInd w:w="0" w:type="dxa"/>
        <w:tblLayout w:type="fixed"/>
        <w:tblCellMar>
          <w:top w:w="0" w:type="dxa"/>
          <w:left w:w="0" w:type="dxa"/>
          <w:bottom w:w="0" w:type="dxa"/>
          <w:right w:w="0" w:type="dxa"/>
        </w:tblCellMar>
      </w:tblPr>
      <w:tblGrid>
        <w:gridCol w:w="2341"/>
        <w:gridCol w:w="346"/>
        <w:gridCol w:w="211"/>
        <w:gridCol w:w="571"/>
        <w:gridCol w:w="346"/>
        <w:gridCol w:w="211"/>
        <w:gridCol w:w="571"/>
        <w:gridCol w:w="346"/>
        <w:gridCol w:w="321"/>
        <w:gridCol w:w="709"/>
        <w:gridCol w:w="221"/>
        <w:gridCol w:w="712"/>
        <w:gridCol w:w="316"/>
      </w:tblGrid>
      <w:tr>
        <w:trPr/>
        <w:tc>
          <w:tcPr>
            <w:tcW w:w="2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5">
                      <wp:simplePos x="0" y="0"/>
                      <wp:positionH relativeFrom="character">
                        <wp:align>left</wp:align>
                      </wp:positionH>
                      <wp:positionV relativeFrom="line">
                        <wp:posOffset>635</wp:posOffset>
                      </wp:positionV>
                      <wp:extent cx="1486535" cy="175260"/>
                      <wp:effectExtent l="0" t="0" r="0" b="0"/>
                      <wp:wrapNone/>
                      <wp:docPr id="754" name="Frame754"/>
                      <a:graphic xmlns:a="http://schemas.openxmlformats.org/drawingml/2006/main">
                        <a:graphicData uri="http://schemas.microsoft.com/office/word/2010/wordprocessingShape">
                          <wps:wsp>
                            <wps:cNvSpPr txBox="1"/>
                            <wps:spPr>
                              <a:xfrm>
                                <a:off x="0" y="0"/>
                                <a:ext cx="1486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6">
                      <wp:simplePos x="0" y="0"/>
                      <wp:positionH relativeFrom="character">
                        <wp:align>left</wp:align>
                      </wp:positionH>
                      <wp:positionV relativeFrom="line">
                        <wp:posOffset>635</wp:posOffset>
                      </wp:positionV>
                      <wp:extent cx="219710" cy="175260"/>
                      <wp:effectExtent l="0" t="0" r="0" b="0"/>
                      <wp:wrapNone/>
                      <wp:docPr id="755" name="Frame7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7">
                      <wp:simplePos x="0" y="0"/>
                      <wp:positionH relativeFrom="character">
                        <wp:align>left</wp:align>
                      </wp:positionH>
                      <wp:positionV relativeFrom="line">
                        <wp:posOffset>635</wp:posOffset>
                      </wp:positionV>
                      <wp:extent cx="133985" cy="175260"/>
                      <wp:effectExtent l="0" t="0" r="0" b="0"/>
                      <wp:wrapNone/>
                      <wp:docPr id="756" name="Frame7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8">
                      <wp:simplePos x="0" y="0"/>
                      <wp:positionH relativeFrom="character">
                        <wp:align>left</wp:align>
                      </wp:positionH>
                      <wp:positionV relativeFrom="line">
                        <wp:posOffset>635</wp:posOffset>
                      </wp:positionV>
                      <wp:extent cx="362585" cy="175260"/>
                      <wp:effectExtent l="0" t="0" r="0" b="0"/>
                      <wp:wrapNone/>
                      <wp:docPr id="757" name="Frame75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9">
                      <wp:simplePos x="0" y="0"/>
                      <wp:positionH relativeFrom="character">
                        <wp:align>left</wp:align>
                      </wp:positionH>
                      <wp:positionV relativeFrom="line">
                        <wp:posOffset>635</wp:posOffset>
                      </wp:positionV>
                      <wp:extent cx="219710" cy="175260"/>
                      <wp:effectExtent l="0" t="0" r="0" b="0"/>
                      <wp:wrapNone/>
                      <wp:docPr id="758" name="Frame7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0">
                      <wp:simplePos x="0" y="0"/>
                      <wp:positionH relativeFrom="character">
                        <wp:align>left</wp:align>
                      </wp:positionH>
                      <wp:positionV relativeFrom="line">
                        <wp:posOffset>635</wp:posOffset>
                      </wp:positionV>
                      <wp:extent cx="133985" cy="175260"/>
                      <wp:effectExtent l="0" t="0" r="0" b="0"/>
                      <wp:wrapNone/>
                      <wp:docPr id="759" name="Frame7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1">
                      <wp:simplePos x="0" y="0"/>
                      <wp:positionH relativeFrom="character">
                        <wp:align>left</wp:align>
                      </wp:positionH>
                      <wp:positionV relativeFrom="line">
                        <wp:posOffset>635</wp:posOffset>
                      </wp:positionV>
                      <wp:extent cx="362585" cy="175260"/>
                      <wp:effectExtent l="0" t="0" r="0" b="0"/>
                      <wp:wrapNone/>
                      <wp:docPr id="760" name="Frame76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2">
                      <wp:simplePos x="0" y="0"/>
                      <wp:positionH relativeFrom="character">
                        <wp:align>left</wp:align>
                      </wp:positionH>
                      <wp:positionV relativeFrom="line">
                        <wp:posOffset>635</wp:posOffset>
                      </wp:positionV>
                      <wp:extent cx="219710" cy="175260"/>
                      <wp:effectExtent l="0" t="0" r="0" b="0"/>
                      <wp:wrapNone/>
                      <wp:docPr id="761" name="Frame7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3">
                      <wp:simplePos x="0" y="0"/>
                      <wp:positionH relativeFrom="character">
                        <wp:align>left</wp:align>
                      </wp:positionH>
                      <wp:positionV relativeFrom="line">
                        <wp:posOffset>635</wp:posOffset>
                      </wp:positionV>
                      <wp:extent cx="203835" cy="175260"/>
                      <wp:effectExtent l="0" t="0" r="0" b="0"/>
                      <wp:wrapNone/>
                      <wp:docPr id="762" name="Frame762"/>
                      <a:graphic xmlns:a="http://schemas.openxmlformats.org/drawingml/2006/main">
                        <a:graphicData uri="http://schemas.microsoft.com/office/word/2010/wordprocessingShape">
                          <wps:wsp>
                            <wps:cNvSpPr txBox="1"/>
                            <wps:spPr>
                              <a:xfrm>
                                <a:off x="0" y="0"/>
                                <a:ext cx="203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4">
                      <wp:simplePos x="0" y="0"/>
                      <wp:positionH relativeFrom="character">
                        <wp:align>left</wp:align>
                      </wp:positionH>
                      <wp:positionV relativeFrom="line">
                        <wp:posOffset>635</wp:posOffset>
                      </wp:positionV>
                      <wp:extent cx="450215" cy="175260"/>
                      <wp:effectExtent l="0" t="0" r="0" b="0"/>
                      <wp:wrapNone/>
                      <wp:docPr id="763" name="Frame763"/>
                      <a:graphic xmlns:a="http://schemas.openxmlformats.org/drawingml/2006/main">
                        <a:graphicData uri="http://schemas.microsoft.com/office/word/2010/wordprocessingShape">
                          <wps:wsp>
                            <wps:cNvSpPr txBox="1"/>
                            <wps:spPr>
                              <a:xfrm>
                                <a:off x="0" y="0"/>
                                <a:ext cx="450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5">
                      <wp:simplePos x="0" y="0"/>
                      <wp:positionH relativeFrom="character">
                        <wp:align>left</wp:align>
                      </wp:positionH>
                      <wp:positionV relativeFrom="line">
                        <wp:posOffset>635</wp:posOffset>
                      </wp:positionV>
                      <wp:extent cx="140335" cy="175260"/>
                      <wp:effectExtent l="0" t="0" r="0" b="0"/>
                      <wp:wrapNone/>
                      <wp:docPr id="764" name="Frame764"/>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6">
                      <wp:simplePos x="0" y="0"/>
                      <wp:positionH relativeFrom="character">
                        <wp:align>left</wp:align>
                      </wp:positionH>
                      <wp:positionV relativeFrom="line">
                        <wp:posOffset>635</wp:posOffset>
                      </wp:positionV>
                      <wp:extent cx="452120" cy="175260"/>
                      <wp:effectExtent l="0" t="0" r="0" b="0"/>
                      <wp:wrapNone/>
                      <wp:docPr id="765" name="Frame765"/>
                      <a:graphic xmlns:a="http://schemas.openxmlformats.org/drawingml/2006/main">
                        <a:graphicData uri="http://schemas.microsoft.com/office/word/2010/wordprocessingShape">
                          <wps:wsp>
                            <wps:cNvSpPr txBox="1"/>
                            <wps:spPr>
                              <a:xfrm>
                                <a:off x="0" y="0"/>
                                <a:ext cx="452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7">
                      <wp:simplePos x="0" y="0"/>
                      <wp:positionH relativeFrom="character">
                        <wp:align>left</wp:align>
                      </wp:positionH>
                      <wp:positionV relativeFrom="line">
                        <wp:posOffset>635</wp:posOffset>
                      </wp:positionV>
                      <wp:extent cx="200660" cy="175260"/>
                      <wp:effectExtent l="0" t="0" r="0" b="0"/>
                      <wp:wrapNone/>
                      <wp:docPr id="766" name="Frame76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10" w:type="dxa"/>
            <w:gridSpan w:val="5"/>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w:t>
            </w:r>
          </w:p>
        </w:tc>
        <w:tc>
          <w:tcPr>
            <w:tcW w:w="709"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712"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23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w:t>
            </w:r>
          </w:p>
        </w:tc>
        <w:tc>
          <w:tcPr>
            <w:tcW w:w="346" w:type="dxa"/>
            <w:tcBorders/>
            <w:vAlign w:val="center"/>
          </w:tcPr>
          <w:p>
            <w:pPr>
              <w:pStyle w:val="TableContents"/>
              <w:bidi w:val="0"/>
              <w:spacing w:before="0" w:after="0"/>
              <w:ind w:left="0" w:right="0" w:hanging="0"/>
              <w:jc w:val="left"/>
              <w:rPr/>
            </w:pPr>
            <w:r>
              <w:rPr/>
              <w:t>​</w:t>
            </w:r>
          </w:p>
        </w:tc>
        <w:tc>
          <w:tcPr>
            <w:tcW w:w="1963" w:type="dxa"/>
            <w:gridSpan w:val="4"/>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23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96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Year-Over-Year Change </w:t>
            </w:r>
          </w:p>
        </w:tc>
        <w:tc>
          <w:tcPr>
            <w:tcW w:w="316" w:type="dxa"/>
            <w:tcBorders/>
            <w:vAlign w:val="center"/>
          </w:tcPr>
          <w:p>
            <w:pPr>
              <w:pStyle w:val="TableContents"/>
              <w:bidi w:val="0"/>
              <w:spacing w:before="0" w:after="0"/>
              <w:ind w:left="0" w:right="0" w:hanging="0"/>
              <w:jc w:val="center"/>
              <w:rPr/>
            </w:pPr>
            <w:r>
              <w:rPr/>
              <w:t>​</w:t>
            </w:r>
          </w:p>
        </w:tc>
      </w:tr>
      <w:tr>
        <w:trPr/>
        <w:tc>
          <w:tcPr>
            <w:tcW w:w="2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Annual Recurring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703.4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636.6</w:t>
            </w:r>
          </w:p>
        </w:tc>
        <w:tc>
          <w:tcPr>
            <w:tcW w:w="346" w:type="dxa"/>
            <w:tcBorders/>
            <w:shd w:fill="CCEEFF" w:val="clear"/>
            <w:vAlign w:val="center"/>
          </w:tcPr>
          <w:p>
            <w:pPr>
              <w:pStyle w:val="TableContents"/>
              <w:bidi w:val="0"/>
              <w:spacing w:before="0" w:after="0"/>
              <w:ind w:left="0" w:right="0" w:hanging="0"/>
              <w:jc w:val="left"/>
              <w:rPr/>
            </w:pPr>
            <w:r>
              <w:rPr/>
              <w:t>​</w:t>
            </w:r>
          </w:p>
        </w:tc>
        <w:tc>
          <w:tcPr>
            <w:tcW w:w="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66.8</w:t>
            </w:r>
          </w:p>
        </w:tc>
        <w:tc>
          <w:tcPr>
            <w:tcW w:w="221" w:type="dxa"/>
            <w:tcBorders/>
            <w:shd w:fill="CCEEFF" w:val="clear"/>
            <w:vAlign w:val="center"/>
          </w:tcPr>
          <w:p>
            <w:pPr>
              <w:pStyle w:val="TableContents"/>
              <w:bidi w:val="0"/>
              <w:spacing w:before="0" w:after="0"/>
              <w:ind w:left="0" w:right="0" w:hanging="0"/>
              <w:jc w:val="left"/>
              <w:rPr/>
            </w:pPr>
            <w:r>
              <w:rPr/>
              <w:t> </w:t>
            </w:r>
          </w:p>
        </w:tc>
        <w:tc>
          <w:tcPr>
            <w:tcW w:w="7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ARR increased by $66.8 million, or 10.5%, at June 30, 2026, as compared to June 30, 2025. The increase was primarily driven by $36.4 million in growth of subscriptions for our solutions to new customers, and $30.4 million in growth of revenues from existing customers through their expanded use of our solutions, as well as price increases.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had 4,919 direct customers and AARPC was approximately $142,997 at June 30, 2026. At June 30, 2025, we had 4,862 direct customers and approximately $130,934 of AARPC. The increase in AARPC was primarily due to expansion of usage by existing customers and adding new scaled customers through organic growth.</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Net Revenue Retention Rate (“NRR”).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believe that our NRR provides insight into our ability to retain and grow revenue from our customers, as well as their potential long-term value to us. We also believe it demonstrates to investors our ability to expand existing customer revenues, which is one of our key growth strategies. Our NRR refers to the ARR expansion during the 12 months of a reporting period for all customers who were part of our customer base at the beginning of the reporting period. Our NRR calculation takes into account any revenue lost from departing customers or those who have downgraded or reduced usage, as well as any revenue expansion from migrations, new licenses for additional products or contractual and usage-based price changes. </w:t>
      </w:r>
    </w:p>
    <w:tbl>
      <w:tblPr>
        <w:tblW w:w="4536" w:type="dxa"/>
        <w:jc w:val="left"/>
        <w:tblInd w:w="0" w:type="dxa"/>
        <w:tblLayout w:type="fixed"/>
        <w:tblCellMar>
          <w:top w:w="0" w:type="dxa"/>
          <w:left w:w="0" w:type="dxa"/>
          <w:bottom w:w="0" w:type="dxa"/>
          <w:right w:w="0" w:type="dxa"/>
        </w:tblCellMar>
      </w:tblPr>
      <w:tblGrid>
        <w:gridCol w:w="2491"/>
        <w:gridCol w:w="346"/>
        <w:gridCol w:w="466"/>
        <w:gridCol w:w="361"/>
        <w:gridCol w:w="466"/>
        <w:gridCol w:w="406"/>
      </w:tblGrid>
      <w:tr>
        <w:trPr/>
        <w:tc>
          <w:tcPr>
            <w:tcW w:w="2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8">
                      <wp:simplePos x="0" y="0"/>
                      <wp:positionH relativeFrom="character">
                        <wp:align>left</wp:align>
                      </wp:positionH>
                      <wp:positionV relativeFrom="line">
                        <wp:posOffset>635</wp:posOffset>
                      </wp:positionV>
                      <wp:extent cx="1581785" cy="175260"/>
                      <wp:effectExtent l="0" t="0" r="0" b="0"/>
                      <wp:wrapNone/>
                      <wp:docPr id="767" name="Frame767"/>
                      <a:graphic xmlns:a="http://schemas.openxmlformats.org/drawingml/2006/main">
                        <a:graphicData uri="http://schemas.microsoft.com/office/word/2010/wordprocessingShape">
                          <wps:wsp>
                            <wps:cNvSpPr txBox="1"/>
                            <wps:spPr>
                              <a:xfrm>
                                <a:off x="0" y="0"/>
                                <a:ext cx="1581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9">
                      <wp:simplePos x="0" y="0"/>
                      <wp:positionH relativeFrom="character">
                        <wp:align>left</wp:align>
                      </wp:positionH>
                      <wp:positionV relativeFrom="line">
                        <wp:posOffset>635</wp:posOffset>
                      </wp:positionV>
                      <wp:extent cx="219710" cy="175260"/>
                      <wp:effectExtent l="0" t="0" r="0" b="0"/>
                      <wp:wrapNone/>
                      <wp:docPr id="768" name="Frame7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0">
                      <wp:simplePos x="0" y="0"/>
                      <wp:positionH relativeFrom="character">
                        <wp:align>left</wp:align>
                      </wp:positionH>
                      <wp:positionV relativeFrom="line">
                        <wp:posOffset>635</wp:posOffset>
                      </wp:positionV>
                      <wp:extent cx="295910" cy="175260"/>
                      <wp:effectExtent l="0" t="0" r="0" b="0"/>
                      <wp:wrapNone/>
                      <wp:docPr id="769" name="Frame769"/>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1">
                      <wp:simplePos x="0" y="0"/>
                      <wp:positionH relativeFrom="character">
                        <wp:align>left</wp:align>
                      </wp:positionH>
                      <wp:positionV relativeFrom="line">
                        <wp:posOffset>635</wp:posOffset>
                      </wp:positionV>
                      <wp:extent cx="229235" cy="175260"/>
                      <wp:effectExtent l="0" t="0" r="0" b="0"/>
                      <wp:wrapNone/>
                      <wp:docPr id="770" name="Frame77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2">
                      <wp:simplePos x="0" y="0"/>
                      <wp:positionH relativeFrom="character">
                        <wp:align>left</wp:align>
                      </wp:positionH>
                      <wp:positionV relativeFrom="line">
                        <wp:posOffset>635</wp:posOffset>
                      </wp:positionV>
                      <wp:extent cx="295910" cy="175260"/>
                      <wp:effectExtent l="0" t="0" r="0" b="0"/>
                      <wp:wrapNone/>
                      <wp:docPr id="771" name="Frame771"/>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3">
                      <wp:simplePos x="0" y="0"/>
                      <wp:positionH relativeFrom="character">
                        <wp:align>left</wp:align>
                      </wp:positionH>
                      <wp:positionV relativeFrom="line">
                        <wp:posOffset>635</wp:posOffset>
                      </wp:positionV>
                      <wp:extent cx="257810" cy="175260"/>
                      <wp:effectExtent l="0" t="0" r="0" b="0"/>
                      <wp:wrapNone/>
                      <wp:docPr id="772" name="Frame772"/>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9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w:t>
            </w:r>
          </w:p>
        </w:tc>
        <w:tc>
          <w:tcPr>
            <w:tcW w:w="406" w:type="dxa"/>
            <w:tcBorders/>
            <w:vAlign w:val="center"/>
          </w:tcPr>
          <w:p>
            <w:pPr>
              <w:pStyle w:val="TableContents"/>
              <w:bidi w:val="0"/>
              <w:spacing w:before="0" w:after="0"/>
              <w:ind w:left="0" w:right="0" w:hanging="0"/>
              <w:jc w:val="center"/>
              <w:rPr/>
            </w:pPr>
            <w:r>
              <w:rPr/>
              <w:t>​</w:t>
            </w:r>
          </w:p>
        </w:tc>
      </w:tr>
      <w:tr>
        <w:trPr/>
        <w:tc>
          <w:tcPr>
            <w:tcW w:w="24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1" w:type="dxa"/>
            <w:tcBorders/>
            <w:vAlign w:val="center"/>
          </w:tcPr>
          <w:p>
            <w:pPr>
              <w:pStyle w:val="TableContents"/>
              <w:bidi w:val="0"/>
              <w:spacing w:before="0" w:after="0"/>
              <w:ind w:left="0" w:right="0" w:hanging="0"/>
              <w:jc w:val="left"/>
              <w:rPr/>
            </w:pPr>
            <w:r>
              <w:rPr/>
              <w:t>  ​ ​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06" w:type="dxa"/>
            <w:tcBorders/>
            <w:vAlign w:val="center"/>
          </w:tcPr>
          <w:p>
            <w:pPr>
              <w:pStyle w:val="TableContents"/>
              <w:bidi w:val="0"/>
              <w:spacing w:before="0" w:after="0"/>
              <w:ind w:left="0" w:right="0" w:hanging="0"/>
              <w:jc w:val="center"/>
              <w:rPr/>
            </w:pPr>
            <w:r>
              <w:rPr/>
              <w:t>​</w:t>
            </w:r>
          </w:p>
        </w:tc>
      </w:tr>
      <w:tr>
        <w:trPr/>
        <w:tc>
          <w:tcPr>
            <w:tcW w:w="2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Revenue Retention Rate </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NRR decreased by 3%, at June 30, 2026, as compared to June 30, 2025. The decrease was largely due to lower growth of additional entitlements as our customers’ annual growth has slowed, keeping them within current bands of usage, as well as delayed deal activity seen for some of our large multinational customers due to the macroeconomic environment.</w:t>
      </w:r>
    </w:p>
    <w:p>
      <w:pPr>
        <w:pStyle w:val="TextBody"/>
        <w:bidi w:val="0"/>
        <w:spacing w:before="0" w:after="0"/>
        <w:ind w:left="0" w:right="0" w:hanging="0"/>
        <w:jc w:val="left"/>
        <w:rPr/>
      </w:pPr>
      <w:r>
        <w:rPr/>
        <w:t>​</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Gross Revenue Retention Rate (“GRR”).</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believe our GRR provides insight into and demonstrates to investors our ability to retain revenues from our existing customers. Our GRR refers to how much of our MRR we retain each month after reduction for the effects of revenues lost from departing customers or those who have downgraded or reduced usage. GRR does not take into account revenue expansion from migrations, new licenses for additional products or contractual and usage-based price changes. GRR does not include revenue reductions resulting from cancellations of customer subscriptions that are replaced by new subscriptions associated with customer migrations to a newer version of the related software solution.</w:t>
      </w:r>
    </w:p>
    <w:p>
      <w:pPr>
        <w:pStyle w:val="TextBody"/>
        <w:bidi w:val="0"/>
        <w:spacing w:before="0" w:after="0"/>
        <w:ind w:left="0" w:right="0" w:hanging="0"/>
        <w:jc w:val="both"/>
        <w:rPr/>
      </w:pPr>
      <w:r>
        <w:rPr/>
        <w:t>​</w:t>
      </w:r>
    </w:p>
    <w:p>
      <w:pPr>
        <w:pStyle w:val="TextBody"/>
        <w:bidi w:val="0"/>
        <w:spacing w:before="0" w:after="0"/>
        <w:ind w:left="0" w:right="0" w:firstLine="360"/>
        <w:jc w:val="both"/>
        <w:rPr/>
      </w:pPr>
      <w:r>
        <w:rPr/>
        <w:t> ​</w:t>
      </w:r>
    </w:p>
    <w:tbl>
      <w:tblPr>
        <w:tblW w:w="4701" w:type="dxa"/>
        <w:jc w:val="left"/>
        <w:tblInd w:w="0" w:type="dxa"/>
        <w:tblLayout w:type="fixed"/>
        <w:tblCellMar>
          <w:top w:w="0" w:type="dxa"/>
          <w:left w:w="0" w:type="dxa"/>
          <w:bottom w:w="0" w:type="dxa"/>
          <w:right w:w="0" w:type="dxa"/>
        </w:tblCellMar>
      </w:tblPr>
      <w:tblGrid>
        <w:gridCol w:w="2656"/>
        <w:gridCol w:w="346"/>
        <w:gridCol w:w="466"/>
        <w:gridCol w:w="361"/>
        <w:gridCol w:w="466"/>
        <w:gridCol w:w="406"/>
      </w:tblGrid>
      <w:tr>
        <w:trPr/>
        <w:tc>
          <w:tcPr>
            <w:tcW w:w="2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4">
                      <wp:simplePos x="0" y="0"/>
                      <wp:positionH relativeFrom="character">
                        <wp:align>left</wp:align>
                      </wp:positionH>
                      <wp:positionV relativeFrom="line">
                        <wp:posOffset>635</wp:posOffset>
                      </wp:positionV>
                      <wp:extent cx="1686560" cy="175260"/>
                      <wp:effectExtent l="0" t="0" r="0" b="0"/>
                      <wp:wrapNone/>
                      <wp:docPr id="773" name="Frame773"/>
                      <a:graphic xmlns:a="http://schemas.openxmlformats.org/drawingml/2006/main">
                        <a:graphicData uri="http://schemas.microsoft.com/office/word/2010/wordprocessingShape">
                          <wps:wsp>
                            <wps:cNvSpPr txBox="1"/>
                            <wps:spPr>
                              <a:xfrm>
                                <a:off x="0" y="0"/>
                                <a:ext cx="1686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5">
                      <wp:simplePos x="0" y="0"/>
                      <wp:positionH relativeFrom="character">
                        <wp:align>left</wp:align>
                      </wp:positionH>
                      <wp:positionV relativeFrom="line">
                        <wp:posOffset>635</wp:posOffset>
                      </wp:positionV>
                      <wp:extent cx="219710" cy="175260"/>
                      <wp:effectExtent l="0" t="0" r="0" b="0"/>
                      <wp:wrapNone/>
                      <wp:docPr id="774" name="Frame7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6">
                      <wp:simplePos x="0" y="0"/>
                      <wp:positionH relativeFrom="character">
                        <wp:align>left</wp:align>
                      </wp:positionH>
                      <wp:positionV relativeFrom="line">
                        <wp:posOffset>635</wp:posOffset>
                      </wp:positionV>
                      <wp:extent cx="295910" cy="175260"/>
                      <wp:effectExtent l="0" t="0" r="0" b="0"/>
                      <wp:wrapNone/>
                      <wp:docPr id="775" name="Frame775"/>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7">
                      <wp:simplePos x="0" y="0"/>
                      <wp:positionH relativeFrom="character">
                        <wp:align>left</wp:align>
                      </wp:positionH>
                      <wp:positionV relativeFrom="line">
                        <wp:posOffset>635</wp:posOffset>
                      </wp:positionV>
                      <wp:extent cx="229235" cy="175260"/>
                      <wp:effectExtent l="0" t="0" r="0" b="0"/>
                      <wp:wrapNone/>
                      <wp:docPr id="776" name="Frame77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8">
                      <wp:simplePos x="0" y="0"/>
                      <wp:positionH relativeFrom="character">
                        <wp:align>left</wp:align>
                      </wp:positionH>
                      <wp:positionV relativeFrom="line">
                        <wp:posOffset>635</wp:posOffset>
                      </wp:positionV>
                      <wp:extent cx="295910" cy="175260"/>
                      <wp:effectExtent l="0" t="0" r="0" b="0"/>
                      <wp:wrapNone/>
                      <wp:docPr id="777" name="Frame777"/>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9">
                      <wp:simplePos x="0" y="0"/>
                      <wp:positionH relativeFrom="character">
                        <wp:align>left</wp:align>
                      </wp:positionH>
                      <wp:positionV relativeFrom="line">
                        <wp:posOffset>635</wp:posOffset>
                      </wp:positionV>
                      <wp:extent cx="257810" cy="175260"/>
                      <wp:effectExtent l="0" t="0" r="0" b="0"/>
                      <wp:wrapNone/>
                      <wp:docPr id="778" name="Frame778"/>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9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w:t>
            </w:r>
          </w:p>
        </w:tc>
        <w:tc>
          <w:tcPr>
            <w:tcW w:w="406" w:type="dxa"/>
            <w:tcBorders/>
            <w:vAlign w:val="center"/>
          </w:tcPr>
          <w:p>
            <w:pPr>
              <w:pStyle w:val="TableContents"/>
              <w:bidi w:val="0"/>
              <w:spacing w:before="0" w:after="0"/>
              <w:ind w:left="0" w:right="0" w:hanging="0"/>
              <w:jc w:val="center"/>
              <w:rPr/>
            </w:pPr>
            <w:r>
              <w:rPr/>
              <w:t>​</w:t>
            </w:r>
          </w:p>
        </w:tc>
      </w:tr>
      <w:tr>
        <w:trPr/>
        <w:tc>
          <w:tcPr>
            <w:tcW w:w="26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1" w:type="dxa"/>
            <w:tcBorders/>
            <w:vAlign w:val="center"/>
          </w:tcPr>
          <w:p>
            <w:pPr>
              <w:pStyle w:val="TableContents"/>
              <w:bidi w:val="0"/>
              <w:spacing w:before="0" w:after="0"/>
              <w:ind w:left="0" w:right="0" w:hanging="0"/>
              <w:jc w:val="left"/>
              <w:rPr/>
            </w:pPr>
            <w:r>
              <w:rPr/>
              <w:t>  ​ ​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06" w:type="dxa"/>
            <w:tcBorders/>
            <w:vAlign w:val="center"/>
          </w:tcPr>
          <w:p>
            <w:pPr>
              <w:pStyle w:val="TableContents"/>
              <w:bidi w:val="0"/>
              <w:spacing w:before="0" w:after="0"/>
              <w:ind w:left="0" w:right="0" w:hanging="0"/>
              <w:jc w:val="center"/>
              <w:rPr/>
            </w:pPr>
            <w:r>
              <w:rPr/>
              <w:t>​</w:t>
            </w:r>
          </w:p>
        </w:tc>
      </w:tr>
      <w:tr>
        <w:trPr/>
        <w:tc>
          <w:tcPr>
            <w:tcW w:w="265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Gross Revenue Retention Rate </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Adjusted EBITDA and Adjusted EBITDA Margin.</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We believe that Adjusted EBITDA is a measure widely used by securities analysts and investors to evaluate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financial performance of our company and other companies. We believe that Adjusted EBITDA and Adjusted EBITDA margin are useful as supplemental measures to evaluate our overall operating performance as they measure business performance focusing on cash related charges and because they are important metrics to lenders under our Credit Agreement. We define Adjusted EBITDA as net loss or income before interest, taxes, depreciation, and amortization, as adjusted to exclude charges for stock-based compensation expense, amortization of cloud computing arrangement implementation costs, severance expense, acquisition contingent consideration, changes in the fair value of acquisition contingent earn-outs, acquisition-related retained employee compensation, and transaction costs. Adjusted EBITDA margin represents Adjusted EBITDA divided by total revenues for the same period. For purposes of comparison, our net income (loss) was $9.0 million and $(1.0) million for the three months ended June 30, 2026 and 2025, respectively, while our net income (loss) margin was 4.4% and (0.5)% over the same periods, respectively. Additionally, our net income was $6.5 million and $10.2 million for the six months ended June 30, 2026 and 2025, respectively, while our net income margin was 1.6% and 2.8% over the same periods, respectively.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unable to reconcile forward-looking Adjusted EBITDA to net income (loss), the most directly comparable GAAP financial measure, without unreasonable efforts because we are currently unable to predict with a reasonable degree of certainty the type and extent of certain items that would be expected to impact net income (loss) for these periods but would not impact Adjusted EBITDA.</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658"/>
        <w:gridCol w:w="395"/>
        <w:gridCol w:w="241"/>
        <w:gridCol w:w="897"/>
        <w:gridCol w:w="412"/>
        <w:gridCol w:w="241"/>
        <w:gridCol w:w="893"/>
        <w:gridCol w:w="412"/>
        <w:gridCol w:w="241"/>
        <w:gridCol w:w="897"/>
        <w:gridCol w:w="412"/>
        <w:gridCol w:w="241"/>
        <w:gridCol w:w="897"/>
        <w:gridCol w:w="368"/>
      </w:tblGrid>
      <w:tr>
        <w:trPr/>
        <w:tc>
          <w:tcPr>
            <w:tcW w:w="36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0">
                      <wp:simplePos x="0" y="0"/>
                      <wp:positionH relativeFrom="character">
                        <wp:align>left</wp:align>
                      </wp:positionH>
                      <wp:positionV relativeFrom="line">
                        <wp:posOffset>635</wp:posOffset>
                      </wp:positionV>
                      <wp:extent cx="2322830" cy="175260"/>
                      <wp:effectExtent l="0" t="0" r="0" b="0"/>
                      <wp:wrapNone/>
                      <wp:docPr id="779" name="Frame779"/>
                      <a:graphic xmlns:a="http://schemas.openxmlformats.org/drawingml/2006/main">
                        <a:graphicData uri="http://schemas.microsoft.com/office/word/2010/wordprocessingShape">
                          <wps:wsp>
                            <wps:cNvSpPr txBox="1"/>
                            <wps:spPr>
                              <a:xfrm>
                                <a:off x="0" y="0"/>
                                <a:ext cx="2322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1">
                      <wp:simplePos x="0" y="0"/>
                      <wp:positionH relativeFrom="character">
                        <wp:align>left</wp:align>
                      </wp:positionH>
                      <wp:positionV relativeFrom="line">
                        <wp:posOffset>635</wp:posOffset>
                      </wp:positionV>
                      <wp:extent cx="250825" cy="175260"/>
                      <wp:effectExtent l="0" t="0" r="0" b="0"/>
                      <wp:wrapNone/>
                      <wp:docPr id="780" name="Frame780"/>
                      <a:graphic xmlns:a="http://schemas.openxmlformats.org/drawingml/2006/main">
                        <a:graphicData uri="http://schemas.microsoft.com/office/word/2010/wordprocessingShape">
                          <wps:wsp>
                            <wps:cNvSpPr txBox="1"/>
                            <wps:spPr>
                              <a:xfrm>
                                <a:off x="0" y="0"/>
                                <a:ext cx="250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2">
                      <wp:simplePos x="0" y="0"/>
                      <wp:positionH relativeFrom="character">
                        <wp:align>left</wp:align>
                      </wp:positionH>
                      <wp:positionV relativeFrom="line">
                        <wp:posOffset>635</wp:posOffset>
                      </wp:positionV>
                      <wp:extent cx="153035" cy="175260"/>
                      <wp:effectExtent l="0" t="0" r="0" b="0"/>
                      <wp:wrapNone/>
                      <wp:docPr id="781" name="Frame781"/>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3">
                      <wp:simplePos x="0" y="0"/>
                      <wp:positionH relativeFrom="character">
                        <wp:align>left</wp:align>
                      </wp:positionH>
                      <wp:positionV relativeFrom="line">
                        <wp:posOffset>635</wp:posOffset>
                      </wp:positionV>
                      <wp:extent cx="569595" cy="175260"/>
                      <wp:effectExtent l="0" t="0" r="0" b="0"/>
                      <wp:wrapNone/>
                      <wp:docPr id="782" name="Frame782"/>
                      <a:graphic xmlns:a="http://schemas.openxmlformats.org/drawingml/2006/main">
                        <a:graphicData uri="http://schemas.microsoft.com/office/word/2010/wordprocessingShape">
                          <wps:wsp>
                            <wps:cNvSpPr txBox="1"/>
                            <wps:spPr>
                              <a:xfrm>
                                <a:off x="0" y="0"/>
                                <a:ext cx="569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4">
                      <wp:simplePos x="0" y="0"/>
                      <wp:positionH relativeFrom="character">
                        <wp:align>left</wp:align>
                      </wp:positionH>
                      <wp:positionV relativeFrom="line">
                        <wp:posOffset>635</wp:posOffset>
                      </wp:positionV>
                      <wp:extent cx="261620" cy="175260"/>
                      <wp:effectExtent l="0" t="0" r="0" b="0"/>
                      <wp:wrapNone/>
                      <wp:docPr id="783" name="Frame783"/>
                      <a:graphic xmlns:a="http://schemas.openxmlformats.org/drawingml/2006/main">
                        <a:graphicData uri="http://schemas.microsoft.com/office/word/2010/wordprocessingShape">
                          <wps:wsp>
                            <wps:cNvSpPr txBox="1"/>
                            <wps:spPr>
                              <a:xfrm>
                                <a:off x="0" y="0"/>
                                <a:ext cx="261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5">
                      <wp:simplePos x="0" y="0"/>
                      <wp:positionH relativeFrom="character">
                        <wp:align>left</wp:align>
                      </wp:positionH>
                      <wp:positionV relativeFrom="line">
                        <wp:posOffset>635</wp:posOffset>
                      </wp:positionV>
                      <wp:extent cx="153035" cy="175260"/>
                      <wp:effectExtent l="0" t="0" r="0" b="0"/>
                      <wp:wrapNone/>
                      <wp:docPr id="784" name="Frame784"/>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6">
                      <wp:simplePos x="0" y="0"/>
                      <wp:positionH relativeFrom="character">
                        <wp:align>left</wp:align>
                      </wp:positionH>
                      <wp:positionV relativeFrom="line">
                        <wp:posOffset>635</wp:posOffset>
                      </wp:positionV>
                      <wp:extent cx="567055" cy="175260"/>
                      <wp:effectExtent l="0" t="0" r="0" b="0"/>
                      <wp:wrapNone/>
                      <wp:docPr id="785" name="Frame785"/>
                      <a:graphic xmlns:a="http://schemas.openxmlformats.org/drawingml/2006/main">
                        <a:graphicData uri="http://schemas.microsoft.com/office/word/2010/wordprocessingShape">
                          <wps:wsp>
                            <wps:cNvSpPr txBox="1"/>
                            <wps:spPr>
                              <a:xfrm>
                                <a:off x="0" y="0"/>
                                <a:ext cx="567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7">
                      <wp:simplePos x="0" y="0"/>
                      <wp:positionH relativeFrom="character">
                        <wp:align>left</wp:align>
                      </wp:positionH>
                      <wp:positionV relativeFrom="line">
                        <wp:posOffset>635</wp:posOffset>
                      </wp:positionV>
                      <wp:extent cx="261620" cy="175260"/>
                      <wp:effectExtent l="0" t="0" r="0" b="0"/>
                      <wp:wrapNone/>
                      <wp:docPr id="786" name="Frame786"/>
                      <a:graphic xmlns:a="http://schemas.openxmlformats.org/drawingml/2006/main">
                        <a:graphicData uri="http://schemas.microsoft.com/office/word/2010/wordprocessingShape">
                          <wps:wsp>
                            <wps:cNvSpPr txBox="1"/>
                            <wps:spPr>
                              <a:xfrm>
                                <a:off x="0" y="0"/>
                                <a:ext cx="261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8">
                      <wp:simplePos x="0" y="0"/>
                      <wp:positionH relativeFrom="character">
                        <wp:align>left</wp:align>
                      </wp:positionH>
                      <wp:positionV relativeFrom="line">
                        <wp:posOffset>635</wp:posOffset>
                      </wp:positionV>
                      <wp:extent cx="153035" cy="175260"/>
                      <wp:effectExtent l="0" t="0" r="0" b="0"/>
                      <wp:wrapNone/>
                      <wp:docPr id="787" name="Frame787"/>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9">
                      <wp:simplePos x="0" y="0"/>
                      <wp:positionH relativeFrom="character">
                        <wp:align>left</wp:align>
                      </wp:positionH>
                      <wp:positionV relativeFrom="line">
                        <wp:posOffset>635</wp:posOffset>
                      </wp:positionV>
                      <wp:extent cx="569595" cy="175260"/>
                      <wp:effectExtent l="0" t="0" r="0" b="0"/>
                      <wp:wrapNone/>
                      <wp:docPr id="788" name="Frame788"/>
                      <a:graphic xmlns:a="http://schemas.openxmlformats.org/drawingml/2006/main">
                        <a:graphicData uri="http://schemas.microsoft.com/office/word/2010/wordprocessingShape">
                          <wps:wsp>
                            <wps:cNvSpPr txBox="1"/>
                            <wps:spPr>
                              <a:xfrm>
                                <a:off x="0" y="0"/>
                                <a:ext cx="569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0">
                      <wp:simplePos x="0" y="0"/>
                      <wp:positionH relativeFrom="character">
                        <wp:align>left</wp:align>
                      </wp:positionH>
                      <wp:positionV relativeFrom="line">
                        <wp:posOffset>635</wp:posOffset>
                      </wp:positionV>
                      <wp:extent cx="261620" cy="175260"/>
                      <wp:effectExtent l="0" t="0" r="0" b="0"/>
                      <wp:wrapNone/>
                      <wp:docPr id="789" name="Frame789"/>
                      <a:graphic xmlns:a="http://schemas.openxmlformats.org/drawingml/2006/main">
                        <a:graphicData uri="http://schemas.microsoft.com/office/word/2010/wordprocessingShape">
                          <wps:wsp>
                            <wps:cNvSpPr txBox="1"/>
                            <wps:spPr>
                              <a:xfrm>
                                <a:off x="0" y="0"/>
                                <a:ext cx="261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1">
                      <wp:simplePos x="0" y="0"/>
                      <wp:positionH relativeFrom="character">
                        <wp:align>left</wp:align>
                      </wp:positionH>
                      <wp:positionV relativeFrom="line">
                        <wp:posOffset>635</wp:posOffset>
                      </wp:positionV>
                      <wp:extent cx="153035" cy="175260"/>
                      <wp:effectExtent l="0" t="0" r="0" b="0"/>
                      <wp:wrapNone/>
                      <wp:docPr id="790" name="Frame790"/>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2">
                      <wp:simplePos x="0" y="0"/>
                      <wp:positionH relativeFrom="character">
                        <wp:align>left</wp:align>
                      </wp:positionH>
                      <wp:positionV relativeFrom="line">
                        <wp:posOffset>635</wp:posOffset>
                      </wp:positionV>
                      <wp:extent cx="569595" cy="175260"/>
                      <wp:effectExtent l="0" t="0" r="0" b="0"/>
                      <wp:wrapNone/>
                      <wp:docPr id="791" name="Frame791"/>
                      <a:graphic xmlns:a="http://schemas.openxmlformats.org/drawingml/2006/main">
                        <a:graphicData uri="http://schemas.microsoft.com/office/word/2010/wordprocessingShape">
                          <wps:wsp>
                            <wps:cNvSpPr txBox="1"/>
                            <wps:spPr>
                              <a:xfrm>
                                <a:off x="0" y="0"/>
                                <a:ext cx="569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3">
                      <wp:simplePos x="0" y="0"/>
                      <wp:positionH relativeFrom="character">
                        <wp:align>left</wp:align>
                      </wp:positionH>
                      <wp:positionV relativeFrom="line">
                        <wp:posOffset>635</wp:posOffset>
                      </wp:positionV>
                      <wp:extent cx="233680" cy="175260"/>
                      <wp:effectExtent l="0" t="0" r="0" b="0"/>
                      <wp:wrapNone/>
                      <wp:docPr id="792" name="Frame792"/>
                      <a:graphic xmlns:a="http://schemas.openxmlformats.org/drawingml/2006/main">
                        <a:graphicData uri="http://schemas.microsoft.com/office/word/2010/wordprocessingShape">
                          <wps:wsp>
                            <wps:cNvSpPr txBox="1"/>
                            <wps:spPr>
                              <a:xfrm>
                                <a:off x="0" y="0"/>
                                <a:ext cx="233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58" w:type="dxa"/>
            <w:tcBorders/>
            <w:vAlign w:val="center"/>
          </w:tcPr>
          <w:p>
            <w:pPr>
              <w:pStyle w:val="TableContents"/>
              <w:bidi w:val="0"/>
              <w:spacing w:before="0" w:after="0"/>
              <w:ind w:left="0" w:right="0" w:hanging="0"/>
              <w:jc w:val="left"/>
              <w:rPr/>
            </w:pPr>
            <w:r>
              <w:rPr/>
              <w:t>​</w:t>
            </w:r>
          </w:p>
        </w:tc>
        <w:tc>
          <w:tcPr>
            <w:tcW w:w="395" w:type="dxa"/>
            <w:tcBorders/>
            <w:vAlign w:val="center"/>
          </w:tcPr>
          <w:p>
            <w:pPr>
              <w:pStyle w:val="TableContents"/>
              <w:bidi w:val="0"/>
              <w:spacing w:before="0" w:after="0"/>
              <w:ind w:left="0" w:right="0" w:hanging="0"/>
              <w:jc w:val="center"/>
              <w:rPr/>
            </w:pPr>
            <w:r>
              <w:rPr/>
              <w:t>​</w:t>
            </w:r>
          </w:p>
        </w:tc>
        <w:tc>
          <w:tcPr>
            <w:tcW w:w="268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412" w:type="dxa"/>
            <w:tcBorders/>
            <w:vAlign w:val="center"/>
          </w:tcPr>
          <w:p>
            <w:pPr>
              <w:pStyle w:val="TableContents"/>
              <w:bidi w:val="0"/>
              <w:spacing w:before="0" w:after="0"/>
              <w:ind w:left="0" w:right="0" w:hanging="0"/>
              <w:jc w:val="center"/>
              <w:rPr/>
            </w:pPr>
            <w:r>
              <w:rPr/>
              <w:t>​</w:t>
            </w:r>
          </w:p>
        </w:tc>
        <w:tc>
          <w:tcPr>
            <w:tcW w:w="268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c>
          <w:tcPr>
            <w:tcW w:w="368" w:type="dxa"/>
            <w:tcBorders/>
            <w:vAlign w:val="center"/>
          </w:tcPr>
          <w:p>
            <w:pPr>
              <w:pStyle w:val="TableContents"/>
              <w:bidi w:val="0"/>
              <w:spacing w:before="0" w:after="0"/>
              <w:ind w:left="0" w:right="0" w:hanging="0"/>
              <w:jc w:val="center"/>
              <w:rPr/>
            </w:pPr>
            <w:r>
              <w:rPr/>
              <w:t>​</w:t>
            </w:r>
          </w:p>
        </w:tc>
      </w:tr>
      <w:tr>
        <w:trPr/>
        <w:tc>
          <w:tcPr>
            <w:tcW w:w="3658" w:type="dxa"/>
            <w:tcBorders/>
            <w:vAlign w:val="center"/>
          </w:tcPr>
          <w:p>
            <w:pPr>
              <w:pStyle w:val="TableContents"/>
              <w:bidi w:val="0"/>
              <w:spacing w:before="0" w:after="0"/>
              <w:ind w:left="0" w:right="0" w:hanging="0"/>
              <w:jc w:val="left"/>
              <w:rPr/>
            </w:pPr>
            <w:r>
              <w:rPr/>
              <w:t>​</w:t>
            </w:r>
          </w:p>
        </w:tc>
        <w:tc>
          <w:tcPr>
            <w:tcW w:w="395" w:type="dxa"/>
            <w:tcBorders/>
            <w:vAlign w:val="center"/>
          </w:tcPr>
          <w:p>
            <w:pPr>
              <w:pStyle w:val="TableContents"/>
              <w:bidi w:val="0"/>
              <w:spacing w:before="0" w:after="0"/>
              <w:ind w:left="0" w:right="0" w:hanging="0"/>
              <w:jc w:val="center"/>
              <w:rPr/>
            </w:pPr>
            <w:r>
              <w:rPr/>
              <w:t>​</w:t>
            </w:r>
          </w:p>
        </w:tc>
        <w:tc>
          <w:tcPr>
            <w:tcW w:w="268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412" w:type="dxa"/>
            <w:tcBorders/>
            <w:vAlign w:val="center"/>
          </w:tcPr>
          <w:p>
            <w:pPr>
              <w:pStyle w:val="TableContents"/>
              <w:bidi w:val="0"/>
              <w:spacing w:before="0" w:after="0"/>
              <w:ind w:left="0" w:right="0" w:hanging="0"/>
              <w:jc w:val="center"/>
              <w:rPr/>
            </w:pPr>
            <w:r>
              <w:rPr/>
              <w:t>​</w:t>
            </w:r>
          </w:p>
        </w:tc>
        <w:tc>
          <w:tcPr>
            <w:tcW w:w="268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68" w:type="dxa"/>
            <w:tcBorders/>
            <w:vAlign w:val="center"/>
          </w:tcPr>
          <w:p>
            <w:pPr>
              <w:pStyle w:val="TableContents"/>
              <w:bidi w:val="0"/>
              <w:spacing w:before="0" w:after="0"/>
              <w:ind w:left="0" w:right="0" w:hanging="0"/>
              <w:jc w:val="center"/>
              <w:rPr/>
            </w:pPr>
            <w:r>
              <w:rPr/>
              <w:t>​</w:t>
            </w:r>
          </w:p>
        </w:tc>
      </w:tr>
      <w:tr>
        <w:trPr/>
        <w:tc>
          <w:tcPr>
            <w:tcW w:w="3658"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95" w:type="dxa"/>
            <w:tcBorders/>
            <w:vAlign w:val="center"/>
          </w:tcPr>
          <w:p>
            <w:pPr>
              <w:pStyle w:val="TableContents"/>
              <w:bidi w:val="0"/>
              <w:spacing w:before="0" w:after="0"/>
              <w:ind w:left="0" w:right="0" w:hanging="0"/>
              <w:jc w:val="center"/>
              <w:rPr/>
            </w:pPr>
            <w:r>
              <w:rPr/>
              <w:t>  ​ ​ ​</w:t>
            </w:r>
          </w:p>
        </w:tc>
        <w:tc>
          <w:tcPr>
            <w:tcW w:w="11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12" w:type="dxa"/>
            <w:tcBorders/>
            <w:vAlign w:val="center"/>
          </w:tcPr>
          <w:p>
            <w:pPr>
              <w:pStyle w:val="TableContents"/>
              <w:bidi w:val="0"/>
              <w:spacing w:before="0" w:after="0"/>
              <w:ind w:left="0" w:right="0" w:hanging="0"/>
              <w:jc w:val="left"/>
              <w:rPr/>
            </w:pPr>
            <w:r>
              <w:rPr/>
              <w:t>  ​ ​ ​</w:t>
            </w:r>
          </w:p>
        </w:tc>
        <w:tc>
          <w:tcPr>
            <w:tcW w:w="11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12" w:type="dxa"/>
            <w:tcBorders/>
            <w:vAlign w:val="center"/>
          </w:tcPr>
          <w:p>
            <w:pPr>
              <w:pStyle w:val="TableContents"/>
              <w:bidi w:val="0"/>
              <w:spacing w:before="0" w:after="0"/>
              <w:ind w:left="0" w:right="0" w:hanging="0"/>
              <w:jc w:val="center"/>
              <w:rPr/>
            </w:pPr>
            <w:r>
              <w:rPr/>
              <w:t>​</w:t>
            </w:r>
          </w:p>
        </w:tc>
        <w:tc>
          <w:tcPr>
            <w:tcW w:w="11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12" w:type="dxa"/>
            <w:tcBorders/>
            <w:vAlign w:val="center"/>
          </w:tcPr>
          <w:p>
            <w:pPr>
              <w:pStyle w:val="TableContents"/>
              <w:bidi w:val="0"/>
              <w:spacing w:before="0" w:after="0"/>
              <w:ind w:left="0" w:right="0" w:hanging="0"/>
              <w:jc w:val="left"/>
              <w:rPr/>
            </w:pPr>
            <w:r>
              <w:rPr/>
              <w:t>  ​ ​ ​</w:t>
            </w:r>
          </w:p>
        </w:tc>
        <w:tc>
          <w:tcPr>
            <w:tcW w:w="11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8" w:type="dxa"/>
            <w:tcBorders/>
            <w:vAlign w:val="center"/>
          </w:tcPr>
          <w:p>
            <w:pPr>
              <w:pStyle w:val="TableContents"/>
              <w:bidi w:val="0"/>
              <w:spacing w:before="0" w:after="0"/>
              <w:ind w:left="0" w:right="0" w:hanging="0"/>
              <w:jc w:val="center"/>
              <w:rPr/>
            </w:pPr>
            <w:r>
              <w:rPr/>
              <w:t>​</w:t>
            </w:r>
          </w:p>
        </w:tc>
      </w:tr>
      <w:tr>
        <w:trPr/>
        <w:tc>
          <w:tcPr>
            <w:tcW w:w="10205" w:type="dxa"/>
            <w:gridSpan w:val="14"/>
            <w:tcBorders/>
            <w:vAlign w:val="center"/>
          </w:tcPr>
          <w:p>
            <w:pPr>
              <w:pStyle w:val="TableContents"/>
              <w:bidi w:val="0"/>
              <w:spacing w:before="0" w:after="283"/>
              <w:ind w:left="0" w:right="0" w:hanging="0"/>
              <w:jc w:val="left"/>
              <w:rPr>
                <w:sz w:val="4"/>
                <w:szCs w:val="4"/>
              </w:rPr>
            </w:pPr>
            <w:r>
              <w:rPr>
                <w:sz w:val="4"/>
                <w:szCs w:val="4"/>
              </w:rPr>
            </w:r>
          </w:p>
        </w:tc>
      </w:tr>
      <w:tr>
        <w:trPr/>
        <w:tc>
          <w:tcPr>
            <w:tcW w:w="3658" w:type="dxa"/>
            <w:tcBorders/>
            <w:vAlign w:val="center"/>
          </w:tcPr>
          <w:p>
            <w:pPr>
              <w:pStyle w:val="TableContents"/>
              <w:bidi w:val="0"/>
              <w:spacing w:before="0" w:after="0"/>
              <w:ind w:left="0" w:right="0" w:hanging="0"/>
              <w:jc w:val="left"/>
              <w:rPr/>
            </w:pPr>
            <w:r>
              <w:rPr/>
              <w:t>​</w:t>
            </w:r>
          </w:p>
        </w:tc>
        <w:tc>
          <w:tcPr>
            <w:tcW w:w="395" w:type="dxa"/>
            <w:tcBorders/>
            <w:vAlign w:val="center"/>
          </w:tcPr>
          <w:p>
            <w:pPr>
              <w:pStyle w:val="TableContents"/>
              <w:bidi w:val="0"/>
              <w:spacing w:before="0" w:after="0"/>
              <w:ind w:left="0" w:right="0" w:hanging="0"/>
              <w:jc w:val="center"/>
              <w:rPr/>
            </w:pPr>
            <w:r>
              <w:rPr/>
              <w:t>​</w:t>
            </w:r>
          </w:p>
        </w:tc>
        <w:tc>
          <w:tcPr>
            <w:tcW w:w="241" w:type="dxa"/>
            <w:tcBorders/>
            <w:vAlign w:val="center"/>
          </w:tcPr>
          <w:p>
            <w:pPr>
              <w:pStyle w:val="TableContents"/>
              <w:bidi w:val="0"/>
              <w:spacing w:before="0" w:after="0"/>
              <w:ind w:left="0" w:right="0" w:hanging="0"/>
              <w:jc w:val="center"/>
              <w:rPr/>
            </w:pPr>
            <w:r>
              <w:rPr/>
              <w:t>​</w:t>
            </w:r>
          </w:p>
        </w:tc>
        <w:tc>
          <w:tcPr>
            <w:tcW w:w="2443"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412" w:type="dxa"/>
            <w:tcBorders/>
            <w:vAlign w:val="center"/>
          </w:tcPr>
          <w:p>
            <w:pPr>
              <w:pStyle w:val="TableContents"/>
              <w:bidi w:val="0"/>
              <w:spacing w:before="0" w:after="0"/>
              <w:ind w:left="0" w:right="0" w:hanging="0"/>
              <w:jc w:val="center"/>
              <w:rPr/>
            </w:pPr>
            <w:r>
              <w:rPr/>
              <w:t>​</w:t>
            </w:r>
          </w:p>
        </w:tc>
        <w:tc>
          <w:tcPr>
            <w:tcW w:w="241" w:type="dxa"/>
            <w:tcBorders/>
            <w:vAlign w:val="center"/>
          </w:tcPr>
          <w:p>
            <w:pPr>
              <w:pStyle w:val="TableContents"/>
              <w:bidi w:val="0"/>
              <w:spacing w:before="0" w:after="0"/>
              <w:ind w:left="0" w:right="0" w:hanging="0"/>
              <w:jc w:val="center"/>
              <w:rPr/>
            </w:pPr>
            <w:r>
              <w:rPr/>
              <w:t>​</w:t>
            </w:r>
          </w:p>
        </w:tc>
        <w:tc>
          <w:tcPr>
            <w:tcW w:w="2447"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68" w:type="dxa"/>
            <w:tcBorders/>
            <w:vAlign w:val="center"/>
          </w:tcPr>
          <w:p>
            <w:pPr>
              <w:pStyle w:val="TableContents"/>
              <w:bidi w:val="0"/>
              <w:spacing w:before="0" w:after="0"/>
              <w:ind w:left="0" w:right="0" w:hanging="0"/>
              <w:jc w:val="center"/>
              <w:rPr/>
            </w:pPr>
            <w:r>
              <w:rPr/>
              <w:t>​</w:t>
            </w:r>
          </w:p>
        </w:tc>
      </w:tr>
      <w:tr>
        <w:trPr/>
        <w:tc>
          <w:tcPr>
            <w:tcW w:w="365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Adjusted EBITDA:</w:t>
            </w:r>
          </w:p>
        </w:tc>
        <w:tc>
          <w:tcPr>
            <w:tcW w:w="395"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897"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412"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left"/>
              <w:rPr/>
            </w:pPr>
            <w:r>
              <w:rPr/>
              <w:t>​</w:t>
            </w:r>
          </w:p>
        </w:tc>
        <w:tc>
          <w:tcPr>
            <w:tcW w:w="412"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897" w:type="dxa"/>
            <w:tcBorders/>
            <w:shd w:fill="CCEEFF" w:val="clear"/>
            <w:vAlign w:val="center"/>
          </w:tcPr>
          <w:p>
            <w:pPr>
              <w:pStyle w:val="TableContents"/>
              <w:bidi w:val="0"/>
              <w:spacing w:before="0" w:after="0"/>
              <w:ind w:left="0" w:right="0" w:hanging="0"/>
              <w:jc w:val="left"/>
              <w:rPr/>
            </w:pPr>
            <w:r>
              <w:rPr/>
              <w:t>​</w:t>
            </w:r>
          </w:p>
        </w:tc>
        <w:tc>
          <w:tcPr>
            <w:tcW w:w="412"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897" w:type="dxa"/>
            <w:tcBorders/>
            <w:shd w:fill="CCEEFF" w:val="clear"/>
            <w:vAlign w:val="center"/>
          </w:tcPr>
          <w:p>
            <w:pPr>
              <w:pStyle w:val="TableContents"/>
              <w:bidi w:val="0"/>
              <w:spacing w:before="0" w:after="0"/>
              <w:ind w:left="0" w:right="0" w:hanging="0"/>
              <w:jc w:val="left"/>
              <w:rPr/>
            </w:pPr>
            <w:r>
              <w:rPr/>
              <w:t>​</w:t>
            </w:r>
          </w:p>
        </w:tc>
        <w:tc>
          <w:tcPr>
            <w:tcW w:w="368" w:type="dxa"/>
            <w:tcBorders/>
            <w:shd w:fill="CCEEFF" w:val="clear"/>
            <w:vAlign w:val="center"/>
          </w:tcPr>
          <w:p>
            <w:pPr>
              <w:pStyle w:val="TableContents"/>
              <w:bidi w:val="0"/>
              <w:spacing w:before="0" w:after="0"/>
              <w:ind w:left="0" w:right="0" w:hanging="0"/>
              <w:jc w:val="left"/>
              <w:rPr/>
            </w:pPr>
            <w:r>
              <w:rPr/>
              <w:t>​</w:t>
            </w:r>
          </w:p>
        </w:tc>
      </w:tr>
      <w:tr>
        <w:trPr/>
        <w:tc>
          <w:tcPr>
            <w:tcW w:w="365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 (loss)</w:t>
            </w:r>
          </w:p>
        </w:tc>
        <w:tc>
          <w:tcPr>
            <w:tcW w:w="395"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9,043</w:t>
            </w:r>
          </w:p>
        </w:tc>
        <w:tc>
          <w:tcPr>
            <w:tcW w:w="412"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(961)</w:t>
            </w:r>
          </w:p>
        </w:tc>
        <w:tc>
          <w:tcPr>
            <w:tcW w:w="412"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6,533</w:t>
            </w:r>
          </w:p>
        </w:tc>
        <w:tc>
          <w:tcPr>
            <w:tcW w:w="412"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10,169</w:t>
            </w:r>
          </w:p>
        </w:tc>
        <w:tc>
          <w:tcPr>
            <w:tcW w:w="368" w:type="dxa"/>
            <w:tcBorders/>
            <w:vAlign w:val="center"/>
          </w:tcPr>
          <w:p>
            <w:pPr>
              <w:pStyle w:val="TableContents"/>
              <w:bidi w:val="0"/>
              <w:spacing w:before="0" w:after="0"/>
              <w:ind w:left="0" w:right="0" w:hanging="0"/>
              <w:jc w:val="left"/>
              <w:rPr/>
            </w:pPr>
            <w:r>
              <w:rPr/>
              <w:t>​</w:t>
            </w:r>
          </w:p>
        </w:tc>
      </w:tr>
      <w:tr>
        <w:trPr/>
        <w:tc>
          <w:tcPr>
            <w:tcW w:w="36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Interest income, net </w:t>
            </w:r>
          </w:p>
        </w:tc>
        <w:tc>
          <w:tcPr>
            <w:tcW w:w="395"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 </w:t>
            </w:r>
          </w:p>
        </w:tc>
        <w:tc>
          <w:tcPr>
            <w:tcW w:w="8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w:t>
            </w:r>
          </w:p>
        </w:tc>
        <w:tc>
          <w:tcPr>
            <w:tcW w:w="412"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 </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(1,228)</w:t>
            </w:r>
          </w:p>
        </w:tc>
        <w:tc>
          <w:tcPr>
            <w:tcW w:w="412"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 </w:t>
            </w:r>
          </w:p>
        </w:tc>
        <w:tc>
          <w:tcPr>
            <w:tcW w:w="8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(1,301)</w:t>
            </w:r>
          </w:p>
        </w:tc>
        <w:tc>
          <w:tcPr>
            <w:tcW w:w="412"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8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(2,767)</w:t>
            </w:r>
          </w:p>
        </w:tc>
        <w:tc>
          <w:tcPr>
            <w:tcW w:w="368" w:type="dxa"/>
            <w:tcBorders/>
            <w:shd w:fill="CCEEFF" w:val="clear"/>
            <w:vAlign w:val="center"/>
          </w:tcPr>
          <w:p>
            <w:pPr>
              <w:pStyle w:val="TableContents"/>
              <w:bidi w:val="0"/>
              <w:spacing w:before="0" w:after="0"/>
              <w:ind w:left="0" w:right="0" w:hanging="0"/>
              <w:jc w:val="right"/>
              <w:rPr/>
            </w:pPr>
            <w:r>
              <w:rPr/>
              <w:t>​</w:t>
            </w:r>
          </w:p>
        </w:tc>
      </w:tr>
      <w:tr>
        <w:trPr/>
        <w:tc>
          <w:tcPr>
            <w:tcW w:w="36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w:t>
            </w:r>
          </w:p>
        </w:tc>
        <w:tc>
          <w:tcPr>
            <w:tcW w:w="395"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 </w:t>
            </w:r>
          </w:p>
        </w:tc>
        <w:tc>
          <w:tcPr>
            <w:tcW w:w="8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(13,142)</w:t>
            </w:r>
          </w:p>
        </w:tc>
        <w:tc>
          <w:tcPr>
            <w:tcW w:w="412"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(1,675)</w:t>
            </w:r>
          </w:p>
        </w:tc>
        <w:tc>
          <w:tcPr>
            <w:tcW w:w="412"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 </w:t>
            </w:r>
          </w:p>
        </w:tc>
        <w:tc>
          <w:tcPr>
            <w:tcW w:w="8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(20,281)</w:t>
            </w:r>
          </w:p>
        </w:tc>
        <w:tc>
          <w:tcPr>
            <w:tcW w:w="412"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8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(6,780)</w:t>
            </w:r>
          </w:p>
        </w:tc>
        <w:tc>
          <w:tcPr>
            <w:tcW w:w="368" w:type="dxa"/>
            <w:tcBorders/>
            <w:vAlign w:val="center"/>
          </w:tcPr>
          <w:p>
            <w:pPr>
              <w:pStyle w:val="TableContents"/>
              <w:bidi w:val="0"/>
              <w:spacing w:before="0" w:after="0"/>
              <w:ind w:left="0" w:right="0" w:hanging="0"/>
              <w:jc w:val="right"/>
              <w:rPr/>
            </w:pPr>
            <w:r>
              <w:rPr/>
              <w:t>​</w:t>
            </w:r>
          </w:p>
        </w:tc>
      </w:tr>
      <w:tr>
        <w:trPr/>
        <w:tc>
          <w:tcPr>
            <w:tcW w:w="36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 – property and equipment</w:t>
            </w:r>
          </w:p>
        </w:tc>
        <w:tc>
          <w:tcPr>
            <w:tcW w:w="395"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 </w:t>
            </w:r>
          </w:p>
        </w:tc>
        <w:tc>
          <w:tcPr>
            <w:tcW w:w="8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6,720</w:t>
            </w:r>
          </w:p>
        </w:tc>
        <w:tc>
          <w:tcPr>
            <w:tcW w:w="412"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 </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6,187</w:t>
            </w:r>
          </w:p>
        </w:tc>
        <w:tc>
          <w:tcPr>
            <w:tcW w:w="412"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 </w:t>
            </w:r>
          </w:p>
        </w:tc>
        <w:tc>
          <w:tcPr>
            <w:tcW w:w="8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13,162</w:t>
            </w:r>
          </w:p>
        </w:tc>
        <w:tc>
          <w:tcPr>
            <w:tcW w:w="412"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8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12,067</w:t>
            </w:r>
          </w:p>
        </w:tc>
        <w:tc>
          <w:tcPr>
            <w:tcW w:w="368" w:type="dxa"/>
            <w:tcBorders/>
            <w:shd w:fill="CCEEFF" w:val="clear"/>
            <w:vAlign w:val="center"/>
          </w:tcPr>
          <w:p>
            <w:pPr>
              <w:pStyle w:val="TableContents"/>
              <w:bidi w:val="0"/>
              <w:spacing w:before="0" w:after="0"/>
              <w:ind w:left="0" w:right="0" w:hanging="0"/>
              <w:jc w:val="right"/>
              <w:rPr/>
            </w:pPr>
            <w:r>
              <w:rPr/>
              <w:t>​</w:t>
            </w:r>
          </w:p>
        </w:tc>
      </w:tr>
      <w:tr>
        <w:trPr/>
        <w:tc>
          <w:tcPr>
            <w:tcW w:w="36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 of capitalized software and acquired intangible assets – cost of subscription revenues</w:t>
            </w:r>
          </w:p>
        </w:tc>
        <w:tc>
          <w:tcPr>
            <w:tcW w:w="395"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 </w:t>
            </w:r>
          </w:p>
        </w:tc>
        <w:tc>
          <w:tcPr>
            <w:tcW w:w="8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21,882</w:t>
            </w:r>
          </w:p>
        </w:tc>
        <w:tc>
          <w:tcPr>
            <w:tcW w:w="412"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16,670</w:t>
            </w:r>
          </w:p>
        </w:tc>
        <w:tc>
          <w:tcPr>
            <w:tcW w:w="412"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 </w:t>
            </w:r>
          </w:p>
        </w:tc>
        <w:tc>
          <w:tcPr>
            <w:tcW w:w="8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41,968</w:t>
            </w:r>
          </w:p>
        </w:tc>
        <w:tc>
          <w:tcPr>
            <w:tcW w:w="412"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8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32,525</w:t>
            </w:r>
          </w:p>
        </w:tc>
        <w:tc>
          <w:tcPr>
            <w:tcW w:w="368" w:type="dxa"/>
            <w:tcBorders/>
            <w:vAlign w:val="center"/>
          </w:tcPr>
          <w:p>
            <w:pPr>
              <w:pStyle w:val="TableContents"/>
              <w:bidi w:val="0"/>
              <w:spacing w:before="0" w:after="0"/>
              <w:ind w:left="0" w:right="0" w:hanging="0"/>
              <w:jc w:val="right"/>
              <w:rPr/>
            </w:pPr>
            <w:r>
              <w:rPr/>
              <w:t>​</w:t>
            </w:r>
          </w:p>
        </w:tc>
      </w:tr>
      <w:tr>
        <w:trPr/>
        <w:tc>
          <w:tcPr>
            <w:tcW w:w="36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acquired intangible assets – selling and marketing expense</w:t>
            </w:r>
          </w:p>
        </w:tc>
        <w:tc>
          <w:tcPr>
            <w:tcW w:w="395"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8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w:t>
            </w:r>
          </w:p>
        </w:tc>
        <w:tc>
          <w:tcPr>
            <w:tcW w:w="412"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571</w:t>
            </w:r>
          </w:p>
        </w:tc>
        <w:tc>
          <w:tcPr>
            <w:tcW w:w="412"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8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1,047</w:t>
            </w:r>
          </w:p>
        </w:tc>
        <w:tc>
          <w:tcPr>
            <w:tcW w:w="412"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8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1,102</w:t>
            </w:r>
          </w:p>
        </w:tc>
        <w:tc>
          <w:tcPr>
            <w:tcW w:w="368" w:type="dxa"/>
            <w:tcBorders/>
            <w:shd w:fill="CCEEFF" w:val="clear"/>
            <w:vAlign w:val="center"/>
          </w:tcPr>
          <w:p>
            <w:pPr>
              <w:pStyle w:val="TableContents"/>
              <w:bidi w:val="0"/>
              <w:spacing w:before="0" w:after="0"/>
              <w:ind w:left="0" w:right="0" w:hanging="0"/>
              <w:jc w:val="right"/>
              <w:rPr/>
            </w:pPr>
            <w:r>
              <w:rPr/>
              <w:t>​</w:t>
            </w:r>
          </w:p>
        </w:tc>
      </w:tr>
      <w:tr>
        <w:trPr/>
        <w:tc>
          <w:tcPr>
            <w:tcW w:w="36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cloud computing implementation costs – general and administrative expense</w:t>
            </w:r>
          </w:p>
        </w:tc>
        <w:tc>
          <w:tcPr>
            <w:tcW w:w="395"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8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1,358</w:t>
            </w:r>
          </w:p>
        </w:tc>
        <w:tc>
          <w:tcPr>
            <w:tcW w:w="412"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1,018</w:t>
            </w:r>
          </w:p>
        </w:tc>
        <w:tc>
          <w:tcPr>
            <w:tcW w:w="412"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8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2,395</w:t>
            </w:r>
          </w:p>
        </w:tc>
        <w:tc>
          <w:tcPr>
            <w:tcW w:w="412"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8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2,024</w:t>
            </w:r>
          </w:p>
        </w:tc>
        <w:tc>
          <w:tcPr>
            <w:tcW w:w="368" w:type="dxa"/>
            <w:tcBorders/>
            <w:vAlign w:val="center"/>
          </w:tcPr>
          <w:p>
            <w:pPr>
              <w:pStyle w:val="TableContents"/>
              <w:bidi w:val="0"/>
              <w:spacing w:before="0" w:after="0"/>
              <w:ind w:left="0" w:right="0" w:hanging="0"/>
              <w:jc w:val="right"/>
              <w:rPr/>
            </w:pPr>
            <w:r>
              <w:rPr/>
              <w:t>​</w:t>
            </w:r>
          </w:p>
        </w:tc>
      </w:tr>
      <w:tr>
        <w:trPr/>
        <w:tc>
          <w:tcPr>
            <w:tcW w:w="36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95"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 </w:t>
            </w:r>
          </w:p>
        </w:tc>
        <w:tc>
          <w:tcPr>
            <w:tcW w:w="8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13,762</w:t>
            </w:r>
          </w:p>
        </w:tc>
        <w:tc>
          <w:tcPr>
            <w:tcW w:w="412"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 </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11,990</w:t>
            </w:r>
          </w:p>
        </w:tc>
        <w:tc>
          <w:tcPr>
            <w:tcW w:w="412"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 </w:t>
            </w:r>
          </w:p>
        </w:tc>
        <w:tc>
          <w:tcPr>
            <w:tcW w:w="8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32,270</w:t>
            </w:r>
          </w:p>
        </w:tc>
        <w:tc>
          <w:tcPr>
            <w:tcW w:w="412"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8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33,034</w:t>
            </w:r>
          </w:p>
        </w:tc>
        <w:tc>
          <w:tcPr>
            <w:tcW w:w="368" w:type="dxa"/>
            <w:tcBorders/>
            <w:shd w:fill="CCEEFF" w:val="clear"/>
            <w:vAlign w:val="center"/>
          </w:tcPr>
          <w:p>
            <w:pPr>
              <w:pStyle w:val="TableContents"/>
              <w:bidi w:val="0"/>
              <w:spacing w:before="0" w:after="0"/>
              <w:ind w:left="0" w:right="0" w:hanging="0"/>
              <w:jc w:val="right"/>
              <w:rPr/>
            </w:pPr>
            <w:r>
              <w:rPr/>
              <w:t>​</w:t>
            </w:r>
          </w:p>
        </w:tc>
      </w:tr>
      <w:tr>
        <w:trPr/>
        <w:tc>
          <w:tcPr>
            <w:tcW w:w="3658"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Severance expense </w:t>
            </w:r>
            <w:r>
              <w:rPr>
                <w:rFonts w:ascii="Times New Roman;Times;serif" w:hAnsi="Times New Roman;Times;serif"/>
                <w:sz w:val="15"/>
              </w:rPr>
              <w:t>(1)</w:t>
            </w:r>
          </w:p>
        </w:tc>
        <w:tc>
          <w:tcPr>
            <w:tcW w:w="395"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8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2,689</w:t>
            </w:r>
          </w:p>
        </w:tc>
        <w:tc>
          <w:tcPr>
            <w:tcW w:w="412"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w:t>
            </w:r>
          </w:p>
        </w:tc>
        <w:tc>
          <w:tcPr>
            <w:tcW w:w="412"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8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10,097</w:t>
            </w:r>
          </w:p>
        </w:tc>
        <w:tc>
          <w:tcPr>
            <w:tcW w:w="412"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8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774</w:t>
            </w:r>
          </w:p>
        </w:tc>
        <w:tc>
          <w:tcPr>
            <w:tcW w:w="368" w:type="dxa"/>
            <w:tcBorders/>
            <w:vAlign w:val="center"/>
          </w:tcPr>
          <w:p>
            <w:pPr>
              <w:pStyle w:val="TableContents"/>
              <w:bidi w:val="0"/>
              <w:spacing w:before="0" w:after="0"/>
              <w:ind w:left="0" w:right="0" w:hanging="0"/>
              <w:jc w:val="right"/>
              <w:rPr/>
            </w:pPr>
            <w:r>
              <w:rPr/>
              <w:t>​</w:t>
            </w:r>
          </w:p>
        </w:tc>
      </w:tr>
      <w:tr>
        <w:trPr/>
        <w:tc>
          <w:tcPr>
            <w:tcW w:w="36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 contingent consideration</w:t>
            </w:r>
          </w:p>
        </w:tc>
        <w:tc>
          <w:tcPr>
            <w:tcW w:w="395"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897" w:type="dxa"/>
            <w:tcBorders/>
            <w:shd w:fill="CCEEFF" w:val="clear"/>
            <w:vAlign w:val="center"/>
          </w:tcPr>
          <w:p>
            <w:pPr>
              <w:pStyle w:val="TableContents"/>
              <w:bidi w:val="0"/>
              <w:spacing w:before="0" w:after="0"/>
              <w:ind w:left="0" w:right="0" w:hanging="0"/>
              <w:jc w:val="right"/>
              <w:rPr/>
            </w:pPr>
            <w:r>
              <w:rPr/>
              <w:t>—</w:t>
            </w:r>
          </w:p>
        </w:tc>
        <w:tc>
          <w:tcPr>
            <w:tcW w:w="412"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c>
          <w:tcPr>
            <w:tcW w:w="412"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897" w:type="dxa"/>
            <w:tcBorders/>
            <w:shd w:fill="CCEEFF" w:val="clear"/>
            <w:vAlign w:val="center"/>
          </w:tcPr>
          <w:p>
            <w:pPr>
              <w:pStyle w:val="TableContents"/>
              <w:bidi w:val="0"/>
              <w:spacing w:before="0" w:after="0"/>
              <w:ind w:left="0" w:right="0" w:hanging="0"/>
              <w:jc w:val="right"/>
              <w:rPr/>
            </w:pPr>
            <w:r>
              <w:rPr/>
              <w:t>—</w:t>
            </w:r>
          </w:p>
        </w:tc>
        <w:tc>
          <w:tcPr>
            <w:tcW w:w="412"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8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c>
          <w:tcPr>
            <w:tcW w:w="368" w:type="dxa"/>
            <w:tcBorders/>
            <w:shd w:fill="CCEEFF" w:val="clear"/>
            <w:vAlign w:val="center"/>
          </w:tcPr>
          <w:p>
            <w:pPr>
              <w:pStyle w:val="TableContents"/>
              <w:bidi w:val="0"/>
              <w:spacing w:before="0" w:after="0"/>
              <w:ind w:left="0" w:right="0" w:hanging="0"/>
              <w:jc w:val="right"/>
              <w:rPr/>
            </w:pPr>
            <w:r>
              <w:rPr/>
              <w:t>​</w:t>
            </w:r>
          </w:p>
        </w:tc>
      </w:tr>
      <w:tr>
        <w:trPr/>
        <w:tc>
          <w:tcPr>
            <w:tcW w:w="36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acquisition contingent earn-outs</w:t>
            </w:r>
          </w:p>
        </w:tc>
        <w:tc>
          <w:tcPr>
            <w:tcW w:w="395"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8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412"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2,300</w:t>
            </w:r>
          </w:p>
        </w:tc>
        <w:tc>
          <w:tcPr>
            <w:tcW w:w="412"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8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(5,838)</w:t>
            </w:r>
          </w:p>
        </w:tc>
        <w:tc>
          <w:tcPr>
            <w:tcW w:w="412"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8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(12,400)</w:t>
            </w:r>
          </w:p>
        </w:tc>
        <w:tc>
          <w:tcPr>
            <w:tcW w:w="368" w:type="dxa"/>
            <w:tcBorders/>
            <w:vAlign w:val="center"/>
          </w:tcPr>
          <w:p>
            <w:pPr>
              <w:pStyle w:val="TableContents"/>
              <w:bidi w:val="0"/>
              <w:spacing w:before="0" w:after="0"/>
              <w:ind w:left="0" w:right="0" w:hanging="0"/>
              <w:jc w:val="right"/>
              <w:rPr/>
            </w:pPr>
            <w:r>
              <w:rPr/>
              <w:t>​</w:t>
            </w:r>
          </w:p>
        </w:tc>
      </w:tr>
      <w:tr>
        <w:trPr/>
        <w:tc>
          <w:tcPr>
            <w:tcW w:w="3658"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Acquisition-related retained employee compensation </w:t>
            </w:r>
            <w:r>
              <w:rPr>
                <w:rFonts w:ascii="Times New Roman;Times;serif" w:hAnsi="Times New Roman;Times;serif"/>
                <w:sz w:val="15"/>
              </w:rPr>
              <w:t>(2)</w:t>
            </w:r>
          </w:p>
        </w:tc>
        <w:tc>
          <w:tcPr>
            <w:tcW w:w="395"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8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1,250</w:t>
            </w:r>
          </w:p>
        </w:tc>
        <w:tc>
          <w:tcPr>
            <w:tcW w:w="412"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pPr>
            <w:r>
              <w:rPr/>
              <w:t>—</w:t>
            </w:r>
          </w:p>
        </w:tc>
        <w:tc>
          <w:tcPr>
            <w:tcW w:w="412"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8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1,667</w:t>
            </w:r>
          </w:p>
        </w:tc>
        <w:tc>
          <w:tcPr>
            <w:tcW w:w="412"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897" w:type="dxa"/>
            <w:tcBorders/>
            <w:shd w:fill="CCEEFF" w:val="clear"/>
            <w:vAlign w:val="center"/>
          </w:tcPr>
          <w:p>
            <w:pPr>
              <w:pStyle w:val="TableContents"/>
              <w:bidi w:val="0"/>
              <w:spacing w:before="0" w:after="0"/>
              <w:ind w:left="0" w:right="0" w:hanging="0"/>
              <w:jc w:val="right"/>
              <w:rPr/>
            </w:pPr>
            <w:r>
              <w:rPr/>
              <w:t>—</w:t>
            </w:r>
          </w:p>
        </w:tc>
        <w:tc>
          <w:tcPr>
            <w:tcW w:w="368" w:type="dxa"/>
            <w:tcBorders/>
            <w:shd w:fill="CCEEFF" w:val="clear"/>
            <w:vAlign w:val="center"/>
          </w:tcPr>
          <w:p>
            <w:pPr>
              <w:pStyle w:val="TableContents"/>
              <w:bidi w:val="0"/>
              <w:spacing w:before="0" w:after="0"/>
              <w:ind w:left="0" w:right="0" w:hanging="0"/>
              <w:jc w:val="right"/>
              <w:rPr/>
            </w:pPr>
            <w:r>
              <w:rPr/>
              <w:t>​</w:t>
            </w:r>
          </w:p>
        </w:tc>
      </w:tr>
      <w:tr>
        <w:trPr/>
        <w:tc>
          <w:tcPr>
            <w:tcW w:w="3658"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Transaction costs </w:t>
            </w:r>
            <w:r>
              <w:rPr>
                <w:rFonts w:ascii="Times New Roman;Times;serif" w:hAnsi="Times New Roman;Times;serif"/>
                <w:sz w:val="15"/>
              </w:rPr>
              <w:t>(3)</w:t>
            </w:r>
          </w:p>
        </w:tc>
        <w:tc>
          <w:tcPr>
            <w:tcW w:w="395" w:type="dxa"/>
            <w:tcBorders/>
            <w:vAlign w:val="center"/>
          </w:tcPr>
          <w:p>
            <w:pPr>
              <w:pStyle w:val="TableContents"/>
              <w:bidi w:val="0"/>
              <w:spacing w:before="0" w:after="0"/>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7,375</w:t>
            </w:r>
          </w:p>
        </w:tc>
        <w:tc>
          <w:tcPr>
            <w:tcW w:w="412" w:type="dxa"/>
            <w:tcBorders/>
            <w:vAlign w:val="center"/>
          </w:tcPr>
          <w:p>
            <w:pPr>
              <w:pStyle w:val="TableContents"/>
              <w:bidi w:val="0"/>
              <w:spacing w:before="0" w:after="0"/>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2,980</w:t>
            </w:r>
          </w:p>
        </w:tc>
        <w:tc>
          <w:tcPr>
            <w:tcW w:w="412" w:type="dxa"/>
            <w:tcBorders/>
            <w:vAlign w:val="center"/>
          </w:tcPr>
          <w:p>
            <w:pPr>
              <w:pStyle w:val="TableContents"/>
              <w:bidi w:val="0"/>
              <w:spacing w:before="0" w:after="0"/>
              <w:ind w:left="0" w:right="0" w:hanging="0"/>
              <w:jc w:val="right"/>
              <w:rPr/>
            </w:pPr>
            <w:r>
              <w:rPr/>
              <w:t>​</w:t>
            </w:r>
          </w:p>
        </w:tc>
        <w:tc>
          <w:tcPr>
            <w:tcW w:w="24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13,359</w:t>
            </w:r>
          </w:p>
        </w:tc>
        <w:tc>
          <w:tcPr>
            <w:tcW w:w="412" w:type="dxa"/>
            <w:tcBorders/>
            <w:vAlign w:val="center"/>
          </w:tcPr>
          <w:p>
            <w:pPr>
              <w:pStyle w:val="TableContents"/>
              <w:bidi w:val="0"/>
              <w:spacing w:before="0" w:after="0"/>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5,640</w:t>
            </w:r>
          </w:p>
        </w:tc>
        <w:tc>
          <w:tcPr>
            <w:tcW w:w="368" w:type="dxa"/>
            <w:tcBorders/>
            <w:vAlign w:val="center"/>
          </w:tcPr>
          <w:p>
            <w:pPr>
              <w:pStyle w:val="TableContents"/>
              <w:bidi w:val="0"/>
              <w:spacing w:before="0" w:after="0"/>
              <w:ind w:left="0" w:right="0" w:hanging="0"/>
              <w:jc w:val="right"/>
              <w:rPr/>
            </w:pPr>
            <w:r>
              <w:rPr/>
              <w:t>​</w:t>
            </w:r>
          </w:p>
        </w:tc>
      </w:tr>
      <w:tr>
        <w:trPr/>
        <w:tc>
          <w:tcPr>
            <w:tcW w:w="365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Adjusted EBITDA</w:t>
            </w:r>
          </w:p>
        </w:tc>
        <w:tc>
          <w:tcPr>
            <w:tcW w:w="395" w:type="dxa"/>
            <w:tcBorders/>
            <w:shd w:fill="CCEEFF" w:val="clear"/>
            <w:vAlign w:val="center"/>
          </w:tcPr>
          <w:p>
            <w:pPr>
              <w:pStyle w:val="TableContents"/>
              <w:bidi w:val="0"/>
              <w:spacing w:before="0" w:after="0"/>
              <w:ind w:left="0" w:right="0" w:hanging="0"/>
              <w:jc w:val="left"/>
              <w:rPr/>
            </w:pPr>
            <w:r>
              <w:rPr/>
              <w:t>​</w:t>
            </w:r>
          </w:p>
        </w:tc>
        <w:tc>
          <w:tcPr>
            <w:tcW w:w="2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51,015</w:t>
            </w:r>
          </w:p>
        </w:tc>
        <w:tc>
          <w:tcPr>
            <w:tcW w:w="412" w:type="dxa"/>
            <w:tcBorders/>
            <w:shd w:fill="CCEEFF" w:val="clear"/>
            <w:vAlign w:val="center"/>
          </w:tcPr>
          <w:p>
            <w:pPr>
              <w:pStyle w:val="TableContents"/>
              <w:bidi w:val="0"/>
              <w:spacing w:before="0" w:after="0"/>
              <w:ind w:left="0" w:right="0" w:hanging="0"/>
              <w:jc w:val="left"/>
              <w:rPr/>
            </w:pPr>
            <w:r>
              <w:rPr/>
              <w:t>​</w:t>
            </w:r>
          </w:p>
        </w:tc>
        <w:tc>
          <w:tcPr>
            <w:tcW w:w="2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38,369</w:t>
            </w:r>
          </w:p>
        </w:tc>
        <w:tc>
          <w:tcPr>
            <w:tcW w:w="412" w:type="dxa"/>
            <w:tcBorders/>
            <w:shd w:fill="CCEEFF" w:val="clear"/>
            <w:vAlign w:val="center"/>
          </w:tcPr>
          <w:p>
            <w:pPr>
              <w:pStyle w:val="TableContents"/>
              <w:bidi w:val="0"/>
              <w:spacing w:before="0" w:after="0"/>
              <w:ind w:left="0" w:right="0" w:hanging="0"/>
              <w:jc w:val="right"/>
              <w:rPr/>
            </w:pPr>
            <w:r>
              <w:rPr/>
              <w:t>​</w:t>
            </w:r>
          </w:p>
        </w:tc>
        <w:tc>
          <w:tcPr>
            <w:tcW w:w="2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95,078</w:t>
            </w:r>
          </w:p>
        </w:tc>
        <w:tc>
          <w:tcPr>
            <w:tcW w:w="412" w:type="dxa"/>
            <w:tcBorders/>
            <w:shd w:fill="CCEEFF" w:val="clear"/>
            <w:vAlign w:val="center"/>
          </w:tcPr>
          <w:p>
            <w:pPr>
              <w:pStyle w:val="TableContents"/>
              <w:bidi w:val="0"/>
              <w:spacing w:before="0" w:after="0"/>
              <w:ind w:left="0" w:right="0" w:hanging="0"/>
              <w:jc w:val="left"/>
              <w:rPr/>
            </w:pPr>
            <w:r>
              <w:rPr/>
              <w:t>​</w:t>
            </w:r>
          </w:p>
        </w:tc>
        <w:tc>
          <w:tcPr>
            <w:tcW w:w="2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75,588</w:t>
            </w:r>
          </w:p>
        </w:tc>
        <w:tc>
          <w:tcPr>
            <w:tcW w:w="368" w:type="dxa"/>
            <w:tcBorders/>
            <w:shd w:fill="CCEEFF" w:val="clear"/>
            <w:vAlign w:val="center"/>
          </w:tcPr>
          <w:p>
            <w:pPr>
              <w:pStyle w:val="TableContents"/>
              <w:bidi w:val="0"/>
              <w:spacing w:before="0" w:after="0"/>
              <w:ind w:left="0" w:right="0" w:hanging="0"/>
              <w:jc w:val="right"/>
              <w:rPr/>
            </w:pPr>
            <w:r>
              <w:rPr/>
              <w:t>​</w:t>
            </w:r>
          </w:p>
        </w:tc>
      </w:tr>
      <w:tr>
        <w:trPr/>
        <w:tc>
          <w:tcPr>
            <w:tcW w:w="365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Adjusted EBITDA Margin:</w:t>
            </w:r>
          </w:p>
        </w:tc>
        <w:tc>
          <w:tcPr>
            <w:tcW w:w="395"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897" w:type="dxa"/>
            <w:tcBorders/>
            <w:vAlign w:val="center"/>
          </w:tcPr>
          <w:p>
            <w:pPr>
              <w:pStyle w:val="TableContents"/>
              <w:bidi w:val="0"/>
              <w:spacing w:before="0" w:after="0"/>
              <w:ind w:left="0" w:right="0" w:hanging="0"/>
              <w:jc w:val="right"/>
              <w:rPr/>
            </w:pPr>
            <w:r>
              <w:rPr/>
              <w:t>​</w:t>
            </w:r>
          </w:p>
        </w:tc>
        <w:tc>
          <w:tcPr>
            <w:tcW w:w="412"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pPr>
            <w:r>
              <w:rPr/>
              <w:t>​</w:t>
            </w:r>
          </w:p>
        </w:tc>
        <w:tc>
          <w:tcPr>
            <w:tcW w:w="412"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897" w:type="dxa"/>
            <w:tcBorders/>
            <w:vAlign w:val="center"/>
          </w:tcPr>
          <w:p>
            <w:pPr>
              <w:pStyle w:val="TableContents"/>
              <w:bidi w:val="0"/>
              <w:spacing w:before="0" w:after="0"/>
              <w:ind w:left="0" w:right="0" w:hanging="0"/>
              <w:jc w:val="right"/>
              <w:rPr/>
            </w:pPr>
            <w:r>
              <w:rPr/>
              <w:t>​</w:t>
            </w:r>
          </w:p>
        </w:tc>
        <w:tc>
          <w:tcPr>
            <w:tcW w:w="412"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897" w:type="dxa"/>
            <w:tcBorders/>
            <w:vAlign w:val="center"/>
          </w:tcPr>
          <w:p>
            <w:pPr>
              <w:pStyle w:val="TableContents"/>
              <w:bidi w:val="0"/>
              <w:spacing w:before="0" w:after="0"/>
              <w:ind w:left="0" w:right="0" w:hanging="0"/>
              <w:jc w:val="right"/>
              <w:rPr/>
            </w:pPr>
            <w:r>
              <w:rPr/>
              <w:t>​</w:t>
            </w:r>
          </w:p>
        </w:tc>
        <w:tc>
          <w:tcPr>
            <w:tcW w:w="368" w:type="dxa"/>
            <w:tcBorders/>
            <w:vAlign w:val="center"/>
          </w:tcPr>
          <w:p>
            <w:pPr>
              <w:pStyle w:val="TableContents"/>
              <w:bidi w:val="0"/>
              <w:spacing w:before="0" w:after="0"/>
              <w:ind w:left="0" w:right="0" w:hanging="0"/>
              <w:jc w:val="right"/>
              <w:rPr/>
            </w:pPr>
            <w:r>
              <w:rPr/>
              <w:t>​</w:t>
            </w:r>
          </w:p>
        </w:tc>
      </w:tr>
      <w:tr>
        <w:trPr/>
        <w:tc>
          <w:tcPr>
            <w:tcW w:w="3658" w:type="dxa"/>
            <w:tcBorders/>
            <w:shd w:fill="CCEEFF" w:val="clear"/>
            <w:vAlign w:val="center"/>
          </w:tcPr>
          <w:p>
            <w:pPr>
              <w:pStyle w:val="TableContents"/>
              <w:bidi w:val="0"/>
              <w:spacing w:before="0" w:after="0"/>
              <w:ind w:left="0" w:right="0" w:hanging="0"/>
              <w:jc w:val="left"/>
              <w:rPr/>
            </w:pPr>
            <w:r>
              <w:rPr/>
              <w:t>​</w:t>
            </w:r>
          </w:p>
        </w:tc>
        <w:tc>
          <w:tcPr>
            <w:tcW w:w="395"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 </w:t>
            </w:r>
          </w:p>
        </w:tc>
        <w:tc>
          <w:tcPr>
            <w:tcW w:w="897" w:type="dxa"/>
            <w:tcBorders/>
            <w:shd w:fill="CCEEFF" w:val="clear"/>
            <w:vAlign w:val="center"/>
          </w:tcPr>
          <w:p>
            <w:pPr>
              <w:pStyle w:val="TableContents"/>
              <w:bidi w:val="0"/>
              <w:spacing w:before="0" w:after="0"/>
              <w:ind w:left="0" w:right="0" w:hanging="0"/>
              <w:jc w:val="right"/>
              <w:rPr/>
            </w:pPr>
            <w:r>
              <w:rPr/>
              <w:t>  ​</w:t>
            </w:r>
          </w:p>
        </w:tc>
        <w:tc>
          <w:tcPr>
            <w:tcW w:w="412"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 </w:t>
            </w:r>
          </w:p>
        </w:tc>
        <w:tc>
          <w:tcPr>
            <w:tcW w:w="893" w:type="dxa"/>
            <w:tcBorders/>
            <w:shd w:fill="CCEEFF" w:val="clear"/>
            <w:vAlign w:val="center"/>
          </w:tcPr>
          <w:p>
            <w:pPr>
              <w:pStyle w:val="TableContents"/>
              <w:bidi w:val="0"/>
              <w:spacing w:before="0" w:after="0"/>
              <w:ind w:left="0" w:right="0" w:hanging="0"/>
              <w:jc w:val="right"/>
              <w:rPr/>
            </w:pPr>
            <w:r>
              <w:rPr/>
              <w:t>  ​</w:t>
            </w:r>
          </w:p>
        </w:tc>
        <w:tc>
          <w:tcPr>
            <w:tcW w:w="412"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 </w:t>
            </w:r>
          </w:p>
        </w:tc>
        <w:tc>
          <w:tcPr>
            <w:tcW w:w="897" w:type="dxa"/>
            <w:tcBorders/>
            <w:shd w:fill="CCEEFF" w:val="clear"/>
            <w:vAlign w:val="center"/>
          </w:tcPr>
          <w:p>
            <w:pPr>
              <w:pStyle w:val="TableContents"/>
              <w:bidi w:val="0"/>
              <w:spacing w:before="0" w:after="0"/>
              <w:ind w:left="0" w:right="0" w:hanging="0"/>
              <w:jc w:val="right"/>
              <w:rPr/>
            </w:pPr>
            <w:r>
              <w:rPr/>
              <w:t>  ​</w:t>
            </w:r>
          </w:p>
        </w:tc>
        <w:tc>
          <w:tcPr>
            <w:tcW w:w="412"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 </w:t>
            </w:r>
          </w:p>
        </w:tc>
        <w:tc>
          <w:tcPr>
            <w:tcW w:w="897" w:type="dxa"/>
            <w:tcBorders/>
            <w:shd w:fill="CCEEFF" w:val="clear"/>
            <w:vAlign w:val="center"/>
          </w:tcPr>
          <w:p>
            <w:pPr>
              <w:pStyle w:val="TableContents"/>
              <w:bidi w:val="0"/>
              <w:spacing w:before="0" w:after="0"/>
              <w:ind w:left="0" w:right="0" w:hanging="0"/>
              <w:jc w:val="right"/>
              <w:rPr/>
            </w:pPr>
            <w:r>
              <w:rPr/>
              <w:t>  ​</w:t>
            </w:r>
          </w:p>
        </w:tc>
        <w:tc>
          <w:tcPr>
            <w:tcW w:w="368" w:type="dxa"/>
            <w:tcBorders/>
            <w:shd w:fill="CCEEFF" w:val="clear"/>
            <w:vAlign w:val="center"/>
          </w:tcPr>
          <w:p>
            <w:pPr>
              <w:pStyle w:val="TableContents"/>
              <w:bidi w:val="0"/>
              <w:spacing w:before="0" w:after="0"/>
              <w:ind w:left="0" w:right="0" w:hanging="0"/>
              <w:jc w:val="right"/>
              <w:rPr/>
            </w:pPr>
            <w:r>
              <w:rPr/>
              <w:t>​</w:t>
            </w:r>
          </w:p>
        </w:tc>
      </w:tr>
      <w:tr>
        <w:trPr/>
        <w:tc>
          <w:tcPr>
            <w:tcW w:w="36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95" w:type="dxa"/>
            <w:tcBorders/>
            <w:vAlign w:val="center"/>
          </w:tcPr>
          <w:p>
            <w:pPr>
              <w:pStyle w:val="TableContents"/>
              <w:bidi w:val="0"/>
              <w:spacing w:before="0" w:after="0"/>
              <w:ind w:left="0" w:right="0" w:hanging="0"/>
              <w:jc w:val="left"/>
              <w:rPr/>
            </w:pPr>
            <w:r>
              <w:rPr/>
              <w:t>​</w:t>
            </w:r>
          </w:p>
        </w:tc>
        <w:tc>
          <w:tcPr>
            <w:tcW w:w="24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203,970</w:t>
            </w:r>
          </w:p>
        </w:tc>
        <w:tc>
          <w:tcPr>
            <w:tcW w:w="412" w:type="dxa"/>
            <w:tcBorders/>
            <w:vAlign w:val="center"/>
          </w:tcPr>
          <w:p>
            <w:pPr>
              <w:pStyle w:val="TableContents"/>
              <w:bidi w:val="0"/>
              <w:spacing w:before="0" w:after="0"/>
              <w:ind w:left="0" w:right="0" w:hanging="0"/>
              <w:jc w:val="left"/>
              <w:rPr/>
            </w:pPr>
            <w:r>
              <w:rPr/>
              <w:t>​</w:t>
            </w:r>
          </w:p>
        </w:tc>
        <w:tc>
          <w:tcPr>
            <w:tcW w:w="24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184,559</w:t>
            </w:r>
          </w:p>
        </w:tc>
        <w:tc>
          <w:tcPr>
            <w:tcW w:w="412" w:type="dxa"/>
            <w:tcBorders/>
            <w:vAlign w:val="center"/>
          </w:tcPr>
          <w:p>
            <w:pPr>
              <w:pStyle w:val="TableContents"/>
              <w:bidi w:val="0"/>
              <w:spacing w:before="0" w:after="0"/>
              <w:ind w:left="0" w:right="0" w:hanging="0"/>
              <w:jc w:val="right"/>
              <w:rPr/>
            </w:pPr>
            <w:r>
              <w:rPr/>
              <w:t>​</w:t>
            </w:r>
          </w:p>
        </w:tc>
        <w:tc>
          <w:tcPr>
            <w:tcW w:w="24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400,616</w:t>
            </w:r>
          </w:p>
        </w:tc>
        <w:tc>
          <w:tcPr>
            <w:tcW w:w="412" w:type="dxa"/>
            <w:tcBorders/>
            <w:vAlign w:val="center"/>
          </w:tcPr>
          <w:p>
            <w:pPr>
              <w:pStyle w:val="TableContents"/>
              <w:bidi w:val="0"/>
              <w:spacing w:before="0" w:after="0"/>
              <w:ind w:left="0" w:right="0" w:hanging="0"/>
              <w:jc w:val="left"/>
              <w:rPr/>
            </w:pPr>
            <w:r>
              <w:rPr/>
              <w:t>​</w:t>
            </w:r>
          </w:p>
        </w:tc>
        <w:tc>
          <w:tcPr>
            <w:tcW w:w="24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361,621</w:t>
            </w:r>
          </w:p>
        </w:tc>
        <w:tc>
          <w:tcPr>
            <w:tcW w:w="368" w:type="dxa"/>
            <w:tcBorders/>
            <w:vAlign w:val="center"/>
          </w:tcPr>
          <w:p>
            <w:pPr>
              <w:pStyle w:val="TableContents"/>
              <w:bidi w:val="0"/>
              <w:spacing w:before="0" w:after="0"/>
              <w:ind w:left="0" w:right="0" w:hanging="0"/>
              <w:jc w:val="right"/>
              <w:rPr/>
            </w:pPr>
            <w:r>
              <w:rPr/>
              <w:t>​</w:t>
            </w:r>
          </w:p>
        </w:tc>
      </w:tr>
      <w:tr>
        <w:trPr/>
        <w:tc>
          <w:tcPr>
            <w:tcW w:w="365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Adjusted EBITDA margin</w:t>
            </w:r>
          </w:p>
        </w:tc>
        <w:tc>
          <w:tcPr>
            <w:tcW w:w="395" w:type="dxa"/>
            <w:tcBorders/>
            <w:shd w:fill="CCEEFF" w:val="clear"/>
            <w:vAlign w:val="center"/>
          </w:tcPr>
          <w:p>
            <w:pPr>
              <w:pStyle w:val="TableContents"/>
              <w:bidi w:val="0"/>
              <w:spacing w:before="0" w:after="0"/>
              <w:ind w:left="0" w:right="0" w:hanging="0"/>
              <w:jc w:val="left"/>
              <w:rPr/>
            </w:pPr>
            <w:r>
              <w:rPr/>
              <w:t>​</w:t>
            </w:r>
          </w:p>
        </w:tc>
        <w:tc>
          <w:tcPr>
            <w:tcW w:w="2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w:t>
            </w:r>
          </w:p>
        </w:tc>
        <w:tc>
          <w:tcPr>
            <w:tcW w:w="4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w:t>
            </w:r>
          </w:p>
        </w:tc>
        <w:tc>
          <w:tcPr>
            <w:tcW w:w="4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w:t>
            </w:r>
          </w:p>
        </w:tc>
        <w:tc>
          <w:tcPr>
            <w:tcW w:w="4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w:t>
            </w:r>
          </w:p>
        </w:tc>
        <w:tc>
          <w:tcPr>
            <w:tcW w:w="3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205" w:type="dxa"/>
            <w:gridSpan w:val="14"/>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2"/>
              </w:rPr>
              <w:t xml:space="preserve">(1) </w:t>
            </w:r>
            <w:r>
              <w:rPr>
                <w:rFonts w:ascii="Times New Roman;Times;serif" w:hAnsi="Times New Roman;Times;serif"/>
                <w:sz w:val="16"/>
              </w:rPr>
              <w:t>The three and six months ended June 30, 2026 periods include $1,713 and $7,883, respectively, in severance costs related to the Value Creation Plan. For further information, refer to Note 15, “Restructuring” to the condensed consolidated financial statements included in this Quarterly Report on Form 10-Q.</w:t>
            </w:r>
          </w:p>
        </w:tc>
      </w:tr>
      <w:tr>
        <w:trPr/>
        <w:tc>
          <w:tcPr>
            <w:tcW w:w="10205" w:type="dxa"/>
            <w:gridSpan w:val="14"/>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2"/>
              </w:rPr>
              <w:t xml:space="preserve">(2) </w:t>
            </w:r>
            <w:r>
              <w:rPr>
                <w:rFonts w:ascii="Times New Roman;Times;serif" w:hAnsi="Times New Roman;Times;serif"/>
                <w:sz w:val="16"/>
              </w:rPr>
              <w:t>The acquisition-related compensation expenses recorded for the three and six months ended June 30, 2026 are related to the Additional Cash Consideration obligation associated with the acquisition of Brinta. For further information, refer to Note 3, “Acquisitions” to the condensed consolidated financial statements included in this Quarterly Report on Form 10-Q.</w:t>
            </w:r>
          </w:p>
        </w:tc>
      </w:tr>
      <w:tr>
        <w:trPr/>
        <w:tc>
          <w:tcPr>
            <w:tcW w:w="10205" w:type="dxa"/>
            <w:gridSpan w:val="14"/>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2"/>
              </w:rPr>
              <w:t>(3)</w:t>
            </w:r>
            <w:r>
              <w:rPr>
                <w:rFonts w:ascii="Times New Roman;Times;serif" w:hAnsi="Times New Roman;Times;serif"/>
                <w:sz w:val="16"/>
              </w:rPr>
              <w:t xml:space="preserve"> The three and six months ended June 30, 2026 periods include $6,250 and $8,800, respectively, in costs incurred to support the execution of our Value Creation Plan. For further information, refer to Note 15, “ Restructuring” to the condensed consolidated financial statements included in this Quarterly Report on Form 10-Q. Amounts also include legal expenses associated with pending litigation related to claims the Company has made against a competitor. For further information, refer to Note 12, “Commitments and Contingencies” to the condensed consolidated financial statements included in this Quarterly Report on Form 10-Q.</w:t>
            </w:r>
          </w:p>
        </w:tc>
      </w:tr>
    </w:tbl>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bookmarkStart w:id="2211" w:name="_9kMI1H6ZWu4AB78IT5l3DD0lMpuD9r"/>
      <w:bookmarkStart w:id="2212" w:name="_9kMI0G6ZWu4AB78IT5l3DD0lMpuD9r"/>
      <w:bookmarkEnd w:id="2211"/>
      <w:bookmarkEnd w:id="2212"/>
      <w:r>
        <w:rPr>
          <w:rFonts w:ascii="Times New Roman;Times;serif" w:hAnsi="Times New Roman;Times;serif"/>
          <w:sz w:val="20"/>
        </w:rPr>
        <w:t>The increase in Adjusted EBITDA for the three months ended June 30, 2026 of $12.6 million over the comparable period in 2025 was primarily driven by a $15.1 million increase in non-GAAP gross profit and a $3.5 million decrease in  non-GAAP general and administrative expense, which was partially offset by increases of $4.3 million in non-GAAP research and development expense and $2.4 million in non-GAAP selling and marketing expense. Adjusted EBITDA margin increased to 25.0% for the three months ended June 30, 2026 compared to 20.8% for the comparable period in 2025, primarily due to the impact of our Value Creation Plan.</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increase in Adjusted EBITDA for the six months ended June 30, 2026 of $19.5 million over the comparable period in 2025 was primarily driven by a $30.7 million increase in non-GAAP gross profit and a $3.0 million decrease in  non-GAAP general and administrative expense, which was partially offset by increases of $8.4 million in non-GAAP research and development expense and $7.4 million in non-GAAP selling and marketing expense. Adjusted EBITDA margin increased to 23.7% for the six months ended June 30, 2026 compared to 20.9% for the comparable period in 2025, primarily due to the impact of our Value Creation Plan, as well as increased operating leverage and realized efficiencies from prior year strategic investments in our global infrastructure and core business processes.</w:t>
      </w:r>
    </w:p>
    <w:p>
      <w:pPr>
        <w:pStyle w:val="TextBody"/>
        <w:bidi w:val="0"/>
        <w:spacing w:before="0" w:after="0"/>
        <w:ind w:left="0" w:right="0" w:hanging="0"/>
        <w:jc w:val="left"/>
        <w:rPr>
          <w:color w:val="FF0000"/>
        </w:rPr>
      </w:pPr>
      <w:r>
        <w:rPr>
          <w:color w:val="FF0000"/>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Free Cash Flow and Free Cash Flow Margin.</w:t>
      </w:r>
    </w:p>
    <w:p>
      <w:pPr>
        <w:pStyle w:val="TextBody"/>
        <w:bidi w:val="0"/>
        <w:spacing w:before="0" w:after="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use free cash flow as a critical measure in the evaluation of liquidity in conjunction with related GAAP amounts. We also use this measure when considering available cash, including for decision-making purposes related to dividends and discretionary investments. We consider free cash flow to be an important measure for investors because it measures the amount of cash we generate from our operations after our capital expenditures and capitalization of software development costs. In addition, we base certain of our forward-looking estimates and budgets on free cash flow and free cash flow margin. We define free cash flow as the total of net cash provided by operating activities less purchases of property and equipment and capitalized software. We define free cash flow margin as free cash flow divided by total revenues for the same period.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Our net cash provided by operating activities was $30.9 million and $46.0 million for the three months ended June 30, 2026 and 2025, respectively, while our operating cash flow margin was 15.1% and 24.9% over the same periods, respectively. Our net cash provided by operating activities was $68.9 million and $60.8 million for the six months ended June 30, 2026 and 2025, respectively, while our operating cash flow margin was 17.2% and 16.8% over the same periods, respectively. </w:t>
      </w:r>
    </w:p>
    <w:tbl>
      <w:tblPr>
        <w:tblW w:w="9044" w:type="dxa"/>
        <w:jc w:val="left"/>
        <w:tblInd w:w="0" w:type="dxa"/>
        <w:tblLayout w:type="fixed"/>
        <w:tblCellMar>
          <w:top w:w="0" w:type="dxa"/>
          <w:left w:w="0" w:type="dxa"/>
          <w:bottom w:w="0" w:type="dxa"/>
          <w:right w:w="0" w:type="dxa"/>
        </w:tblCellMar>
      </w:tblPr>
      <w:tblGrid>
        <w:gridCol w:w="3286"/>
        <w:gridCol w:w="346"/>
        <w:gridCol w:w="211"/>
        <w:gridCol w:w="796"/>
        <w:gridCol w:w="361"/>
        <w:gridCol w:w="211"/>
        <w:gridCol w:w="796"/>
        <w:gridCol w:w="271"/>
        <w:gridCol w:w="211"/>
        <w:gridCol w:w="796"/>
        <w:gridCol w:w="361"/>
        <w:gridCol w:w="211"/>
        <w:gridCol w:w="796"/>
        <w:gridCol w:w="391"/>
      </w:tblGrid>
      <w:tr>
        <w:trPr/>
        <w:tc>
          <w:tcPr>
            <w:tcW w:w="3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4">
                      <wp:simplePos x="0" y="0"/>
                      <wp:positionH relativeFrom="character">
                        <wp:align>left</wp:align>
                      </wp:positionH>
                      <wp:positionV relativeFrom="line">
                        <wp:posOffset>635</wp:posOffset>
                      </wp:positionV>
                      <wp:extent cx="2086610" cy="175260"/>
                      <wp:effectExtent l="0" t="0" r="0" b="0"/>
                      <wp:wrapNone/>
                      <wp:docPr id="793" name="Frame793"/>
                      <a:graphic xmlns:a="http://schemas.openxmlformats.org/drawingml/2006/main">
                        <a:graphicData uri="http://schemas.microsoft.com/office/word/2010/wordprocessingShape">
                          <wps:wsp>
                            <wps:cNvSpPr txBox="1"/>
                            <wps:spPr>
                              <a:xfrm>
                                <a:off x="0" y="0"/>
                                <a:ext cx="2086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5">
                      <wp:simplePos x="0" y="0"/>
                      <wp:positionH relativeFrom="character">
                        <wp:align>left</wp:align>
                      </wp:positionH>
                      <wp:positionV relativeFrom="line">
                        <wp:posOffset>635</wp:posOffset>
                      </wp:positionV>
                      <wp:extent cx="219710" cy="175260"/>
                      <wp:effectExtent l="0" t="0" r="0" b="0"/>
                      <wp:wrapNone/>
                      <wp:docPr id="794" name="Frame7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6">
                      <wp:simplePos x="0" y="0"/>
                      <wp:positionH relativeFrom="character">
                        <wp:align>left</wp:align>
                      </wp:positionH>
                      <wp:positionV relativeFrom="line">
                        <wp:posOffset>635</wp:posOffset>
                      </wp:positionV>
                      <wp:extent cx="133985" cy="175260"/>
                      <wp:effectExtent l="0" t="0" r="0" b="0"/>
                      <wp:wrapNone/>
                      <wp:docPr id="795" name="Frame7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7">
                      <wp:simplePos x="0" y="0"/>
                      <wp:positionH relativeFrom="character">
                        <wp:align>left</wp:align>
                      </wp:positionH>
                      <wp:positionV relativeFrom="line">
                        <wp:posOffset>635</wp:posOffset>
                      </wp:positionV>
                      <wp:extent cx="505460" cy="175260"/>
                      <wp:effectExtent l="0" t="0" r="0" b="0"/>
                      <wp:wrapNone/>
                      <wp:docPr id="796" name="Frame79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8">
                      <wp:simplePos x="0" y="0"/>
                      <wp:positionH relativeFrom="character">
                        <wp:align>left</wp:align>
                      </wp:positionH>
                      <wp:positionV relativeFrom="line">
                        <wp:posOffset>635</wp:posOffset>
                      </wp:positionV>
                      <wp:extent cx="229235" cy="175260"/>
                      <wp:effectExtent l="0" t="0" r="0" b="0"/>
                      <wp:wrapNone/>
                      <wp:docPr id="797" name="Frame79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9">
                      <wp:simplePos x="0" y="0"/>
                      <wp:positionH relativeFrom="character">
                        <wp:align>left</wp:align>
                      </wp:positionH>
                      <wp:positionV relativeFrom="line">
                        <wp:posOffset>635</wp:posOffset>
                      </wp:positionV>
                      <wp:extent cx="133985" cy="175260"/>
                      <wp:effectExtent l="0" t="0" r="0" b="0"/>
                      <wp:wrapNone/>
                      <wp:docPr id="798" name="Frame7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0">
                      <wp:simplePos x="0" y="0"/>
                      <wp:positionH relativeFrom="character">
                        <wp:align>left</wp:align>
                      </wp:positionH>
                      <wp:positionV relativeFrom="line">
                        <wp:posOffset>635</wp:posOffset>
                      </wp:positionV>
                      <wp:extent cx="505460" cy="175260"/>
                      <wp:effectExtent l="0" t="0" r="0" b="0"/>
                      <wp:wrapNone/>
                      <wp:docPr id="799" name="Frame79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1">
                      <wp:simplePos x="0" y="0"/>
                      <wp:positionH relativeFrom="character">
                        <wp:align>left</wp:align>
                      </wp:positionH>
                      <wp:positionV relativeFrom="line">
                        <wp:posOffset>635</wp:posOffset>
                      </wp:positionV>
                      <wp:extent cx="172085" cy="175260"/>
                      <wp:effectExtent l="0" t="0" r="0" b="0"/>
                      <wp:wrapNone/>
                      <wp:docPr id="800" name="Frame800"/>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2">
                      <wp:simplePos x="0" y="0"/>
                      <wp:positionH relativeFrom="character">
                        <wp:align>left</wp:align>
                      </wp:positionH>
                      <wp:positionV relativeFrom="line">
                        <wp:posOffset>635</wp:posOffset>
                      </wp:positionV>
                      <wp:extent cx="133985" cy="175260"/>
                      <wp:effectExtent l="0" t="0" r="0" b="0"/>
                      <wp:wrapNone/>
                      <wp:docPr id="801" name="Frame8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3">
                      <wp:simplePos x="0" y="0"/>
                      <wp:positionH relativeFrom="character">
                        <wp:align>left</wp:align>
                      </wp:positionH>
                      <wp:positionV relativeFrom="line">
                        <wp:posOffset>635</wp:posOffset>
                      </wp:positionV>
                      <wp:extent cx="505460" cy="175260"/>
                      <wp:effectExtent l="0" t="0" r="0" b="0"/>
                      <wp:wrapNone/>
                      <wp:docPr id="802" name="Frame80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4">
                      <wp:simplePos x="0" y="0"/>
                      <wp:positionH relativeFrom="character">
                        <wp:align>left</wp:align>
                      </wp:positionH>
                      <wp:positionV relativeFrom="line">
                        <wp:posOffset>635</wp:posOffset>
                      </wp:positionV>
                      <wp:extent cx="229235" cy="175260"/>
                      <wp:effectExtent l="0" t="0" r="0" b="0"/>
                      <wp:wrapNone/>
                      <wp:docPr id="803" name="Frame80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5">
                      <wp:simplePos x="0" y="0"/>
                      <wp:positionH relativeFrom="character">
                        <wp:align>left</wp:align>
                      </wp:positionH>
                      <wp:positionV relativeFrom="line">
                        <wp:posOffset>635</wp:posOffset>
                      </wp:positionV>
                      <wp:extent cx="133985" cy="175260"/>
                      <wp:effectExtent l="0" t="0" r="0" b="0"/>
                      <wp:wrapNone/>
                      <wp:docPr id="804" name="Frame8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6">
                      <wp:simplePos x="0" y="0"/>
                      <wp:positionH relativeFrom="character">
                        <wp:align>left</wp:align>
                      </wp:positionH>
                      <wp:positionV relativeFrom="line">
                        <wp:posOffset>635</wp:posOffset>
                      </wp:positionV>
                      <wp:extent cx="505460" cy="175260"/>
                      <wp:effectExtent l="0" t="0" r="0" b="0"/>
                      <wp:wrapNone/>
                      <wp:docPr id="805" name="Frame80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7">
                      <wp:simplePos x="0" y="0"/>
                      <wp:positionH relativeFrom="character">
                        <wp:align>left</wp:align>
                      </wp:positionH>
                      <wp:positionV relativeFrom="line">
                        <wp:posOffset>635</wp:posOffset>
                      </wp:positionV>
                      <wp:extent cx="248285" cy="175260"/>
                      <wp:effectExtent l="0" t="0" r="0" b="0"/>
                      <wp:wrapNone/>
                      <wp:docPr id="806" name="Frame806"/>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37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271" w:type="dxa"/>
            <w:tcBorders/>
            <w:vAlign w:val="center"/>
          </w:tcPr>
          <w:p>
            <w:pPr>
              <w:pStyle w:val="TableContents"/>
              <w:bidi w:val="0"/>
              <w:spacing w:before="0" w:after="0"/>
              <w:ind w:left="0" w:right="0" w:hanging="0"/>
              <w:jc w:val="center"/>
              <w:rPr/>
            </w:pPr>
            <w:r>
              <w:rPr/>
              <w:t>​</w:t>
            </w:r>
          </w:p>
        </w:tc>
        <w:tc>
          <w:tcPr>
            <w:tcW w:w="237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c>
          <w:tcPr>
            <w:tcW w:w="391" w:type="dxa"/>
            <w:tcBorders/>
            <w:vAlign w:val="center"/>
          </w:tcPr>
          <w:p>
            <w:pPr>
              <w:pStyle w:val="TableContents"/>
              <w:bidi w:val="0"/>
              <w:spacing w:before="0" w:after="0"/>
              <w:ind w:left="0" w:right="0" w:hanging="0"/>
              <w:jc w:val="center"/>
              <w:rPr/>
            </w:pPr>
            <w:r>
              <w:rPr/>
              <w:t>​</w:t>
            </w:r>
          </w:p>
        </w:tc>
      </w:tr>
      <w:tr>
        <w:trPr/>
        <w:tc>
          <w:tcPr>
            <w:tcW w:w="3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37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271" w:type="dxa"/>
            <w:tcBorders/>
            <w:vAlign w:val="center"/>
          </w:tcPr>
          <w:p>
            <w:pPr>
              <w:pStyle w:val="TableContents"/>
              <w:bidi w:val="0"/>
              <w:spacing w:before="0" w:after="0"/>
              <w:ind w:left="0" w:right="0" w:hanging="0"/>
              <w:jc w:val="center"/>
              <w:rPr/>
            </w:pPr>
            <w:r>
              <w:rPr/>
              <w:t>​</w:t>
            </w:r>
          </w:p>
        </w:tc>
        <w:tc>
          <w:tcPr>
            <w:tcW w:w="237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91" w:type="dxa"/>
            <w:tcBorders/>
            <w:vAlign w:val="center"/>
          </w:tcPr>
          <w:p>
            <w:pPr>
              <w:pStyle w:val="TableContents"/>
              <w:bidi w:val="0"/>
              <w:spacing w:before="0" w:after="0"/>
              <w:ind w:left="0" w:right="0" w:hanging="0"/>
              <w:jc w:val="center"/>
              <w:rPr/>
            </w:pPr>
            <w:r>
              <w:rPr/>
              <w:t>​</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1"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71" w:type="dxa"/>
            <w:tcBorders/>
            <w:vAlign w:val="center"/>
          </w:tcPr>
          <w:p>
            <w:pPr>
              <w:pStyle w:val="TableContents"/>
              <w:bidi w:val="0"/>
              <w:spacing w:before="0" w:after="0"/>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1"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0"/>
              <w:ind w:left="0" w:right="0" w:hanging="0"/>
              <w:jc w:val="center"/>
              <w:rPr/>
            </w:pPr>
            <w:r>
              <w:rPr/>
              <w:t>​</w:t>
            </w:r>
          </w:p>
        </w:tc>
      </w:tr>
      <w:tr>
        <w:trPr/>
        <w:tc>
          <w:tcPr>
            <w:tcW w:w="9044" w:type="dxa"/>
            <w:gridSpan w:val="14"/>
            <w:tcBorders/>
            <w:vAlign w:val="center"/>
          </w:tcPr>
          <w:p>
            <w:pPr>
              <w:pStyle w:val="TableContents"/>
              <w:bidi w:val="0"/>
              <w:spacing w:before="0" w:after="283"/>
              <w:ind w:left="0" w:right="0" w:hanging="0"/>
              <w:jc w:val="left"/>
              <w:rPr>
                <w:sz w:val="4"/>
                <w:szCs w:val="4"/>
              </w:rPr>
            </w:pPr>
            <w:r>
              <w:rPr>
                <w:sz w:val="4"/>
                <w:szCs w:val="4"/>
              </w:rPr>
            </w:r>
          </w:p>
        </w:tc>
      </w:tr>
      <w:tr>
        <w:trPr/>
        <w:tc>
          <w:tcPr>
            <w:tcW w:w="3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2164"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27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2164"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91" w:type="dxa"/>
            <w:tcBorders/>
            <w:vAlign w:val="center"/>
          </w:tcPr>
          <w:p>
            <w:pPr>
              <w:pStyle w:val="TableContents"/>
              <w:bidi w:val="0"/>
              <w:spacing w:before="0" w:after="0"/>
              <w:ind w:left="0" w:right="0" w:hanging="0"/>
              <w:jc w:val="left"/>
              <w:rPr/>
            </w:pPr>
            <w:r>
              <w:rPr/>
              <w:t>​</w:t>
            </w:r>
          </w:p>
        </w:tc>
      </w:tr>
      <w:tr>
        <w:trPr/>
        <w:tc>
          <w:tcPr>
            <w:tcW w:w="32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Free Cash Flow:</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96" w:type="dxa"/>
            <w:tcBorders/>
            <w:shd w:fill="CCEEFF" w:val="clear"/>
            <w:vAlign w:val="center"/>
          </w:tcPr>
          <w:p>
            <w:pPr>
              <w:pStyle w:val="TableContents"/>
              <w:bidi w:val="0"/>
              <w:spacing w:before="0" w:after="0"/>
              <w:ind w:left="0" w:right="0" w:hanging="0"/>
              <w:jc w:val="center"/>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96" w:type="dxa"/>
            <w:tcBorders/>
            <w:shd w:fill="CCEEFF" w:val="clear"/>
            <w:vAlign w:val="center"/>
          </w:tcPr>
          <w:p>
            <w:pPr>
              <w:pStyle w:val="TableContents"/>
              <w:bidi w:val="0"/>
              <w:spacing w:before="0" w:after="0"/>
              <w:ind w:left="0" w:right="0" w:hanging="0"/>
              <w:jc w:val="center"/>
              <w:rPr/>
            </w:pPr>
            <w:r>
              <w:rPr/>
              <w:t>​</w:t>
            </w:r>
          </w:p>
        </w:tc>
        <w:tc>
          <w:tcPr>
            <w:tcW w:w="271"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96" w:type="dxa"/>
            <w:tcBorders/>
            <w:shd w:fill="CCEEFF" w:val="clear"/>
            <w:vAlign w:val="center"/>
          </w:tcPr>
          <w:p>
            <w:pPr>
              <w:pStyle w:val="TableContents"/>
              <w:bidi w:val="0"/>
              <w:spacing w:before="0" w:after="0"/>
              <w:ind w:left="0" w:right="0" w:hanging="0"/>
              <w:jc w:val="center"/>
              <w:rPr/>
            </w:pPr>
            <w:r>
              <w:rPr/>
              <w:t>​</w:t>
            </w:r>
          </w:p>
        </w:tc>
        <w:tc>
          <w:tcPr>
            <w:tcW w:w="361"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96" w:type="dxa"/>
            <w:tcBorders/>
            <w:shd w:fill="CCEEFF" w:val="clear"/>
            <w:vAlign w:val="center"/>
          </w:tcPr>
          <w:p>
            <w:pPr>
              <w:pStyle w:val="TableContents"/>
              <w:bidi w:val="0"/>
              <w:spacing w:before="0" w:after="0"/>
              <w:ind w:left="0" w:right="0" w:hanging="0"/>
              <w:jc w:val="center"/>
              <w:rPr/>
            </w:pPr>
            <w:r>
              <w:rPr/>
              <w:t>​</w:t>
            </w:r>
          </w:p>
        </w:tc>
        <w:tc>
          <w:tcPr>
            <w:tcW w:w="391" w:type="dxa"/>
            <w:tcBorders/>
            <w:shd w:fill="CCEEFF" w:val="clear"/>
            <w:vAlign w:val="center"/>
          </w:tcPr>
          <w:p>
            <w:pPr>
              <w:pStyle w:val="TableContents"/>
              <w:bidi w:val="0"/>
              <w:spacing w:before="0" w:after="0"/>
              <w:ind w:left="0" w:right="0" w:hanging="0"/>
              <w:jc w:val="center"/>
              <w:rPr/>
            </w:pPr>
            <w:r>
              <w:rPr/>
              <w:t>​</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provided by operating activities</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30,896</w:t>
            </w:r>
          </w:p>
        </w:tc>
        <w:tc>
          <w:tcPr>
            <w:tcW w:w="361"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46,003</w:t>
            </w:r>
          </w:p>
        </w:tc>
        <w:tc>
          <w:tcPr>
            <w:tcW w:w="27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68,871</w:t>
            </w:r>
          </w:p>
        </w:tc>
        <w:tc>
          <w:tcPr>
            <w:tcW w:w="361"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60,808</w:t>
            </w:r>
          </w:p>
        </w:tc>
        <w:tc>
          <w:tcPr>
            <w:tcW w:w="391" w:type="dxa"/>
            <w:tcBorders/>
            <w:vAlign w:val="center"/>
          </w:tcPr>
          <w:p>
            <w:pPr>
              <w:pStyle w:val="TableContents"/>
              <w:bidi w:val="0"/>
              <w:spacing w:before="0" w:after="0"/>
              <w:ind w:left="0" w:right="0" w:hanging="0"/>
              <w:jc w:val="center"/>
              <w:rPr/>
            </w:pPr>
            <w:r>
              <w:rPr/>
              <w:t>​</w:t>
            </w:r>
          </w:p>
        </w:tc>
      </w:tr>
      <w:tr>
        <w:trPr/>
        <w:tc>
          <w:tcPr>
            <w:tcW w:w="3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additions</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(23,171)</w:t>
            </w:r>
          </w:p>
        </w:tc>
        <w:tc>
          <w:tcPr>
            <w:tcW w:w="361"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(21,512)</w:t>
            </w:r>
          </w:p>
        </w:tc>
        <w:tc>
          <w:tcPr>
            <w:tcW w:w="271"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(47,831)</w:t>
            </w:r>
          </w:p>
        </w:tc>
        <w:tc>
          <w:tcPr>
            <w:tcW w:w="361"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(42,906)</w:t>
            </w:r>
          </w:p>
        </w:tc>
        <w:tc>
          <w:tcPr>
            <w:tcW w:w="391" w:type="dxa"/>
            <w:tcBorders/>
            <w:shd w:fill="CCEEFF" w:val="clear"/>
            <w:vAlign w:val="center"/>
          </w:tcPr>
          <w:p>
            <w:pPr>
              <w:pStyle w:val="TableContents"/>
              <w:bidi w:val="0"/>
              <w:spacing w:before="0" w:after="0"/>
              <w:ind w:left="0" w:right="0" w:hanging="0"/>
              <w:jc w:val="center"/>
              <w:rPr/>
            </w:pPr>
            <w:r>
              <w:rPr/>
              <w:t>​</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Capitalized software additions</w:t>
            </w:r>
          </w:p>
        </w:tc>
        <w:tc>
          <w:tcPr>
            <w:tcW w:w="346"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(4,992)</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(4,904)</w:t>
            </w:r>
          </w:p>
        </w:tc>
        <w:tc>
          <w:tcPr>
            <w:tcW w:w="271"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(10,648)</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(10,565)</w:t>
            </w:r>
          </w:p>
        </w:tc>
        <w:tc>
          <w:tcPr>
            <w:tcW w:w="391" w:type="dxa"/>
            <w:tcBorders/>
            <w:vAlign w:val="center"/>
          </w:tcPr>
          <w:p>
            <w:pPr>
              <w:pStyle w:val="TableContents"/>
              <w:bidi w:val="0"/>
              <w:spacing w:before="0" w:after="0"/>
              <w:ind w:left="0" w:right="0" w:hanging="0"/>
              <w:jc w:val="right"/>
              <w:rPr/>
            </w:pPr>
            <w:r>
              <w:rPr/>
              <w:t>​</w:t>
            </w:r>
          </w:p>
        </w:tc>
      </w:tr>
      <w:tr>
        <w:trPr/>
        <w:tc>
          <w:tcPr>
            <w:tcW w:w="32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Free cash flow</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2,733</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19,587</w:t>
            </w:r>
          </w:p>
        </w:tc>
        <w:tc>
          <w:tcPr>
            <w:tcW w:w="271"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10,392</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7,337</w:t>
            </w:r>
          </w:p>
        </w:tc>
        <w:tc>
          <w:tcPr>
            <w:tcW w:w="391" w:type="dxa"/>
            <w:tcBorders/>
            <w:shd w:fill="CCEEFF" w:val="clear"/>
            <w:vAlign w:val="center"/>
          </w:tcPr>
          <w:p>
            <w:pPr>
              <w:pStyle w:val="TableContents"/>
              <w:bidi w:val="0"/>
              <w:spacing w:before="0" w:after="0"/>
              <w:ind w:left="0" w:right="0" w:hanging="0"/>
              <w:jc w:val="right"/>
              <w:rPr/>
            </w:pPr>
            <w:r>
              <w:rPr/>
              <w:t>​</w:t>
            </w:r>
          </w:p>
        </w:tc>
      </w:tr>
      <w:tr>
        <w:trPr/>
        <w:tc>
          <w:tcPr>
            <w:tcW w:w="3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right"/>
              <w:rPr/>
            </w:pPr>
            <w:r>
              <w:rPr/>
              <w:t>​</w:t>
            </w:r>
          </w:p>
        </w:tc>
      </w:tr>
      <w:tr>
        <w:trPr/>
        <w:tc>
          <w:tcPr>
            <w:tcW w:w="32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Free Cash Flow Margin:</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right"/>
              <w:rPr/>
            </w:pPr>
            <w:r>
              <w:rPr/>
              <w:t>​</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46" w:type="dxa"/>
            <w:tcBorders/>
            <w:vAlign w:val="center"/>
          </w:tcPr>
          <w:p>
            <w:pPr>
              <w:pStyle w:val="TableContents"/>
              <w:bidi w:val="0"/>
              <w:spacing w:before="0" w:after="0"/>
              <w:ind w:left="0" w:right="0" w:hanging="0"/>
              <w:jc w:val="center"/>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203,970</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184,559</w:t>
            </w:r>
          </w:p>
        </w:tc>
        <w:tc>
          <w:tcPr>
            <w:tcW w:w="271"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400,616</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361,621</w:t>
            </w:r>
          </w:p>
        </w:tc>
        <w:tc>
          <w:tcPr>
            <w:tcW w:w="391" w:type="dxa"/>
            <w:tcBorders/>
            <w:vAlign w:val="center"/>
          </w:tcPr>
          <w:p>
            <w:pPr>
              <w:pStyle w:val="TableContents"/>
              <w:bidi w:val="0"/>
              <w:spacing w:before="0" w:after="0"/>
              <w:ind w:left="0" w:right="0" w:hanging="0"/>
              <w:jc w:val="right"/>
              <w:rPr/>
            </w:pPr>
            <w:r>
              <w:rPr/>
              <w:t>​</w:t>
            </w:r>
          </w:p>
        </w:tc>
      </w:tr>
      <w:tr>
        <w:trPr/>
        <w:tc>
          <w:tcPr>
            <w:tcW w:w="32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Free cash flow margin</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r>
    </w:tbl>
    <w:p>
      <w:pPr>
        <w:pStyle w:val="TextBody"/>
        <w:bidi w:val="0"/>
        <w:spacing w:before="60" w:after="60"/>
        <w:ind w:left="0" w:right="0" w:firstLine="720"/>
        <w:jc w:val="both"/>
        <w:rPr/>
      </w:pPr>
      <w:r>
        <w:rPr/>
        <w:t>​</w:t>
      </w:r>
    </w:p>
    <w:p>
      <w:pPr>
        <w:pStyle w:val="TextBody"/>
        <w:bidi w:val="0"/>
        <w:spacing w:before="60" w:after="60"/>
        <w:ind w:left="0" w:right="0" w:firstLine="720"/>
        <w:jc w:val="both"/>
        <w:rPr>
          <w:rFonts w:ascii="Times New Roman;Times;serif" w:hAnsi="Times New Roman;Times;serif"/>
          <w:sz w:val="20"/>
        </w:rPr>
      </w:pPr>
      <w:r>
        <w:rPr>
          <w:rFonts w:ascii="Times New Roman;Times;serif" w:hAnsi="Times New Roman;Times;serif"/>
          <w:sz w:val="20"/>
        </w:rPr>
        <w:t>Free cash flow decreased by $16.9 million for the three months ended June 30, 2026 as compared to the same period in 2025. This decrease was primarily driven by a $15.1 million decrease in cash provided by operating activities, primarily attributable to the timing of cash payments during the period, as well as $1.7 million in additional investments in property and equipment, and capitalized software related to investments in infrastructure, new products, and enhancements to existing products. Free cash flow margin decreased to 1.3% for the three months ended June 30, 2026 compared to 10.6% for the same period in 2025.</w:t>
      </w:r>
    </w:p>
    <w:p>
      <w:pPr>
        <w:pStyle w:val="TextBody"/>
        <w:bidi w:val="0"/>
        <w:spacing w:before="60" w:after="60"/>
        <w:ind w:left="0" w:right="0" w:firstLine="720"/>
        <w:jc w:val="both"/>
        <w:rPr/>
      </w:pPr>
      <w:r>
        <w:rPr/>
        <w:t>​</w:t>
      </w:r>
    </w:p>
    <w:p>
      <w:pPr>
        <w:pStyle w:val="TextBody"/>
        <w:bidi w:val="0"/>
        <w:spacing w:before="60" w:after="60"/>
        <w:ind w:left="0" w:right="0" w:firstLine="720"/>
        <w:jc w:val="both"/>
        <w:rPr>
          <w:rFonts w:ascii="Times New Roman;Times;serif" w:hAnsi="Times New Roman;Times;serif"/>
          <w:sz w:val="20"/>
        </w:rPr>
      </w:pPr>
      <w:r>
        <w:rPr>
          <w:rFonts w:ascii="Times New Roman;Times;serif" w:hAnsi="Times New Roman;Times;serif"/>
          <w:sz w:val="20"/>
        </w:rPr>
        <w:t>Free cash flow increased by $3.1 million for the six months ended June 30, 2026 as compared to the same period in 2025. This increase was primarily driven by a $8.1 million increase in cash provided by operating activities, resulting from favorable changes in working capital components and the timing of certain operational expenditures. The increase in cash provided by operating activities, was partially offset by $5.0 million in additional investments in property and equipment, and capitalized software related to investments in infrastructure, new products, and enhancements to existing products. Free cash flow margin increased to 2.6% for the six months ended June 30, 2026 compared to 2.0% for the same period in 2025.</w:t>
      </w:r>
    </w:p>
    <w:p>
      <w:pPr>
        <w:pStyle w:val="TextBody"/>
        <w:bidi w:val="0"/>
        <w:spacing w:before="60" w:after="60"/>
        <w:ind w:left="0" w:right="0" w:firstLine="720"/>
        <w:jc w:val="both"/>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Use and Reconciliation of Non-GAAP Financial Measures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addition to our results determined in accordance with GAAP, we have calculated Adjusted EBITDA, Adjusted EBITDA margin, free cash flow, free cash flow margin, non-GAAP cost of revenues, non-GAAP gross profit, non-GAAP gross margin, non-GAAP research and development expense, non-GAAP selling and marketing expense, non-GAAP general and administrative expense, non-GAAP operating income, and non-GAAP net income, which are each non-GAAP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financial measures. We have provided tabular reconciliations of each of these non-GAAP financial measures to its most directly comparable GAAP financial measure.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use these non-GAAP financial measures to understand and compare operating results across accounting periods, for internal budgeting and forecasting purposes, and to evaluate financial performance. We use non-GAAP financial measures of free cash flow and free cash flow margin to evaluate liquidity. Our non-GAAP financial measures are presented as supplemental disclosure as we believe they provide useful information to investors and others in understanding and evaluating our results, prospects, and liquidity period-over-period without the impact of certain items that do not directly correlate to our operating performance and that may vary significantly from period to period for reasons unrelated to our operating performance, as well as comparing our financial results to those of other companies. Our definitions of these non-GAAP financial measures may differ from similarly titled measures presented by other companies, and therefore, comparability may be limited. In addition, other companies may not publish these or similar metrics. Thus, our non-GAAP financial measures should be considered in addition to, not as a substitute for, or in isolation from, the financial information prepared in accordance with GAAP financial measures, and should be read in conjunction with the condensed consolidated financial statements included in this Quarterly Report on Form 10-Q.</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Additional Non-GAAP Financial Measures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to Adjusted EBITDA, Adjusted EBITDA margin, free cash flow, and free cash flow margin calculated and discussed in “Key Business Metrics,” the following additional non-GAAP financial measures are calculated and presented further below:</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cost of revenues, software subscriptions is determined by adding back to GAAP cost of revenues, software subscriptions, the stock-based compensation expense, and depreciation and amortization of capitalized software and acquired intangible assets included in cost of subscription revenues for the respective periods.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cost of revenues, services is determined by adding back to GAAP cost of revenues, services, the stock-based compensation expense included in cost of revenues, services for the respective periods.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gross profit is determined by adding back to GAAP gross profit the stock-based compensation expense, and depreciation and amortization of capitalized software and acquired intangible assets included in cost of subscription revenues for the respective periods.</w:t>
            </w:r>
          </w:p>
        </w:tc>
      </w:tr>
    </w:tbl>
    <w:tbl>
      <w:tblPr>
        <w:tblW w:w="10131" w:type="dxa"/>
        <w:jc w:val="left"/>
        <w:tblInd w:w="0" w:type="dxa"/>
        <w:tblLayout w:type="fixed"/>
        <w:tblCellMar>
          <w:top w:w="28" w:type="dxa"/>
          <w:left w:w="28" w:type="dxa"/>
          <w:bottom w:w="28" w:type="dxa"/>
          <w:right w:w="28" w:type="dxa"/>
        </w:tblCellMar>
      </w:tblPr>
      <w:tblGrid>
        <w:gridCol w:w="124"/>
        <w:gridCol w:w="256"/>
        <w:gridCol w:w="97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gross margin is determined by dividing non-GAAP gross profit by total revenues for the respective periods.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Non-GAAP research and development expense is determined by adding back to GAAP research and development expense the stock-based compensation expense and transaction costs related to acquired technology</w:t>
            </w:r>
            <w:r>
              <w:rPr>
                <w:caps w:val="false"/>
                <w:smallCaps w:val="false"/>
                <w:color w:val="FF0000"/>
              </w:rPr>
              <w:t xml:space="preserve"> </w:t>
            </w:r>
            <w:r>
              <w:rPr>
                <w:rFonts w:ascii="Times New Roman;Times;serif" w:hAnsi="Times New Roman;Times;serif"/>
                <w:b w:val="false"/>
                <w:i w:val="false"/>
                <w:caps w:val="false"/>
                <w:smallCaps w:val="false"/>
                <w:sz w:val="20"/>
              </w:rPr>
              <w:t xml:space="preserve">included in research and development expense for the respective periods.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selling and marketing expense is determined by adding back to GAAP selling and marketing expense the stock-based compensation expense and the amortization of acquired intangible assets included in selling and marketing expense for the respective periods.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general and administrative expense is determined by adding back to GAAP general and administrative expense the stock-based compensation expense, amortization of cloud computing implementation costs, severance expense, acquisition-related retained employee compensation, and transaction costs included in general and administrative expense for the respective periods.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Non-GAAP operating income is determined by adding back to GAAP loss or income from operations the stock-based compensation expense, depreciation and amortization of capitalized software and acquired intangible assets, amortization of cloud computing implementation costs, severance expense, acquisition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contingent consideration, changes in the fair value of acquisition contingent earn-outs, acquisition-related retained employee compensation, and transaction costs included in GAAP loss or income from operations for the respective periods.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net income is determined by adding back to GAAP net income or loss income tax benefit or expense, stock-based compensation expense, depreciation and amortization of capitalized software and acquired intangible assets, amortization of cloud computing implementation costs, severance expense, acquisition contingent consideration, changes in the fair value of acquisition contingent earn-outs, acquisition-related retained employee compensation, and transaction costs included in GAAP loss or income from operations for the respective periods, to determine non-GAAP income or loss before income taxes. Non-GAAP income or loss before income taxes is then adjusted for income taxes calculated using the respective statutory tax rates for applicable jurisdictions, which for purposes of this determination were assumed to be 25.5%.</w:t>
            </w:r>
          </w:p>
        </w:tc>
      </w:tr>
    </w:tbl>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encourage investors and others to review our financial information in its entirety, not to rely on any single financial measure and to view these non-GAAP financial measures in conjunction with the related GAAP financial measures.</w:t>
      </w:r>
    </w:p>
    <w:p>
      <w:pPr>
        <w:pStyle w:val="TextBody"/>
        <w:bidi w:val="0"/>
        <w:spacing w:before="0" w:after="0"/>
        <w:ind w:left="0" w:right="0" w:firstLine="360"/>
        <w:jc w:val="both"/>
        <w:rPr/>
      </w:pPr>
      <w:r>
        <w:rPr/>
        <w:t>​</w:t>
      </w:r>
    </w:p>
    <w:p>
      <w:pPr>
        <w:pStyle w:val="TextBody"/>
        <w:bidi w:val="0"/>
        <w:spacing w:before="0" w:after="0"/>
        <w:ind w:left="0" w:right="0" w:firstLine="360"/>
        <w:jc w:val="left"/>
        <w:rPr>
          <w:rFonts w:ascii="Times New Roman;Times;serif" w:hAnsi="Times New Roman;Times;serif"/>
          <w:sz w:val="20"/>
          <w:shd w:fill="FFFFFF" w:val="clear"/>
        </w:rPr>
      </w:pPr>
      <w:r>
        <w:rPr>
          <w:rFonts w:ascii="Times New Roman;Times;serif" w:hAnsi="Times New Roman;Times;serif"/>
          <w:sz w:val="20"/>
          <w:shd w:fill="FFFFFF" w:val="clear"/>
        </w:rPr>
        <w:t>The following schedules reflect our additional non-GAAP financial measures and reconciles our additional non-GAAP financial measures to the related GAAP financial measures.</w:t>
      </w:r>
    </w:p>
    <w:p>
      <w:pPr>
        <w:pStyle w:val="TextBody"/>
        <w:bidi w:val="0"/>
        <w:spacing w:before="0" w:after="0"/>
        <w:ind w:left="0" w:right="0" w:firstLine="360"/>
        <w:jc w:val="left"/>
        <w:rPr/>
      </w:pPr>
      <w:r>
        <w:rPr/>
        <w:t>​</w:t>
      </w:r>
    </w:p>
    <w:p>
      <w:pPr>
        <w:pStyle w:val="TextBody"/>
        <w:bidi w:val="0"/>
        <w:spacing w:before="0" w:after="0"/>
        <w:ind w:left="0" w:right="0" w:hanging="0"/>
        <w:jc w:val="both"/>
        <w:rPr/>
      </w:pPr>
      <w:r>
        <w:rPr/>
        <w:t>​</w:t>
      </w:r>
    </w:p>
    <w:tbl>
      <w:tblPr>
        <w:tblW w:w="9899" w:type="dxa"/>
        <w:jc w:val="left"/>
        <w:tblInd w:w="0" w:type="dxa"/>
        <w:tblLayout w:type="fixed"/>
        <w:tblCellMar>
          <w:top w:w="0" w:type="dxa"/>
          <w:left w:w="0" w:type="dxa"/>
          <w:bottom w:w="0" w:type="dxa"/>
          <w:right w:w="0" w:type="dxa"/>
        </w:tblCellMar>
      </w:tblPr>
      <w:tblGrid>
        <w:gridCol w:w="4276"/>
        <w:gridCol w:w="346"/>
        <w:gridCol w:w="211"/>
        <w:gridCol w:w="781"/>
        <w:gridCol w:w="271"/>
        <w:gridCol w:w="211"/>
        <w:gridCol w:w="781"/>
        <w:gridCol w:w="271"/>
        <w:gridCol w:w="211"/>
        <w:gridCol w:w="781"/>
        <w:gridCol w:w="361"/>
        <w:gridCol w:w="211"/>
        <w:gridCol w:w="781"/>
        <w:gridCol w:w="406"/>
      </w:tblGrid>
      <w:tr>
        <w:trPr/>
        <w:tc>
          <w:tcPr>
            <w:tcW w:w="4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8">
                      <wp:simplePos x="0" y="0"/>
                      <wp:positionH relativeFrom="character">
                        <wp:align>left</wp:align>
                      </wp:positionH>
                      <wp:positionV relativeFrom="line">
                        <wp:posOffset>635</wp:posOffset>
                      </wp:positionV>
                      <wp:extent cx="2715260" cy="175260"/>
                      <wp:effectExtent l="0" t="0" r="0" b="0"/>
                      <wp:wrapNone/>
                      <wp:docPr id="807" name="Frame807"/>
                      <a:graphic xmlns:a="http://schemas.openxmlformats.org/drawingml/2006/main">
                        <a:graphicData uri="http://schemas.microsoft.com/office/word/2010/wordprocessingShape">
                          <wps:wsp>
                            <wps:cNvSpPr txBox="1"/>
                            <wps:spPr>
                              <a:xfrm>
                                <a:off x="0" y="0"/>
                                <a:ext cx="2715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9">
                      <wp:simplePos x="0" y="0"/>
                      <wp:positionH relativeFrom="character">
                        <wp:align>left</wp:align>
                      </wp:positionH>
                      <wp:positionV relativeFrom="line">
                        <wp:posOffset>635</wp:posOffset>
                      </wp:positionV>
                      <wp:extent cx="219710" cy="175260"/>
                      <wp:effectExtent l="0" t="0" r="0" b="0"/>
                      <wp:wrapNone/>
                      <wp:docPr id="808" name="Frame8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0">
                      <wp:simplePos x="0" y="0"/>
                      <wp:positionH relativeFrom="character">
                        <wp:align>left</wp:align>
                      </wp:positionH>
                      <wp:positionV relativeFrom="line">
                        <wp:posOffset>635</wp:posOffset>
                      </wp:positionV>
                      <wp:extent cx="133985" cy="175260"/>
                      <wp:effectExtent l="0" t="0" r="0" b="0"/>
                      <wp:wrapNone/>
                      <wp:docPr id="809" name="Frame8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1">
                      <wp:simplePos x="0" y="0"/>
                      <wp:positionH relativeFrom="character">
                        <wp:align>left</wp:align>
                      </wp:positionH>
                      <wp:positionV relativeFrom="line">
                        <wp:posOffset>635</wp:posOffset>
                      </wp:positionV>
                      <wp:extent cx="495935" cy="175260"/>
                      <wp:effectExtent l="0" t="0" r="0" b="0"/>
                      <wp:wrapNone/>
                      <wp:docPr id="810" name="Frame81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2">
                      <wp:simplePos x="0" y="0"/>
                      <wp:positionH relativeFrom="character">
                        <wp:align>left</wp:align>
                      </wp:positionH>
                      <wp:positionV relativeFrom="line">
                        <wp:posOffset>635</wp:posOffset>
                      </wp:positionV>
                      <wp:extent cx="172085" cy="175260"/>
                      <wp:effectExtent l="0" t="0" r="0" b="0"/>
                      <wp:wrapNone/>
                      <wp:docPr id="811" name="Frame811"/>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3">
                      <wp:simplePos x="0" y="0"/>
                      <wp:positionH relativeFrom="character">
                        <wp:align>left</wp:align>
                      </wp:positionH>
                      <wp:positionV relativeFrom="line">
                        <wp:posOffset>635</wp:posOffset>
                      </wp:positionV>
                      <wp:extent cx="133985" cy="175260"/>
                      <wp:effectExtent l="0" t="0" r="0" b="0"/>
                      <wp:wrapNone/>
                      <wp:docPr id="812" name="Frame8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4">
                      <wp:simplePos x="0" y="0"/>
                      <wp:positionH relativeFrom="character">
                        <wp:align>left</wp:align>
                      </wp:positionH>
                      <wp:positionV relativeFrom="line">
                        <wp:posOffset>635</wp:posOffset>
                      </wp:positionV>
                      <wp:extent cx="495935" cy="175260"/>
                      <wp:effectExtent l="0" t="0" r="0" b="0"/>
                      <wp:wrapNone/>
                      <wp:docPr id="813" name="Frame81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5">
                      <wp:simplePos x="0" y="0"/>
                      <wp:positionH relativeFrom="character">
                        <wp:align>left</wp:align>
                      </wp:positionH>
                      <wp:positionV relativeFrom="line">
                        <wp:posOffset>635</wp:posOffset>
                      </wp:positionV>
                      <wp:extent cx="172085" cy="175260"/>
                      <wp:effectExtent l="0" t="0" r="0" b="0"/>
                      <wp:wrapNone/>
                      <wp:docPr id="814" name="Frame814"/>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6">
                      <wp:simplePos x="0" y="0"/>
                      <wp:positionH relativeFrom="character">
                        <wp:align>left</wp:align>
                      </wp:positionH>
                      <wp:positionV relativeFrom="line">
                        <wp:posOffset>635</wp:posOffset>
                      </wp:positionV>
                      <wp:extent cx="133985" cy="175260"/>
                      <wp:effectExtent l="0" t="0" r="0" b="0"/>
                      <wp:wrapNone/>
                      <wp:docPr id="815" name="Frame8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7">
                      <wp:simplePos x="0" y="0"/>
                      <wp:positionH relativeFrom="character">
                        <wp:align>left</wp:align>
                      </wp:positionH>
                      <wp:positionV relativeFrom="line">
                        <wp:posOffset>635</wp:posOffset>
                      </wp:positionV>
                      <wp:extent cx="495935" cy="175260"/>
                      <wp:effectExtent l="0" t="0" r="0" b="0"/>
                      <wp:wrapNone/>
                      <wp:docPr id="816" name="Frame81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8">
                      <wp:simplePos x="0" y="0"/>
                      <wp:positionH relativeFrom="character">
                        <wp:align>left</wp:align>
                      </wp:positionH>
                      <wp:positionV relativeFrom="line">
                        <wp:posOffset>635</wp:posOffset>
                      </wp:positionV>
                      <wp:extent cx="229235" cy="175260"/>
                      <wp:effectExtent l="0" t="0" r="0" b="0"/>
                      <wp:wrapNone/>
                      <wp:docPr id="817" name="Frame81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9">
                      <wp:simplePos x="0" y="0"/>
                      <wp:positionH relativeFrom="character">
                        <wp:align>left</wp:align>
                      </wp:positionH>
                      <wp:positionV relativeFrom="line">
                        <wp:posOffset>635</wp:posOffset>
                      </wp:positionV>
                      <wp:extent cx="133985" cy="175260"/>
                      <wp:effectExtent l="0" t="0" r="0" b="0"/>
                      <wp:wrapNone/>
                      <wp:docPr id="818" name="Frame8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0">
                      <wp:simplePos x="0" y="0"/>
                      <wp:positionH relativeFrom="character">
                        <wp:align>left</wp:align>
                      </wp:positionH>
                      <wp:positionV relativeFrom="line">
                        <wp:posOffset>635</wp:posOffset>
                      </wp:positionV>
                      <wp:extent cx="495935" cy="175260"/>
                      <wp:effectExtent l="0" t="0" r="0" b="0"/>
                      <wp:wrapNone/>
                      <wp:docPr id="819" name="Frame81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1">
                      <wp:simplePos x="0" y="0"/>
                      <wp:positionH relativeFrom="character">
                        <wp:align>left</wp:align>
                      </wp:positionH>
                      <wp:positionV relativeFrom="line">
                        <wp:posOffset>635</wp:posOffset>
                      </wp:positionV>
                      <wp:extent cx="257810" cy="175260"/>
                      <wp:effectExtent l="0" t="0" r="0" b="0"/>
                      <wp:wrapNone/>
                      <wp:docPr id="820" name="Frame820"/>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5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271" w:type="dxa"/>
            <w:tcBorders/>
            <w:vAlign w:val="center"/>
          </w:tcPr>
          <w:p>
            <w:pPr>
              <w:pStyle w:val="TableContents"/>
              <w:bidi w:val="0"/>
              <w:spacing w:before="0" w:after="0"/>
              <w:ind w:left="0" w:right="0" w:hanging="0"/>
              <w:jc w:val="center"/>
              <w:rPr/>
            </w:pPr>
            <w:r>
              <w:rPr/>
              <w:t>​</w:t>
            </w:r>
          </w:p>
        </w:tc>
        <w:tc>
          <w:tcPr>
            <w:tcW w:w="234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c>
          <w:tcPr>
            <w:tcW w:w="406" w:type="dxa"/>
            <w:tcBorders/>
            <w:vAlign w:val="center"/>
          </w:tcPr>
          <w:p>
            <w:pPr>
              <w:pStyle w:val="TableContents"/>
              <w:bidi w:val="0"/>
              <w:spacing w:before="0" w:after="0"/>
              <w:ind w:left="0" w:right="0" w:hanging="0"/>
              <w:jc w:val="left"/>
              <w:rPr/>
            </w:pPr>
            <w:r>
              <w:rPr/>
              <w:t>​</w:t>
            </w:r>
          </w:p>
        </w:tc>
      </w:tr>
      <w:tr>
        <w:trPr/>
        <w:tc>
          <w:tcPr>
            <w:tcW w:w="42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271" w:type="dxa"/>
            <w:tcBorders/>
            <w:vAlign w:val="center"/>
          </w:tcPr>
          <w:p>
            <w:pPr>
              <w:pStyle w:val="TableContents"/>
              <w:bidi w:val="0"/>
              <w:spacing w:before="0" w:after="0"/>
              <w:ind w:left="0" w:right="0" w:hanging="0"/>
              <w:jc w:val="center"/>
              <w:rPr/>
            </w:pPr>
            <w:r>
              <w:rPr/>
              <w:t>​</w:t>
            </w:r>
          </w:p>
        </w:tc>
        <w:tc>
          <w:tcPr>
            <w:tcW w:w="234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406" w:type="dxa"/>
            <w:tcBorders/>
            <w:vAlign w:val="center"/>
          </w:tcPr>
          <w:p>
            <w:pPr>
              <w:pStyle w:val="TableContents"/>
              <w:bidi w:val="0"/>
              <w:spacing w:before="0" w:after="0"/>
              <w:ind w:left="0" w:right="0" w:hanging="0"/>
              <w:jc w:val="center"/>
              <w:rPr/>
            </w:pPr>
            <w:r>
              <w:rPr/>
              <w:t>​</w:t>
            </w:r>
          </w:p>
        </w:tc>
      </w:tr>
      <w:tr>
        <w:trPr/>
        <w:tc>
          <w:tcPr>
            <w:tcW w:w="42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71"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71"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1"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06" w:type="dxa"/>
            <w:tcBorders/>
            <w:vAlign w:val="center"/>
          </w:tcPr>
          <w:p>
            <w:pPr>
              <w:pStyle w:val="TableContents"/>
              <w:bidi w:val="0"/>
              <w:spacing w:before="0" w:after="0"/>
              <w:ind w:left="0" w:right="0" w:hanging="0"/>
              <w:jc w:val="left"/>
              <w:rPr/>
            </w:pPr>
            <w:r>
              <w:rPr/>
              <w:t>​</w:t>
            </w:r>
          </w:p>
        </w:tc>
      </w:tr>
      <w:tr>
        <w:trPr/>
        <w:tc>
          <w:tcPr>
            <w:tcW w:w="9899" w:type="dxa"/>
            <w:gridSpan w:val="14"/>
            <w:tcBorders/>
            <w:vAlign w:val="center"/>
          </w:tcPr>
          <w:p>
            <w:pPr>
              <w:pStyle w:val="TableContents"/>
              <w:bidi w:val="0"/>
              <w:spacing w:before="0" w:after="283"/>
              <w:ind w:left="0" w:right="0" w:hanging="0"/>
              <w:jc w:val="left"/>
              <w:rPr>
                <w:sz w:val="4"/>
                <w:szCs w:val="4"/>
              </w:rPr>
            </w:pPr>
            <w:r>
              <w:rPr>
                <w:sz w:val="4"/>
                <w:szCs w:val="4"/>
              </w:rPr>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46" w:type="dxa"/>
            <w:tcBorders/>
            <w:vAlign w:val="center"/>
          </w:tcPr>
          <w:p>
            <w:pPr>
              <w:pStyle w:val="TableContents"/>
              <w:bidi w:val="0"/>
              <w:spacing w:before="0" w:after="0"/>
              <w:ind w:left="0" w:right="0" w:hanging="0"/>
              <w:jc w:val="left"/>
              <w:rPr/>
            </w:pPr>
            <w:r>
              <w:rPr/>
              <w:t>​</w:t>
            </w:r>
          </w:p>
        </w:tc>
        <w:tc>
          <w:tcPr>
            <w:tcW w:w="225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271" w:type="dxa"/>
            <w:tcBorders/>
            <w:vAlign w:val="center"/>
          </w:tcPr>
          <w:p>
            <w:pPr>
              <w:pStyle w:val="TableContents"/>
              <w:bidi w:val="0"/>
              <w:spacing w:before="0" w:after="0"/>
              <w:ind w:left="0" w:right="0" w:hanging="0"/>
              <w:jc w:val="center"/>
              <w:rPr/>
            </w:pPr>
            <w:r>
              <w:rPr/>
              <w:t>​</w:t>
            </w:r>
          </w:p>
        </w:tc>
        <w:tc>
          <w:tcPr>
            <w:tcW w:w="234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406" w:type="dxa"/>
            <w:tcBorders/>
            <w:vAlign w:val="center"/>
          </w:tcPr>
          <w:p>
            <w:pPr>
              <w:pStyle w:val="TableContents"/>
              <w:bidi w:val="0"/>
              <w:spacing w:before="0" w:after="0"/>
              <w:ind w:left="0" w:right="0" w:hanging="0"/>
              <w:jc w:val="left"/>
              <w:rPr/>
            </w:pPr>
            <w:r>
              <w:rPr/>
              <w:t>​</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 cost of revenues, software subscriptions</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29,205</w:t>
            </w:r>
          </w:p>
        </w:tc>
        <w:tc>
          <w:tcPr>
            <w:tcW w:w="271"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26,556</w:t>
            </w:r>
          </w:p>
        </w:tc>
        <w:tc>
          <w:tcPr>
            <w:tcW w:w="271"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58,550</w:t>
            </w:r>
          </w:p>
        </w:tc>
        <w:tc>
          <w:tcPr>
            <w:tcW w:w="361" w:type="dxa"/>
            <w:tcBorders/>
            <w:shd w:fill="CCEEFF" w:val="clear"/>
            <w:vAlign w:val="center"/>
          </w:tcPr>
          <w:p>
            <w:pPr>
              <w:pStyle w:val="TableContents"/>
              <w:bidi w:val="0"/>
              <w:spacing w:before="0" w:after="0"/>
              <w:ind w:left="0" w:right="0" w:hanging="0"/>
              <w:jc w:val="righ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52,719</w:t>
            </w:r>
          </w:p>
        </w:tc>
        <w:tc>
          <w:tcPr>
            <w:tcW w:w="406" w:type="dxa"/>
            <w:tcBorders/>
            <w:shd w:fill="CCEEFF" w:val="clear"/>
            <w:vAlign w:val="center"/>
          </w:tcPr>
          <w:p>
            <w:pPr>
              <w:pStyle w:val="TableContents"/>
              <w:bidi w:val="0"/>
              <w:spacing w:before="0" w:after="0"/>
              <w:ind w:left="0" w:right="0" w:hanging="0"/>
              <w:jc w:val="left"/>
              <w:rPr/>
            </w:pPr>
            <w:r>
              <w:rPr/>
              <w:t>  ​ ​ ​</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 cost of revenues, services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19,566</w:t>
            </w:r>
          </w:p>
        </w:tc>
        <w:tc>
          <w:tcPr>
            <w:tcW w:w="27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17,876</w:t>
            </w:r>
          </w:p>
        </w:tc>
        <w:tc>
          <w:tcPr>
            <w:tcW w:w="27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38,496</w:t>
            </w:r>
          </w:p>
        </w:tc>
        <w:tc>
          <w:tcPr>
            <w:tcW w:w="36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36,003</w:t>
            </w:r>
          </w:p>
        </w:tc>
        <w:tc>
          <w:tcPr>
            <w:tcW w:w="406" w:type="dxa"/>
            <w:tcBorders/>
            <w:vAlign w:val="center"/>
          </w:tcPr>
          <w:p>
            <w:pPr>
              <w:pStyle w:val="TableContents"/>
              <w:bidi w:val="0"/>
              <w:spacing w:before="0" w:after="0"/>
              <w:ind w:left="0" w:right="0" w:hanging="0"/>
              <w:jc w:val="left"/>
              <w:rPr/>
            </w:pPr>
            <w:r>
              <w:rPr/>
              <w:t>​</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 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155,199</w:t>
            </w:r>
          </w:p>
        </w:tc>
        <w:tc>
          <w:tcPr>
            <w:tcW w:w="271"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140,127</w:t>
            </w:r>
          </w:p>
        </w:tc>
        <w:tc>
          <w:tcPr>
            <w:tcW w:w="271"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303,570</w:t>
            </w:r>
          </w:p>
        </w:tc>
        <w:tc>
          <w:tcPr>
            <w:tcW w:w="361"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272,899</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 gross margin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76.1</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75.9</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75.8</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75.5</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 research and development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22,365</w:t>
            </w:r>
          </w:p>
        </w:tc>
        <w:tc>
          <w:tcPr>
            <w:tcW w:w="271"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18,070</w:t>
            </w:r>
          </w:p>
        </w:tc>
        <w:tc>
          <w:tcPr>
            <w:tcW w:w="271"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43,049</w:t>
            </w:r>
          </w:p>
        </w:tc>
        <w:tc>
          <w:tcPr>
            <w:tcW w:w="361"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34,604</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 selling and marketing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47,080</w:t>
            </w:r>
          </w:p>
        </w:tc>
        <w:tc>
          <w:tcPr>
            <w:tcW w:w="27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44,648</w:t>
            </w:r>
          </w:p>
        </w:tc>
        <w:tc>
          <w:tcPr>
            <w:tcW w:w="27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93,847</w:t>
            </w:r>
          </w:p>
        </w:tc>
        <w:tc>
          <w:tcPr>
            <w:tcW w:w="36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86,466</w:t>
            </w:r>
          </w:p>
        </w:tc>
        <w:tc>
          <w:tcPr>
            <w:tcW w:w="406" w:type="dxa"/>
            <w:tcBorders/>
            <w:vAlign w:val="center"/>
          </w:tcPr>
          <w:p>
            <w:pPr>
              <w:pStyle w:val="TableContents"/>
              <w:bidi w:val="0"/>
              <w:spacing w:before="0" w:after="0"/>
              <w:ind w:left="0" w:right="0" w:hanging="0"/>
              <w:jc w:val="left"/>
              <w:rPr/>
            </w:pPr>
            <w:r>
              <w:rPr/>
              <w:t>​</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 general and administrative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34,587</w:t>
            </w:r>
          </w:p>
        </w:tc>
        <w:tc>
          <w:tcPr>
            <w:tcW w:w="271"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38,071</w:t>
            </w:r>
          </w:p>
        </w:tc>
        <w:tc>
          <w:tcPr>
            <w:tcW w:w="271"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71,631</w:t>
            </w:r>
          </w:p>
        </w:tc>
        <w:tc>
          <w:tcPr>
            <w:tcW w:w="361"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74,673</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 operating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44,295</w:t>
            </w:r>
          </w:p>
        </w:tc>
        <w:tc>
          <w:tcPr>
            <w:tcW w:w="27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32,182</w:t>
            </w:r>
          </w:p>
        </w:tc>
        <w:tc>
          <w:tcPr>
            <w:tcW w:w="27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81,916</w:t>
            </w:r>
          </w:p>
        </w:tc>
        <w:tc>
          <w:tcPr>
            <w:tcW w:w="36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63,521</w:t>
            </w:r>
          </w:p>
        </w:tc>
        <w:tc>
          <w:tcPr>
            <w:tcW w:w="406" w:type="dxa"/>
            <w:tcBorders/>
            <w:vAlign w:val="center"/>
          </w:tcPr>
          <w:p>
            <w:pPr>
              <w:pStyle w:val="TableContents"/>
              <w:bidi w:val="0"/>
              <w:spacing w:before="0" w:after="0"/>
              <w:ind w:left="0" w:right="0" w:hanging="0"/>
              <w:jc w:val="left"/>
              <w:rPr/>
            </w:pPr>
            <w:r>
              <w:rPr/>
              <w:t>​</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 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33,256</w:t>
            </w:r>
          </w:p>
        </w:tc>
        <w:tc>
          <w:tcPr>
            <w:tcW w:w="271"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24,891</w:t>
            </w:r>
          </w:p>
        </w:tc>
        <w:tc>
          <w:tcPr>
            <w:tcW w:w="271"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61,997</w:t>
            </w:r>
          </w:p>
        </w:tc>
        <w:tc>
          <w:tcPr>
            <w:tcW w:w="361"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49,385</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42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480"/>
        <w:gridCol w:w="109"/>
        <w:gridCol w:w="196"/>
        <w:gridCol w:w="709"/>
        <w:gridCol w:w="346"/>
        <w:gridCol w:w="196"/>
        <w:gridCol w:w="709"/>
        <w:gridCol w:w="146"/>
        <w:gridCol w:w="196"/>
        <w:gridCol w:w="709"/>
        <w:gridCol w:w="346"/>
        <w:gridCol w:w="196"/>
        <w:gridCol w:w="709"/>
        <w:gridCol w:w="158"/>
      </w:tblGrid>
      <w:tr>
        <w:trPr/>
        <w:tc>
          <w:tcPr>
            <w:tcW w:w="54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2">
                      <wp:simplePos x="0" y="0"/>
                      <wp:positionH relativeFrom="character">
                        <wp:align>left</wp:align>
                      </wp:positionH>
                      <wp:positionV relativeFrom="line">
                        <wp:posOffset>635</wp:posOffset>
                      </wp:positionV>
                      <wp:extent cx="3479800" cy="175260"/>
                      <wp:effectExtent l="0" t="0" r="0" b="0"/>
                      <wp:wrapNone/>
                      <wp:docPr id="821" name="Frame821"/>
                      <a:graphic xmlns:a="http://schemas.openxmlformats.org/drawingml/2006/main">
                        <a:graphicData uri="http://schemas.microsoft.com/office/word/2010/wordprocessingShape">
                          <wps:wsp>
                            <wps:cNvSpPr txBox="1"/>
                            <wps:spPr>
                              <a:xfrm>
                                <a:off x="0" y="0"/>
                                <a:ext cx="3479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3">
                      <wp:simplePos x="0" y="0"/>
                      <wp:positionH relativeFrom="character">
                        <wp:align>left</wp:align>
                      </wp:positionH>
                      <wp:positionV relativeFrom="line">
                        <wp:posOffset>635</wp:posOffset>
                      </wp:positionV>
                      <wp:extent cx="69215" cy="175260"/>
                      <wp:effectExtent l="0" t="0" r="0" b="0"/>
                      <wp:wrapNone/>
                      <wp:docPr id="822" name="Frame8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4">
                      <wp:simplePos x="0" y="0"/>
                      <wp:positionH relativeFrom="character">
                        <wp:align>left</wp:align>
                      </wp:positionH>
                      <wp:positionV relativeFrom="line">
                        <wp:posOffset>635</wp:posOffset>
                      </wp:positionV>
                      <wp:extent cx="124460" cy="175260"/>
                      <wp:effectExtent l="0" t="0" r="0" b="0"/>
                      <wp:wrapNone/>
                      <wp:docPr id="823" name="Frame82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5">
                      <wp:simplePos x="0" y="0"/>
                      <wp:positionH relativeFrom="character">
                        <wp:align>left</wp:align>
                      </wp:positionH>
                      <wp:positionV relativeFrom="line">
                        <wp:posOffset>635</wp:posOffset>
                      </wp:positionV>
                      <wp:extent cx="450215" cy="175260"/>
                      <wp:effectExtent l="0" t="0" r="0" b="0"/>
                      <wp:wrapNone/>
                      <wp:docPr id="824" name="Frame824"/>
                      <a:graphic xmlns:a="http://schemas.openxmlformats.org/drawingml/2006/main">
                        <a:graphicData uri="http://schemas.microsoft.com/office/word/2010/wordprocessingShape">
                          <wps:wsp>
                            <wps:cNvSpPr txBox="1"/>
                            <wps:spPr>
                              <a:xfrm>
                                <a:off x="0" y="0"/>
                                <a:ext cx="450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6">
                      <wp:simplePos x="0" y="0"/>
                      <wp:positionH relativeFrom="character">
                        <wp:align>left</wp:align>
                      </wp:positionH>
                      <wp:positionV relativeFrom="line">
                        <wp:posOffset>635</wp:posOffset>
                      </wp:positionV>
                      <wp:extent cx="219710" cy="175260"/>
                      <wp:effectExtent l="0" t="0" r="0" b="0"/>
                      <wp:wrapNone/>
                      <wp:docPr id="825" name="Frame8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7">
                      <wp:simplePos x="0" y="0"/>
                      <wp:positionH relativeFrom="character">
                        <wp:align>left</wp:align>
                      </wp:positionH>
                      <wp:positionV relativeFrom="line">
                        <wp:posOffset>635</wp:posOffset>
                      </wp:positionV>
                      <wp:extent cx="124460" cy="175260"/>
                      <wp:effectExtent l="0" t="0" r="0" b="0"/>
                      <wp:wrapNone/>
                      <wp:docPr id="826" name="Frame82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8">
                      <wp:simplePos x="0" y="0"/>
                      <wp:positionH relativeFrom="character">
                        <wp:align>left</wp:align>
                      </wp:positionH>
                      <wp:positionV relativeFrom="line">
                        <wp:posOffset>635</wp:posOffset>
                      </wp:positionV>
                      <wp:extent cx="450215" cy="175260"/>
                      <wp:effectExtent l="0" t="0" r="0" b="0"/>
                      <wp:wrapNone/>
                      <wp:docPr id="827" name="Frame827"/>
                      <a:graphic xmlns:a="http://schemas.openxmlformats.org/drawingml/2006/main">
                        <a:graphicData uri="http://schemas.microsoft.com/office/word/2010/wordprocessingShape">
                          <wps:wsp>
                            <wps:cNvSpPr txBox="1"/>
                            <wps:spPr>
                              <a:xfrm>
                                <a:off x="0" y="0"/>
                                <a:ext cx="450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9">
                      <wp:simplePos x="0" y="0"/>
                      <wp:positionH relativeFrom="character">
                        <wp:align>left</wp:align>
                      </wp:positionH>
                      <wp:positionV relativeFrom="line">
                        <wp:posOffset>635</wp:posOffset>
                      </wp:positionV>
                      <wp:extent cx="92710" cy="175260"/>
                      <wp:effectExtent l="0" t="0" r="0" b="0"/>
                      <wp:wrapNone/>
                      <wp:docPr id="828" name="Frame82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0">
                      <wp:simplePos x="0" y="0"/>
                      <wp:positionH relativeFrom="character">
                        <wp:align>left</wp:align>
                      </wp:positionH>
                      <wp:positionV relativeFrom="line">
                        <wp:posOffset>635</wp:posOffset>
                      </wp:positionV>
                      <wp:extent cx="124460" cy="175260"/>
                      <wp:effectExtent l="0" t="0" r="0" b="0"/>
                      <wp:wrapNone/>
                      <wp:docPr id="829" name="Frame82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1">
                      <wp:simplePos x="0" y="0"/>
                      <wp:positionH relativeFrom="character">
                        <wp:align>left</wp:align>
                      </wp:positionH>
                      <wp:positionV relativeFrom="line">
                        <wp:posOffset>635</wp:posOffset>
                      </wp:positionV>
                      <wp:extent cx="450215" cy="175260"/>
                      <wp:effectExtent l="0" t="0" r="0" b="0"/>
                      <wp:wrapNone/>
                      <wp:docPr id="830" name="Frame830"/>
                      <a:graphic xmlns:a="http://schemas.openxmlformats.org/drawingml/2006/main">
                        <a:graphicData uri="http://schemas.microsoft.com/office/word/2010/wordprocessingShape">
                          <wps:wsp>
                            <wps:cNvSpPr txBox="1"/>
                            <wps:spPr>
                              <a:xfrm>
                                <a:off x="0" y="0"/>
                                <a:ext cx="450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2">
                      <wp:simplePos x="0" y="0"/>
                      <wp:positionH relativeFrom="character">
                        <wp:align>left</wp:align>
                      </wp:positionH>
                      <wp:positionV relativeFrom="line">
                        <wp:posOffset>635</wp:posOffset>
                      </wp:positionV>
                      <wp:extent cx="219710" cy="175260"/>
                      <wp:effectExtent l="0" t="0" r="0" b="0"/>
                      <wp:wrapNone/>
                      <wp:docPr id="831" name="Frame8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3">
                      <wp:simplePos x="0" y="0"/>
                      <wp:positionH relativeFrom="character">
                        <wp:align>left</wp:align>
                      </wp:positionH>
                      <wp:positionV relativeFrom="line">
                        <wp:posOffset>635</wp:posOffset>
                      </wp:positionV>
                      <wp:extent cx="124460" cy="175260"/>
                      <wp:effectExtent l="0" t="0" r="0" b="0"/>
                      <wp:wrapNone/>
                      <wp:docPr id="832" name="Frame83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4">
                      <wp:simplePos x="0" y="0"/>
                      <wp:positionH relativeFrom="character">
                        <wp:align>left</wp:align>
                      </wp:positionH>
                      <wp:positionV relativeFrom="line">
                        <wp:posOffset>635</wp:posOffset>
                      </wp:positionV>
                      <wp:extent cx="450215" cy="175260"/>
                      <wp:effectExtent l="0" t="0" r="0" b="0"/>
                      <wp:wrapNone/>
                      <wp:docPr id="833" name="Frame833"/>
                      <a:graphic xmlns:a="http://schemas.openxmlformats.org/drawingml/2006/main">
                        <a:graphicData uri="http://schemas.microsoft.com/office/word/2010/wordprocessingShape">
                          <wps:wsp>
                            <wps:cNvSpPr txBox="1"/>
                            <wps:spPr>
                              <a:xfrm>
                                <a:off x="0" y="0"/>
                                <a:ext cx="450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5">
                      <wp:simplePos x="0" y="0"/>
                      <wp:positionH relativeFrom="character">
                        <wp:align>left</wp:align>
                      </wp:positionH>
                      <wp:positionV relativeFrom="line">
                        <wp:posOffset>635</wp:posOffset>
                      </wp:positionV>
                      <wp:extent cx="100330" cy="175260"/>
                      <wp:effectExtent l="0" t="0" r="0" b="0"/>
                      <wp:wrapNone/>
                      <wp:docPr id="834" name="Frame834"/>
                      <a:graphic xmlns:a="http://schemas.openxmlformats.org/drawingml/2006/main">
                        <a:graphicData uri="http://schemas.microsoft.com/office/word/2010/wordprocessingShape">
                          <wps:wsp>
                            <wps:cNvSpPr txBox="1"/>
                            <wps:spPr>
                              <a:xfrm>
                                <a:off x="0" y="0"/>
                                <a:ext cx="100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8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56"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w:t>
            </w:r>
          </w:p>
        </w:tc>
        <w:tc>
          <w:tcPr>
            <w:tcW w:w="146" w:type="dxa"/>
            <w:tcBorders/>
            <w:vAlign w:val="center"/>
          </w:tcPr>
          <w:p>
            <w:pPr>
              <w:pStyle w:val="TableContents"/>
              <w:bidi w:val="0"/>
              <w:spacing w:before="0" w:after="0"/>
              <w:ind w:left="0" w:right="0" w:hanging="0"/>
              <w:jc w:val="center"/>
              <w:rPr/>
            </w:pPr>
            <w:r>
              <w:rPr/>
              <w:t> </w:t>
            </w:r>
          </w:p>
        </w:tc>
        <w:tc>
          <w:tcPr>
            <w:tcW w:w="2156"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 ended</w:t>
            </w:r>
          </w:p>
        </w:tc>
        <w:tc>
          <w:tcPr>
            <w:tcW w:w="158" w:type="dxa"/>
            <w:tcBorders/>
            <w:vAlign w:val="center"/>
          </w:tcPr>
          <w:p>
            <w:pPr>
              <w:pStyle w:val="TableContents"/>
              <w:bidi w:val="0"/>
              <w:spacing w:before="0" w:after="0"/>
              <w:ind w:left="0" w:right="0" w:hanging="0"/>
              <w:jc w:val="center"/>
              <w:rPr/>
            </w:pPr>
            <w:r>
              <w:rPr/>
              <w:t>​</w:t>
            </w:r>
          </w:p>
        </w:tc>
      </w:tr>
      <w:tr>
        <w:trPr/>
        <w:tc>
          <w:tcPr>
            <w:tcW w:w="548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5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46" w:type="dxa"/>
            <w:tcBorders/>
            <w:vAlign w:val="center"/>
          </w:tcPr>
          <w:p>
            <w:pPr>
              <w:pStyle w:val="TableContents"/>
              <w:bidi w:val="0"/>
              <w:spacing w:before="0" w:after="0"/>
              <w:ind w:left="0" w:right="0" w:hanging="0"/>
              <w:jc w:val="center"/>
              <w:rPr/>
            </w:pPr>
            <w:r>
              <w:rPr/>
              <w:t> </w:t>
            </w:r>
          </w:p>
        </w:tc>
        <w:tc>
          <w:tcPr>
            <w:tcW w:w="215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58" w:type="dxa"/>
            <w:tcBorders/>
            <w:vAlign w:val="center"/>
          </w:tcPr>
          <w:p>
            <w:pPr>
              <w:pStyle w:val="TableContents"/>
              <w:bidi w:val="0"/>
              <w:spacing w:before="0" w:after="0"/>
              <w:ind w:left="0" w:right="0" w:hanging="0"/>
              <w:jc w:val="center"/>
              <w:rPr/>
            </w:pPr>
            <w:r>
              <w:rPr/>
              <w:t>​</w:t>
            </w:r>
          </w:p>
        </w:tc>
      </w:tr>
      <w:tr>
        <w:trPr/>
        <w:tc>
          <w:tcPr>
            <w:tcW w:w="548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46" w:type="dxa"/>
            <w:tcBorders/>
            <w:vAlign w:val="center"/>
          </w:tcPr>
          <w:p>
            <w:pPr>
              <w:pStyle w:val="TableContents"/>
              <w:bidi w:val="0"/>
              <w:spacing w:before="0" w:after="0"/>
              <w:ind w:left="0" w:right="0" w:hanging="0"/>
              <w:jc w:val="center"/>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8" w:type="dxa"/>
            <w:tcBorders/>
            <w:vAlign w:val="center"/>
          </w:tcPr>
          <w:p>
            <w:pPr>
              <w:pStyle w:val="TableContents"/>
              <w:bidi w:val="0"/>
              <w:spacing w:before="0" w:after="0"/>
              <w:ind w:left="0" w:right="0" w:hanging="0"/>
              <w:jc w:val="center"/>
              <w:rPr/>
            </w:pPr>
            <w:r>
              <w:rPr/>
              <w:t>​</w:t>
            </w:r>
          </w:p>
        </w:tc>
      </w:tr>
      <w:tr>
        <w:trPr/>
        <w:tc>
          <w:tcPr>
            <w:tcW w:w="10205" w:type="dxa"/>
            <w:gridSpan w:val="14"/>
            <w:tcBorders/>
            <w:vAlign w:val="center"/>
          </w:tcPr>
          <w:p>
            <w:pPr>
              <w:pStyle w:val="TableContents"/>
              <w:bidi w:val="0"/>
              <w:spacing w:before="0" w:after="283"/>
              <w:ind w:left="0" w:right="0" w:hanging="0"/>
              <w:jc w:val="left"/>
              <w:rPr>
                <w:sz w:val="4"/>
                <w:szCs w:val="4"/>
              </w:rPr>
            </w:pPr>
            <w:r>
              <w:rPr>
                <w:sz w:val="4"/>
                <w:szCs w:val="4"/>
              </w:rPr>
            </w:r>
          </w:p>
        </w:tc>
      </w:tr>
      <w:tr>
        <w:trPr/>
        <w:tc>
          <w:tcPr>
            <w:tcW w:w="5480"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109" w:type="dxa"/>
            <w:tcBorders/>
            <w:vAlign w:val="center"/>
          </w:tcPr>
          <w:p>
            <w:pPr>
              <w:pStyle w:val="TableContents"/>
              <w:bidi w:val="0"/>
              <w:spacing w:before="0" w:after="0"/>
              <w:ind w:left="0" w:right="0" w:hanging="0"/>
              <w:jc w:val="left"/>
              <w:rPr/>
            </w:pPr>
            <w:r>
              <w:rPr/>
              <w:t>​</w:t>
            </w:r>
          </w:p>
        </w:tc>
        <w:tc>
          <w:tcPr>
            <w:tcW w:w="2156"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46" w:type="dxa"/>
            <w:tcBorders/>
            <w:vAlign w:val="center"/>
          </w:tcPr>
          <w:p>
            <w:pPr>
              <w:pStyle w:val="TableContents"/>
              <w:bidi w:val="0"/>
              <w:spacing w:before="0" w:after="0"/>
              <w:ind w:left="0" w:right="0" w:hanging="0"/>
              <w:jc w:val="center"/>
              <w:rPr/>
            </w:pPr>
            <w:r>
              <w:rPr/>
              <w:t>​</w:t>
            </w:r>
          </w:p>
        </w:tc>
        <w:tc>
          <w:tcPr>
            <w:tcW w:w="2156"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58" w:type="dxa"/>
            <w:tcBorders/>
            <w:vAlign w:val="center"/>
          </w:tcPr>
          <w:p>
            <w:pPr>
              <w:pStyle w:val="TableContents"/>
              <w:bidi w:val="0"/>
              <w:spacing w:before="0" w:after="0"/>
              <w:ind w:left="0" w:right="0" w:hanging="0"/>
              <w:jc w:val="center"/>
              <w:rPr/>
            </w:pPr>
            <w:r>
              <w:rPr/>
              <w:t>​</w:t>
            </w:r>
          </w:p>
        </w:tc>
      </w:tr>
      <w:tr>
        <w:trPr/>
        <w:tc>
          <w:tcPr>
            <w:tcW w:w="5480"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Non-GAAP Cost of Revenues, Software Subscriptions: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 ​ ​</w:t>
            </w:r>
          </w:p>
        </w:tc>
        <w:tc>
          <w:tcPr>
            <w:tcW w:w="196" w:type="dxa"/>
            <w:tcBorders/>
            <w:shd w:fill="CCEEFF" w:val="clear"/>
            <w:vAlign w:val="center"/>
          </w:tcPr>
          <w:p>
            <w:pPr>
              <w:pStyle w:val="TableContents"/>
              <w:bidi w:val="0"/>
              <w:spacing w:before="0" w:after="0"/>
              <w:ind w:left="0" w:right="0" w:hanging="0"/>
              <w:jc w:val="left"/>
              <w:rPr/>
            </w:pPr>
            <w:r>
              <w:rPr/>
              <w:t>​</w:t>
            </w:r>
          </w:p>
        </w:tc>
        <w:tc>
          <w:tcPr>
            <w:tcW w:w="709"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 ​ ​</w:t>
            </w:r>
          </w:p>
        </w:tc>
        <w:tc>
          <w:tcPr>
            <w:tcW w:w="196" w:type="dxa"/>
            <w:tcBorders/>
            <w:shd w:fill="CCEEFF" w:val="clear"/>
            <w:vAlign w:val="center"/>
          </w:tcPr>
          <w:p>
            <w:pPr>
              <w:pStyle w:val="TableContents"/>
              <w:bidi w:val="0"/>
              <w:spacing w:before="0" w:after="0"/>
              <w:ind w:left="0" w:right="0" w:hanging="0"/>
              <w:jc w:val="left"/>
              <w:rPr/>
            </w:pPr>
            <w:r>
              <w:rPr/>
              <w:t>​</w:t>
            </w:r>
          </w:p>
        </w:tc>
        <w:tc>
          <w:tcPr>
            <w:tcW w:w="709" w:type="dxa"/>
            <w:tcBorders/>
            <w:shd w:fill="CCEEFF" w:val="clear"/>
            <w:vAlign w:val="center"/>
          </w:tcPr>
          <w:p>
            <w:pPr>
              <w:pStyle w:val="TableContents"/>
              <w:bidi w:val="0"/>
              <w:spacing w:before="0" w:after="0"/>
              <w:ind w:left="0" w:right="0" w:hanging="0"/>
              <w:jc w:val="right"/>
              <w:rPr/>
            </w:pPr>
            <w:r>
              <w:rPr/>
              <w:t>  ​</w:t>
            </w:r>
          </w:p>
        </w:tc>
        <w:tc>
          <w:tcPr>
            <w:tcW w:w="158" w:type="dxa"/>
            <w:tcBorders/>
            <w:shd w:fill="CCEEFF" w:val="clear"/>
            <w:vAlign w:val="center"/>
          </w:tcPr>
          <w:p>
            <w:pPr>
              <w:pStyle w:val="TableContents"/>
              <w:bidi w:val="0"/>
              <w:spacing w:before="0" w:after="0"/>
              <w:ind w:left="0" w:right="0" w:hanging="0"/>
              <w:jc w:val="left"/>
              <w:rPr/>
            </w:pPr>
            <w:r>
              <w:rPr/>
              <w:t>​</w:t>
            </w:r>
          </w:p>
        </w:tc>
      </w:tr>
      <w:tr>
        <w:trPr/>
        <w:tc>
          <w:tcPr>
            <w:tcW w:w="5480"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Cost of revenues, software subscriptions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52,170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44,459</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103,346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88,704</w:t>
            </w:r>
          </w:p>
        </w:tc>
        <w:tc>
          <w:tcPr>
            <w:tcW w:w="158" w:type="dxa"/>
            <w:tcBorders/>
            <w:vAlign w:val="center"/>
          </w:tcPr>
          <w:p>
            <w:pPr>
              <w:pStyle w:val="TableContents"/>
              <w:bidi w:val="0"/>
              <w:spacing w:before="0" w:after="0"/>
              <w:ind w:left="0" w:right="0" w:hanging="0"/>
              <w:jc w:val="left"/>
              <w:rPr/>
            </w:pPr>
            <w:r>
              <w:rPr/>
              <w:t>​</w:t>
            </w:r>
          </w:p>
        </w:tc>
      </w:tr>
      <w:tr>
        <w:trPr/>
        <w:tc>
          <w:tcPr>
            <w:tcW w:w="548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0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0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(1,233)</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0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(2,828)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(3,460)</w:t>
            </w:r>
          </w:p>
        </w:tc>
        <w:tc>
          <w:tcPr>
            <w:tcW w:w="158" w:type="dxa"/>
            <w:tcBorders/>
            <w:shd w:fill="CCEEFF" w:val="clear"/>
            <w:vAlign w:val="center"/>
          </w:tcPr>
          <w:p>
            <w:pPr>
              <w:pStyle w:val="TableContents"/>
              <w:bidi w:val="0"/>
              <w:spacing w:before="0" w:after="0"/>
              <w:ind w:left="0" w:right="0" w:hanging="0"/>
              <w:jc w:val="left"/>
              <w:rPr/>
            </w:pPr>
            <w:r>
              <w:rPr/>
              <w:t>​</w:t>
            </w:r>
          </w:p>
        </w:tc>
      </w:tr>
      <w:tr>
        <w:trPr/>
        <w:tc>
          <w:tcPr>
            <w:tcW w:w="548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 of capitalized software and acquired intangible assets – cost of subscription revenues</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(21,882)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(16,670)</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(41,968)</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(32,525)</w:t>
            </w:r>
          </w:p>
        </w:tc>
        <w:tc>
          <w:tcPr>
            <w:tcW w:w="158" w:type="dxa"/>
            <w:tcBorders/>
            <w:vAlign w:val="center"/>
          </w:tcPr>
          <w:p>
            <w:pPr>
              <w:pStyle w:val="TableContents"/>
              <w:bidi w:val="0"/>
              <w:spacing w:before="0" w:after="0"/>
              <w:ind w:left="0" w:right="0" w:hanging="0"/>
              <w:jc w:val="left"/>
              <w:rPr/>
            </w:pPr>
            <w:r>
              <w:rPr/>
              <w:t>​</w:t>
            </w:r>
          </w:p>
        </w:tc>
      </w:tr>
      <w:tr>
        <w:trPr/>
        <w:tc>
          <w:tcPr>
            <w:tcW w:w="5480"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Non-GAAP cost of revenues, software subscriptions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29,205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26,556</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58,550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52,719</w:t>
            </w:r>
          </w:p>
        </w:tc>
        <w:tc>
          <w:tcPr>
            <w:tcW w:w="158" w:type="dxa"/>
            <w:tcBorders/>
            <w:shd w:fill="CCEEFF" w:val="clear"/>
            <w:vAlign w:val="center"/>
          </w:tcPr>
          <w:p>
            <w:pPr>
              <w:pStyle w:val="TableContents"/>
              <w:bidi w:val="0"/>
              <w:spacing w:before="0" w:after="0"/>
              <w:ind w:left="0" w:right="0" w:hanging="0"/>
              <w:jc w:val="left"/>
              <w:rPr/>
            </w:pPr>
            <w:r>
              <w:rPr/>
              <w:t>​</w:t>
            </w:r>
          </w:p>
        </w:tc>
      </w:tr>
      <w:tr>
        <w:trPr/>
        <w:tc>
          <w:tcPr>
            <w:tcW w:w="548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9" w:type="dxa"/>
            <w:tcBorders/>
            <w:vAlign w:val="center"/>
          </w:tcPr>
          <w:p>
            <w:pPr>
              <w:pStyle w:val="TableContents"/>
              <w:bidi w:val="0"/>
              <w:spacing w:before="0" w:after="0"/>
              <w:ind w:left="0" w:right="0" w:hanging="0"/>
              <w:jc w:val="right"/>
              <w:rPr/>
            </w:pPr>
            <w:r>
              <w:rPr/>
              <w:t>​</w:t>
            </w:r>
          </w:p>
        </w:tc>
        <w:tc>
          <w:tcPr>
            <w:tcW w:w="158" w:type="dxa"/>
            <w:tcBorders/>
            <w:vAlign w:val="center"/>
          </w:tcPr>
          <w:p>
            <w:pPr>
              <w:pStyle w:val="TableContents"/>
              <w:bidi w:val="0"/>
              <w:spacing w:before="0" w:after="0"/>
              <w:ind w:left="0" w:right="0" w:hanging="0"/>
              <w:jc w:val="left"/>
              <w:rPr/>
            </w:pPr>
            <w:r>
              <w:rPr/>
              <w:t>​</w:t>
            </w:r>
          </w:p>
        </w:tc>
      </w:tr>
      <w:tr>
        <w:trPr/>
        <w:tc>
          <w:tcPr>
            <w:tcW w:w="5480"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Non-GAAP Cost of Revenues, Services: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9"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9" w:type="dxa"/>
            <w:tcBorders/>
            <w:shd w:fill="CCEEFF" w:val="clear"/>
            <w:vAlign w:val="center"/>
          </w:tcPr>
          <w:p>
            <w:pPr>
              <w:pStyle w:val="TableContents"/>
              <w:bidi w:val="0"/>
              <w:spacing w:before="0" w:after="0"/>
              <w:ind w:left="0" w:right="0" w:hanging="0"/>
              <w:jc w:val="left"/>
              <w:rPr/>
            </w:pPr>
            <w:r>
              <w:rPr/>
              <w:t>​</w:t>
            </w:r>
          </w:p>
        </w:tc>
        <w:tc>
          <w:tcPr>
            <w:tcW w:w="158" w:type="dxa"/>
            <w:tcBorders/>
            <w:shd w:fill="CCEEFF" w:val="clear"/>
            <w:vAlign w:val="center"/>
          </w:tcPr>
          <w:p>
            <w:pPr>
              <w:pStyle w:val="TableContents"/>
              <w:bidi w:val="0"/>
              <w:spacing w:before="0" w:after="0"/>
              <w:ind w:left="0" w:right="0" w:hanging="0"/>
              <w:jc w:val="left"/>
              <w:rPr/>
            </w:pPr>
            <w:r>
              <w:rPr/>
              <w:t>​</w:t>
            </w:r>
          </w:p>
        </w:tc>
      </w:tr>
      <w:tr>
        <w:trPr/>
        <w:tc>
          <w:tcPr>
            <w:tcW w:w="5480"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Cost of revenues, services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20,500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18,900</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41,101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38,723</w:t>
            </w:r>
          </w:p>
        </w:tc>
        <w:tc>
          <w:tcPr>
            <w:tcW w:w="158" w:type="dxa"/>
            <w:tcBorders/>
            <w:vAlign w:val="center"/>
          </w:tcPr>
          <w:p>
            <w:pPr>
              <w:pStyle w:val="TableContents"/>
              <w:bidi w:val="0"/>
              <w:spacing w:before="0" w:after="0"/>
              <w:ind w:left="0" w:right="0" w:hanging="0"/>
              <w:jc w:val="left"/>
              <w:rPr/>
            </w:pPr>
            <w:r>
              <w:rPr/>
              <w:t>​</w:t>
            </w:r>
          </w:p>
        </w:tc>
      </w:tr>
      <w:tr>
        <w:trPr/>
        <w:tc>
          <w:tcPr>
            <w:tcW w:w="548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(1,024)</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(2,605)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(2,720)</w:t>
            </w:r>
          </w:p>
        </w:tc>
        <w:tc>
          <w:tcPr>
            <w:tcW w:w="158" w:type="dxa"/>
            <w:tcBorders/>
            <w:shd w:fill="CCEEFF" w:val="clear"/>
            <w:vAlign w:val="center"/>
          </w:tcPr>
          <w:p>
            <w:pPr>
              <w:pStyle w:val="TableContents"/>
              <w:bidi w:val="0"/>
              <w:spacing w:before="0" w:after="0"/>
              <w:ind w:left="0" w:right="0" w:hanging="0"/>
              <w:jc w:val="left"/>
              <w:rPr/>
            </w:pPr>
            <w:r>
              <w:rPr/>
              <w:t>​</w:t>
            </w:r>
          </w:p>
        </w:tc>
      </w:tr>
      <w:tr>
        <w:trPr/>
        <w:tc>
          <w:tcPr>
            <w:tcW w:w="5480"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Non-GAAP cost of revenues, services</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19,566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17,876</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38,496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36,003</w:t>
            </w:r>
          </w:p>
        </w:tc>
        <w:tc>
          <w:tcPr>
            <w:tcW w:w="158" w:type="dxa"/>
            <w:tcBorders/>
            <w:vAlign w:val="center"/>
          </w:tcPr>
          <w:p>
            <w:pPr>
              <w:pStyle w:val="TableContents"/>
              <w:bidi w:val="0"/>
              <w:spacing w:before="0" w:after="0"/>
              <w:ind w:left="0" w:right="0" w:hanging="0"/>
              <w:jc w:val="left"/>
              <w:rPr/>
            </w:pPr>
            <w:r>
              <w:rPr/>
              <w:t>​</w:t>
            </w:r>
          </w:p>
        </w:tc>
      </w:tr>
      <w:tr>
        <w:trPr/>
        <w:tc>
          <w:tcPr>
            <w:tcW w:w="5480"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9"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9" w:type="dxa"/>
            <w:tcBorders/>
            <w:shd w:fill="CCEEFF" w:val="clear"/>
            <w:vAlign w:val="center"/>
          </w:tcPr>
          <w:p>
            <w:pPr>
              <w:pStyle w:val="TableContents"/>
              <w:bidi w:val="0"/>
              <w:spacing w:before="0" w:after="0"/>
              <w:ind w:left="0" w:right="0" w:hanging="0"/>
              <w:jc w:val="left"/>
              <w:rPr/>
            </w:pPr>
            <w:r>
              <w:rPr/>
              <w:t>​</w:t>
            </w:r>
          </w:p>
        </w:tc>
        <w:tc>
          <w:tcPr>
            <w:tcW w:w="158" w:type="dxa"/>
            <w:tcBorders/>
            <w:shd w:fill="CCEEFF" w:val="clear"/>
            <w:vAlign w:val="center"/>
          </w:tcPr>
          <w:p>
            <w:pPr>
              <w:pStyle w:val="TableContents"/>
              <w:bidi w:val="0"/>
              <w:spacing w:before="0" w:after="0"/>
              <w:ind w:left="0" w:right="0" w:hanging="0"/>
              <w:jc w:val="left"/>
              <w:rPr/>
            </w:pPr>
            <w:r>
              <w:rPr/>
              <w:t>​</w:t>
            </w:r>
          </w:p>
        </w:tc>
      </w:tr>
      <w:tr>
        <w:trPr/>
        <w:tc>
          <w:tcPr>
            <w:tcW w:w="5480"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Non-GAAP Gross Profit: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pPr>
            <w:r>
              <w:rPr/>
              <w:t>​</w:t>
            </w:r>
          </w:p>
        </w:tc>
        <w:tc>
          <w:tcPr>
            <w:tcW w:w="158" w:type="dxa"/>
            <w:tcBorders/>
            <w:vAlign w:val="center"/>
          </w:tcPr>
          <w:p>
            <w:pPr>
              <w:pStyle w:val="TableContents"/>
              <w:bidi w:val="0"/>
              <w:spacing w:before="0" w:after="0"/>
              <w:ind w:left="0" w:right="0" w:hanging="0"/>
              <w:jc w:val="left"/>
              <w:rPr/>
            </w:pPr>
            <w:r>
              <w:rPr/>
              <w:t>​</w:t>
            </w:r>
          </w:p>
        </w:tc>
      </w:tr>
      <w:tr>
        <w:trPr/>
        <w:tc>
          <w:tcPr>
            <w:tcW w:w="5480"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Gross profit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131,300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121,200</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256,169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234,194</w:t>
            </w:r>
          </w:p>
        </w:tc>
        <w:tc>
          <w:tcPr>
            <w:tcW w:w="158" w:type="dxa"/>
            <w:tcBorders/>
            <w:shd w:fill="CCEEFF" w:val="clear"/>
            <w:vAlign w:val="center"/>
          </w:tcPr>
          <w:p>
            <w:pPr>
              <w:pStyle w:val="TableContents"/>
              <w:bidi w:val="0"/>
              <w:spacing w:before="0" w:after="0"/>
              <w:ind w:left="0" w:right="0" w:hanging="0"/>
              <w:jc w:val="left"/>
              <w:rPr/>
            </w:pPr>
            <w:r>
              <w:rPr/>
              <w:t>​</w:t>
            </w:r>
          </w:p>
        </w:tc>
      </w:tr>
      <w:tr>
        <w:trPr/>
        <w:tc>
          <w:tcPr>
            <w:tcW w:w="548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2,017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2,257</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5,433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6,180</w:t>
            </w:r>
          </w:p>
        </w:tc>
        <w:tc>
          <w:tcPr>
            <w:tcW w:w="158" w:type="dxa"/>
            <w:tcBorders/>
            <w:vAlign w:val="center"/>
          </w:tcPr>
          <w:p>
            <w:pPr>
              <w:pStyle w:val="TableContents"/>
              <w:bidi w:val="0"/>
              <w:spacing w:before="0" w:after="0"/>
              <w:ind w:left="0" w:right="0" w:hanging="0"/>
              <w:jc w:val="left"/>
              <w:rPr/>
            </w:pPr>
            <w:r>
              <w:rPr/>
              <w:t>​</w:t>
            </w:r>
          </w:p>
        </w:tc>
      </w:tr>
      <w:tr>
        <w:trPr/>
        <w:tc>
          <w:tcPr>
            <w:tcW w:w="548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 of capitalized software and acquired intangible assets – cost of subscription revenues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21,882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16,670</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41,968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32,525</w:t>
            </w:r>
          </w:p>
        </w:tc>
        <w:tc>
          <w:tcPr>
            <w:tcW w:w="158" w:type="dxa"/>
            <w:tcBorders/>
            <w:shd w:fill="CCEEFF" w:val="clear"/>
            <w:vAlign w:val="center"/>
          </w:tcPr>
          <w:p>
            <w:pPr>
              <w:pStyle w:val="TableContents"/>
              <w:bidi w:val="0"/>
              <w:spacing w:before="0" w:after="0"/>
              <w:ind w:left="0" w:right="0" w:hanging="0"/>
              <w:jc w:val="left"/>
              <w:rPr/>
            </w:pPr>
            <w:r>
              <w:rPr/>
              <w:t>​</w:t>
            </w:r>
          </w:p>
        </w:tc>
      </w:tr>
      <w:tr>
        <w:trPr/>
        <w:tc>
          <w:tcPr>
            <w:tcW w:w="5480"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Non-GAAP gross profit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155,199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140,127</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303,570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272,899</w:t>
            </w:r>
          </w:p>
        </w:tc>
        <w:tc>
          <w:tcPr>
            <w:tcW w:w="158" w:type="dxa"/>
            <w:tcBorders/>
            <w:vAlign w:val="center"/>
          </w:tcPr>
          <w:p>
            <w:pPr>
              <w:pStyle w:val="TableContents"/>
              <w:bidi w:val="0"/>
              <w:spacing w:before="0" w:after="0"/>
              <w:ind w:left="0" w:right="0" w:hanging="0"/>
              <w:jc w:val="lef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525"/>
        <w:gridCol w:w="127"/>
        <w:gridCol w:w="230"/>
        <w:gridCol w:w="824"/>
        <w:gridCol w:w="388"/>
        <w:gridCol w:w="230"/>
        <w:gridCol w:w="811"/>
        <w:gridCol w:w="282"/>
        <w:gridCol w:w="230"/>
        <w:gridCol w:w="824"/>
        <w:gridCol w:w="388"/>
        <w:gridCol w:w="230"/>
        <w:gridCol w:w="824"/>
        <w:gridCol w:w="292"/>
      </w:tblGrid>
      <w:tr>
        <w:trPr/>
        <w:tc>
          <w:tcPr>
            <w:tcW w:w="4525" w:type="dxa"/>
            <w:tcBorders/>
            <w:vAlign w:val="center"/>
          </w:tcPr>
          <w:p>
            <w:pPr>
              <w:pStyle w:val="TableContents"/>
              <w:bidi w:val="0"/>
              <w:spacing w:before="0" w:after="0"/>
              <w:ind w:left="0" w:right="0" w:hanging="0"/>
              <w:jc w:val="left"/>
              <w:rPr/>
            </w:pPr>
            <w:r>
              <w:rPr/>
              <w:t>​</w:t>
            </w:r>
          </w:p>
        </w:tc>
        <w:tc>
          <w:tcPr>
            <w:tcW w:w="127"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24" w:type="dxa"/>
            <w:tcBorders/>
            <w:vAlign w:val="center"/>
          </w:tcPr>
          <w:p>
            <w:pPr>
              <w:pStyle w:val="TableContents"/>
              <w:bidi w:val="0"/>
              <w:spacing w:before="0" w:after="0"/>
              <w:ind w:left="0" w:right="0" w:hanging="0"/>
              <w:jc w:val="right"/>
              <w:rPr/>
            </w:pPr>
            <w:r>
              <w:rPr/>
              <w:t>​</w:t>
            </w:r>
          </w:p>
        </w:tc>
        <w:tc>
          <w:tcPr>
            <w:tcW w:w="388"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282"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24" w:type="dxa"/>
            <w:tcBorders/>
            <w:vAlign w:val="center"/>
          </w:tcPr>
          <w:p>
            <w:pPr>
              <w:pStyle w:val="TableContents"/>
              <w:bidi w:val="0"/>
              <w:spacing w:before="0" w:after="0"/>
              <w:ind w:left="0" w:right="0" w:hanging="0"/>
              <w:jc w:val="right"/>
              <w:rPr/>
            </w:pPr>
            <w:r>
              <w:rPr/>
              <w:t>​</w:t>
            </w:r>
          </w:p>
        </w:tc>
        <w:tc>
          <w:tcPr>
            <w:tcW w:w="388"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24" w:type="dxa"/>
            <w:tcBorders/>
            <w:vAlign w:val="center"/>
          </w:tcPr>
          <w:p>
            <w:pPr>
              <w:pStyle w:val="TableContents"/>
              <w:bidi w:val="0"/>
              <w:spacing w:before="0" w:after="0"/>
              <w:ind w:left="0" w:right="0" w:hanging="0"/>
              <w:jc w:val="right"/>
              <w:rPr/>
            </w:pPr>
            <w:r>
              <w:rPr/>
              <w:t>​</w:t>
            </w:r>
          </w:p>
        </w:tc>
        <w:tc>
          <w:tcPr>
            <w:tcW w:w="292" w:type="dxa"/>
            <w:tcBorders/>
            <w:vAlign w:val="center"/>
          </w:tcPr>
          <w:p>
            <w:pPr>
              <w:pStyle w:val="TableContents"/>
              <w:bidi w:val="0"/>
              <w:spacing w:before="0" w:after="0"/>
              <w:ind w:left="0" w:right="0" w:hanging="0"/>
              <w:jc w:val="left"/>
              <w:rPr/>
            </w:pPr>
            <w:r>
              <w:rPr/>
              <w:t>​</w:t>
            </w:r>
          </w:p>
        </w:tc>
      </w:tr>
      <w:tr>
        <w:trPr/>
        <w:tc>
          <w:tcPr>
            <w:tcW w:w="4525" w:type="dxa"/>
            <w:tcBorders/>
            <w:vAlign w:val="center"/>
          </w:tcPr>
          <w:p>
            <w:pPr>
              <w:pStyle w:val="TableContents"/>
              <w:bidi w:val="0"/>
              <w:spacing w:before="0" w:after="0"/>
              <w:ind w:left="0" w:right="0" w:hanging="0"/>
              <w:jc w:val="left"/>
              <w:rPr/>
            </w:pPr>
            <w:r>
              <w:rPr/>
              <w:t>​</w:t>
            </w:r>
          </w:p>
        </w:tc>
        <w:tc>
          <w:tcPr>
            <w:tcW w:w="127"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253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w:t>
            </w:r>
          </w:p>
        </w:tc>
        <w:tc>
          <w:tcPr>
            <w:tcW w:w="230" w:type="dxa"/>
            <w:tcBorders/>
            <w:vAlign w:val="center"/>
          </w:tcPr>
          <w:p>
            <w:pPr>
              <w:pStyle w:val="TableContents"/>
              <w:bidi w:val="0"/>
              <w:spacing w:before="0" w:after="0"/>
              <w:ind w:left="0" w:right="0" w:hanging="0"/>
              <w:jc w:val="left"/>
              <w:rPr/>
            </w:pPr>
            <w:r>
              <w:rPr/>
              <w:t>​</w:t>
            </w:r>
          </w:p>
        </w:tc>
        <w:tc>
          <w:tcPr>
            <w:tcW w:w="255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 ended</w:t>
            </w:r>
          </w:p>
        </w:tc>
      </w:tr>
      <w:tr>
        <w:trPr/>
        <w:tc>
          <w:tcPr>
            <w:tcW w:w="4525" w:type="dxa"/>
            <w:tcBorders/>
            <w:vAlign w:val="center"/>
          </w:tcPr>
          <w:p>
            <w:pPr>
              <w:pStyle w:val="TableContents"/>
              <w:bidi w:val="0"/>
              <w:spacing w:before="0" w:after="0"/>
              <w:ind w:left="0" w:right="0" w:hanging="0"/>
              <w:jc w:val="left"/>
              <w:rPr/>
            </w:pPr>
            <w:r>
              <w:rPr/>
              <w:t>​</w:t>
            </w:r>
          </w:p>
        </w:tc>
        <w:tc>
          <w:tcPr>
            <w:tcW w:w="127"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5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230" w:type="dxa"/>
            <w:tcBorders/>
            <w:vAlign w:val="center"/>
          </w:tcPr>
          <w:p>
            <w:pPr>
              <w:pStyle w:val="TableContents"/>
              <w:bidi w:val="0"/>
              <w:spacing w:before="0" w:after="0"/>
              <w:ind w:left="0" w:right="0" w:hanging="0"/>
              <w:jc w:val="left"/>
              <w:rPr/>
            </w:pPr>
            <w:r>
              <w:rPr/>
              <w:t>​</w:t>
            </w:r>
          </w:p>
        </w:tc>
        <w:tc>
          <w:tcPr>
            <w:tcW w:w="255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525" w:type="dxa"/>
            <w:tcBorders/>
            <w:vAlign w:val="center"/>
          </w:tcPr>
          <w:p>
            <w:pPr>
              <w:pStyle w:val="TableContents"/>
              <w:bidi w:val="0"/>
              <w:spacing w:before="0" w:after="0"/>
              <w:ind w:left="0" w:right="0" w:hanging="0"/>
              <w:jc w:val="left"/>
              <w:rPr/>
            </w:pPr>
            <w:r>
              <w:rPr/>
              <w:t>​</w:t>
            </w:r>
          </w:p>
        </w:tc>
        <w:tc>
          <w:tcPr>
            <w:tcW w:w="127"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30" w:type="dxa"/>
            <w:tcBorders/>
            <w:vAlign w:val="center"/>
          </w:tcPr>
          <w:p>
            <w:pPr>
              <w:pStyle w:val="TableContents"/>
              <w:bidi w:val="0"/>
              <w:spacing w:before="0" w:after="0"/>
              <w:ind w:left="0" w:right="0" w:hanging="0"/>
              <w:jc w:val="left"/>
              <w:rPr/>
            </w:pPr>
            <w:r>
              <w:rPr/>
              <w:t>​</w:t>
            </w:r>
          </w:p>
        </w:tc>
        <w:tc>
          <w:tcPr>
            <w:tcW w:w="10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30" w:type="dxa"/>
            <w:tcBorders/>
            <w:vAlign w:val="center"/>
          </w:tcPr>
          <w:p>
            <w:pPr>
              <w:pStyle w:val="TableContents"/>
              <w:bidi w:val="0"/>
              <w:spacing w:before="0" w:after="0"/>
              <w:ind w:left="0" w:right="0" w:hanging="0"/>
              <w:jc w:val="left"/>
              <w:rPr/>
            </w:pPr>
            <w:r>
              <w:rPr/>
              <w:t>​</w:t>
            </w:r>
          </w:p>
        </w:tc>
        <w:tc>
          <w:tcPr>
            <w:tcW w:w="12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30" w:type="dxa"/>
            <w:tcBorders/>
            <w:vAlign w:val="center"/>
          </w:tcPr>
          <w:p>
            <w:pPr>
              <w:pStyle w:val="TableContents"/>
              <w:bidi w:val="0"/>
              <w:spacing w:before="0" w:after="0"/>
              <w:ind w:left="0" w:right="0" w:hanging="0"/>
              <w:jc w:val="left"/>
              <w:rPr/>
            </w:pPr>
            <w:r>
              <w:rPr/>
              <w:t>​</w:t>
            </w:r>
          </w:p>
        </w:tc>
        <w:tc>
          <w:tcPr>
            <w:tcW w:w="11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0205" w:type="dxa"/>
            <w:gridSpan w:val="14"/>
            <w:tcBorders/>
            <w:vAlign w:val="center"/>
          </w:tcPr>
          <w:p>
            <w:pPr>
              <w:pStyle w:val="TableContents"/>
              <w:bidi w:val="0"/>
              <w:spacing w:before="0" w:after="283"/>
              <w:ind w:left="0" w:right="0" w:hanging="0"/>
              <w:jc w:val="left"/>
              <w:rPr>
                <w:sz w:val="4"/>
                <w:szCs w:val="4"/>
              </w:rPr>
            </w:pPr>
            <w:r>
              <w:rPr>
                <w:sz w:val="4"/>
                <w:szCs w:val="4"/>
              </w:rPr>
            </w:r>
          </w:p>
        </w:tc>
      </w:tr>
      <w:tr>
        <w:trPr/>
        <w:tc>
          <w:tcPr>
            <w:tcW w:w="4525"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127"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2253" w:type="dxa"/>
            <w:gridSpan w:val="4"/>
            <w:tcBorders/>
            <w:shd w:fill="CCEE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282"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2266" w:type="dxa"/>
            <w:gridSpan w:val="4"/>
            <w:tcBorders/>
            <w:shd w:fill="CCEE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292" w:type="dxa"/>
            <w:tcBorders/>
            <w:shd w:fill="CCEEFF" w:val="clear"/>
            <w:vAlign w:val="center"/>
          </w:tcPr>
          <w:p>
            <w:pPr>
              <w:pStyle w:val="TableContents"/>
              <w:bidi w:val="0"/>
              <w:spacing w:before="0" w:after="0"/>
              <w:ind w:left="0" w:right="0" w:hanging="0"/>
              <w:jc w:val="left"/>
              <w:rPr/>
            </w:pPr>
            <w:r>
              <w:rPr/>
              <w:t>​</w:t>
            </w:r>
          </w:p>
        </w:tc>
      </w:tr>
      <w:tr>
        <w:trPr/>
        <w:tc>
          <w:tcPr>
            <w:tcW w:w="4525"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Non-GAAP Gross Margin:</w:t>
            </w:r>
          </w:p>
        </w:tc>
        <w:tc>
          <w:tcPr>
            <w:tcW w:w="127"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824" w:type="dxa"/>
            <w:tcBorders/>
            <w:vAlign w:val="center"/>
          </w:tcPr>
          <w:p>
            <w:pPr>
              <w:pStyle w:val="TableContents"/>
              <w:bidi w:val="0"/>
              <w:spacing w:before="0" w:after="0"/>
              <w:ind w:left="0" w:right="0" w:hanging="0"/>
              <w:jc w:val="right"/>
              <w:rPr/>
            </w:pPr>
            <w:r>
              <w:rPr/>
              <w:t>​</w:t>
            </w:r>
          </w:p>
        </w:tc>
        <w:tc>
          <w:tcPr>
            <w:tcW w:w="388"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w:t>
            </w:r>
          </w:p>
        </w:tc>
        <w:tc>
          <w:tcPr>
            <w:tcW w:w="282"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824" w:type="dxa"/>
            <w:tcBorders/>
            <w:vAlign w:val="center"/>
          </w:tcPr>
          <w:p>
            <w:pPr>
              <w:pStyle w:val="TableContents"/>
              <w:bidi w:val="0"/>
              <w:spacing w:before="0" w:after="0"/>
              <w:ind w:left="0" w:right="0" w:hanging="0"/>
              <w:jc w:val="right"/>
              <w:rPr/>
            </w:pPr>
            <w:r>
              <w:rPr/>
              <w:t>​</w:t>
            </w:r>
          </w:p>
        </w:tc>
        <w:tc>
          <w:tcPr>
            <w:tcW w:w="388"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824" w:type="dxa"/>
            <w:tcBorders/>
            <w:vAlign w:val="center"/>
          </w:tcPr>
          <w:p>
            <w:pPr>
              <w:pStyle w:val="TableContents"/>
              <w:bidi w:val="0"/>
              <w:spacing w:before="0" w:after="0"/>
              <w:ind w:left="0" w:right="0" w:hanging="0"/>
              <w:jc w:val="right"/>
              <w:rPr/>
            </w:pPr>
            <w:r>
              <w:rPr/>
              <w:t>​</w:t>
            </w:r>
          </w:p>
        </w:tc>
        <w:tc>
          <w:tcPr>
            <w:tcW w:w="292" w:type="dxa"/>
            <w:tcBorders/>
            <w:vAlign w:val="center"/>
          </w:tcPr>
          <w:p>
            <w:pPr>
              <w:pStyle w:val="TableContents"/>
              <w:bidi w:val="0"/>
              <w:spacing w:before="0" w:after="0"/>
              <w:ind w:left="0" w:right="0" w:hanging="0"/>
              <w:jc w:val="left"/>
              <w:rPr/>
            </w:pPr>
            <w:r>
              <w:rPr/>
              <w:t>​</w:t>
            </w:r>
          </w:p>
        </w:tc>
      </w:tr>
      <w:tr>
        <w:trPr/>
        <w:tc>
          <w:tcPr>
            <w:tcW w:w="452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revenues</w:t>
            </w:r>
          </w:p>
        </w:tc>
        <w:tc>
          <w:tcPr>
            <w:tcW w:w="127"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203,970</w:t>
            </w:r>
          </w:p>
        </w:tc>
        <w:tc>
          <w:tcPr>
            <w:tcW w:w="388"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184,559</w:t>
            </w:r>
          </w:p>
        </w:tc>
        <w:tc>
          <w:tcPr>
            <w:tcW w:w="282"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400,616</w:t>
            </w:r>
          </w:p>
        </w:tc>
        <w:tc>
          <w:tcPr>
            <w:tcW w:w="388"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361,621</w:t>
            </w:r>
          </w:p>
        </w:tc>
        <w:tc>
          <w:tcPr>
            <w:tcW w:w="292" w:type="dxa"/>
            <w:tcBorders/>
            <w:shd w:fill="CCEEFF" w:val="clear"/>
            <w:vAlign w:val="center"/>
          </w:tcPr>
          <w:p>
            <w:pPr>
              <w:pStyle w:val="TableContents"/>
              <w:bidi w:val="0"/>
              <w:spacing w:before="0" w:after="0"/>
              <w:ind w:left="0" w:right="0" w:hanging="0"/>
              <w:jc w:val="left"/>
              <w:rPr/>
            </w:pPr>
            <w:r>
              <w:rPr/>
              <w:t>​</w:t>
            </w:r>
          </w:p>
        </w:tc>
      </w:tr>
      <w:tr>
        <w:trPr/>
        <w:tc>
          <w:tcPr>
            <w:tcW w:w="4525"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Non-GAAP gross margin</w:t>
            </w:r>
          </w:p>
        </w:tc>
        <w:tc>
          <w:tcPr>
            <w:tcW w:w="127" w:type="dxa"/>
            <w:tcBorders/>
            <w:vAlign w:val="center"/>
          </w:tcPr>
          <w:p>
            <w:pPr>
              <w:pStyle w:val="TableContents"/>
              <w:bidi w:val="0"/>
              <w:spacing w:before="0" w:after="0"/>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82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76.1</w:t>
            </w:r>
          </w:p>
        </w:tc>
        <w:tc>
          <w:tcPr>
            <w:tcW w:w="38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75.9</w:t>
            </w:r>
          </w:p>
        </w:tc>
        <w:tc>
          <w:tcPr>
            <w:tcW w:w="28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82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75.8</w:t>
            </w:r>
          </w:p>
        </w:tc>
        <w:tc>
          <w:tcPr>
            <w:tcW w:w="38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82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75.5</w:t>
            </w:r>
          </w:p>
        </w:tc>
        <w:tc>
          <w:tcPr>
            <w:tcW w:w="29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4525" w:type="dxa"/>
            <w:tcBorders/>
            <w:shd w:fill="CCEEFF" w:val="clear"/>
            <w:vAlign w:val="center"/>
          </w:tcPr>
          <w:p>
            <w:pPr>
              <w:pStyle w:val="TableContents"/>
              <w:bidi w:val="0"/>
              <w:spacing w:before="0" w:after="0"/>
              <w:ind w:left="0" w:right="0" w:hanging="0"/>
              <w:jc w:val="left"/>
              <w:rPr/>
            </w:pPr>
            <w:r>
              <w:rPr/>
              <w:t>​</w:t>
            </w:r>
          </w:p>
        </w:tc>
        <w:tc>
          <w:tcPr>
            <w:tcW w:w="127"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24" w:type="dxa"/>
            <w:tcBorders/>
            <w:shd w:fill="CCEEFF" w:val="clear"/>
            <w:vAlign w:val="center"/>
          </w:tcPr>
          <w:p>
            <w:pPr>
              <w:pStyle w:val="TableContents"/>
              <w:bidi w:val="0"/>
              <w:spacing w:before="0" w:after="0"/>
              <w:ind w:left="0" w:right="0" w:hanging="0"/>
              <w:jc w:val="right"/>
              <w:rPr/>
            </w:pPr>
            <w:r>
              <w:rPr/>
              <w:t>​</w:t>
            </w:r>
          </w:p>
        </w:tc>
        <w:tc>
          <w:tcPr>
            <w:tcW w:w="388"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24" w:type="dxa"/>
            <w:tcBorders/>
            <w:shd w:fill="CCEEFF" w:val="clear"/>
            <w:vAlign w:val="center"/>
          </w:tcPr>
          <w:p>
            <w:pPr>
              <w:pStyle w:val="TableContents"/>
              <w:bidi w:val="0"/>
              <w:spacing w:before="0" w:after="0"/>
              <w:ind w:left="0" w:right="0" w:hanging="0"/>
              <w:jc w:val="right"/>
              <w:rPr/>
            </w:pPr>
            <w:r>
              <w:rPr/>
              <w:t>​</w:t>
            </w:r>
          </w:p>
        </w:tc>
        <w:tc>
          <w:tcPr>
            <w:tcW w:w="388"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24" w:type="dxa"/>
            <w:tcBorders/>
            <w:shd w:fill="CCEEFF" w:val="clear"/>
            <w:vAlign w:val="center"/>
          </w:tcPr>
          <w:p>
            <w:pPr>
              <w:pStyle w:val="TableContents"/>
              <w:bidi w:val="0"/>
              <w:spacing w:before="0" w:after="0"/>
              <w:ind w:left="0" w:right="0" w:hanging="0"/>
              <w:jc w:val="right"/>
              <w:rPr/>
            </w:pPr>
            <w:r>
              <w:rPr/>
              <w:t>​</w:t>
            </w:r>
          </w:p>
        </w:tc>
        <w:tc>
          <w:tcPr>
            <w:tcW w:w="292" w:type="dxa"/>
            <w:tcBorders/>
            <w:shd w:fill="CCEEFF" w:val="clear"/>
            <w:vAlign w:val="center"/>
          </w:tcPr>
          <w:p>
            <w:pPr>
              <w:pStyle w:val="TableContents"/>
              <w:bidi w:val="0"/>
              <w:spacing w:before="0" w:after="0"/>
              <w:ind w:left="0" w:right="0" w:hanging="0"/>
              <w:jc w:val="left"/>
              <w:rPr/>
            </w:pPr>
            <w:r>
              <w:rPr/>
              <w:t>​</w:t>
            </w:r>
          </w:p>
        </w:tc>
      </w:tr>
      <w:tr>
        <w:trPr/>
        <w:tc>
          <w:tcPr>
            <w:tcW w:w="4525"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Non-GAAP Research and Development Expense:</w:t>
            </w:r>
          </w:p>
        </w:tc>
        <w:tc>
          <w:tcPr>
            <w:tcW w:w="127"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824" w:type="dxa"/>
            <w:tcBorders/>
            <w:vAlign w:val="center"/>
          </w:tcPr>
          <w:p>
            <w:pPr>
              <w:pStyle w:val="TableContents"/>
              <w:bidi w:val="0"/>
              <w:spacing w:before="0" w:after="0"/>
              <w:ind w:left="0" w:right="0" w:hanging="0"/>
              <w:jc w:val="right"/>
              <w:rPr/>
            </w:pPr>
            <w:r>
              <w:rPr/>
              <w:t>​</w:t>
            </w:r>
          </w:p>
        </w:tc>
        <w:tc>
          <w:tcPr>
            <w:tcW w:w="388"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w:t>
            </w:r>
          </w:p>
        </w:tc>
        <w:tc>
          <w:tcPr>
            <w:tcW w:w="282"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824" w:type="dxa"/>
            <w:tcBorders/>
            <w:vAlign w:val="center"/>
          </w:tcPr>
          <w:p>
            <w:pPr>
              <w:pStyle w:val="TableContents"/>
              <w:bidi w:val="0"/>
              <w:spacing w:before="0" w:after="0"/>
              <w:ind w:left="0" w:right="0" w:hanging="0"/>
              <w:jc w:val="right"/>
              <w:rPr/>
            </w:pPr>
            <w:r>
              <w:rPr/>
              <w:t>​</w:t>
            </w:r>
          </w:p>
        </w:tc>
        <w:tc>
          <w:tcPr>
            <w:tcW w:w="388"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824" w:type="dxa"/>
            <w:tcBorders/>
            <w:vAlign w:val="center"/>
          </w:tcPr>
          <w:p>
            <w:pPr>
              <w:pStyle w:val="TableContents"/>
              <w:bidi w:val="0"/>
              <w:spacing w:before="0" w:after="0"/>
              <w:ind w:left="0" w:right="0" w:hanging="0"/>
              <w:jc w:val="right"/>
              <w:rPr/>
            </w:pPr>
            <w:r>
              <w:rPr/>
              <w:t>​</w:t>
            </w:r>
          </w:p>
        </w:tc>
        <w:tc>
          <w:tcPr>
            <w:tcW w:w="292" w:type="dxa"/>
            <w:tcBorders/>
            <w:vAlign w:val="center"/>
          </w:tcPr>
          <w:p>
            <w:pPr>
              <w:pStyle w:val="TableContents"/>
              <w:bidi w:val="0"/>
              <w:spacing w:before="0" w:after="0"/>
              <w:ind w:left="0" w:right="0" w:hanging="0"/>
              <w:jc w:val="left"/>
              <w:rPr/>
            </w:pPr>
            <w:r>
              <w:rPr/>
              <w:t>​</w:t>
            </w:r>
          </w:p>
        </w:tc>
      </w:tr>
      <w:tr>
        <w:trPr/>
        <w:tc>
          <w:tcPr>
            <w:tcW w:w="4525"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Research and development expense</w:t>
            </w:r>
          </w:p>
        </w:tc>
        <w:tc>
          <w:tcPr>
            <w:tcW w:w="127"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24,805</w:t>
            </w:r>
          </w:p>
        </w:tc>
        <w:tc>
          <w:tcPr>
            <w:tcW w:w="388"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20,582</w:t>
            </w:r>
          </w:p>
        </w:tc>
        <w:tc>
          <w:tcPr>
            <w:tcW w:w="282"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49,355</w:t>
            </w:r>
          </w:p>
        </w:tc>
        <w:tc>
          <w:tcPr>
            <w:tcW w:w="388"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41,468</w:t>
            </w:r>
          </w:p>
        </w:tc>
        <w:tc>
          <w:tcPr>
            <w:tcW w:w="292" w:type="dxa"/>
            <w:tcBorders/>
            <w:shd w:fill="CCEEFF" w:val="clear"/>
            <w:vAlign w:val="center"/>
          </w:tcPr>
          <w:p>
            <w:pPr>
              <w:pStyle w:val="TableContents"/>
              <w:bidi w:val="0"/>
              <w:spacing w:before="0" w:after="0"/>
              <w:ind w:left="0" w:right="0" w:hanging="0"/>
              <w:jc w:val="left"/>
              <w:rPr/>
            </w:pPr>
            <w:r>
              <w:rPr/>
              <w:t>​</w:t>
            </w:r>
          </w:p>
        </w:tc>
      </w:tr>
      <w:tr>
        <w:trPr/>
        <w:tc>
          <w:tcPr>
            <w:tcW w:w="452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127"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(2,440)</w:t>
            </w:r>
          </w:p>
        </w:tc>
        <w:tc>
          <w:tcPr>
            <w:tcW w:w="388"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(2,512)</w:t>
            </w:r>
          </w:p>
        </w:tc>
        <w:tc>
          <w:tcPr>
            <w:tcW w:w="282"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(6,306)</w:t>
            </w:r>
          </w:p>
        </w:tc>
        <w:tc>
          <w:tcPr>
            <w:tcW w:w="388"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(6,864)</w:t>
            </w:r>
          </w:p>
        </w:tc>
        <w:tc>
          <w:tcPr>
            <w:tcW w:w="292" w:type="dxa"/>
            <w:tcBorders/>
            <w:vAlign w:val="center"/>
          </w:tcPr>
          <w:p>
            <w:pPr>
              <w:pStyle w:val="TableContents"/>
              <w:bidi w:val="0"/>
              <w:spacing w:before="0" w:after="0"/>
              <w:ind w:left="0" w:right="0" w:hanging="0"/>
              <w:jc w:val="left"/>
              <w:rPr/>
            </w:pPr>
            <w:r>
              <w:rPr/>
              <w:t>​</w:t>
            </w:r>
          </w:p>
        </w:tc>
      </w:tr>
      <w:tr>
        <w:trPr/>
        <w:tc>
          <w:tcPr>
            <w:tcW w:w="4525"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Non-GAAP research and development expense</w:t>
            </w:r>
          </w:p>
        </w:tc>
        <w:tc>
          <w:tcPr>
            <w:tcW w:w="127"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22,365</w:t>
            </w:r>
          </w:p>
        </w:tc>
        <w:tc>
          <w:tcPr>
            <w:tcW w:w="388"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18,070</w:t>
            </w:r>
          </w:p>
        </w:tc>
        <w:tc>
          <w:tcPr>
            <w:tcW w:w="282"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43,049</w:t>
            </w:r>
          </w:p>
        </w:tc>
        <w:tc>
          <w:tcPr>
            <w:tcW w:w="388"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34,604</w:t>
            </w:r>
          </w:p>
        </w:tc>
        <w:tc>
          <w:tcPr>
            <w:tcW w:w="292" w:type="dxa"/>
            <w:tcBorders/>
            <w:shd w:fill="CCEEFF" w:val="clear"/>
            <w:vAlign w:val="center"/>
          </w:tcPr>
          <w:p>
            <w:pPr>
              <w:pStyle w:val="TableContents"/>
              <w:bidi w:val="0"/>
              <w:spacing w:before="0" w:after="0"/>
              <w:ind w:left="0" w:right="0" w:hanging="0"/>
              <w:jc w:val="left"/>
              <w:rPr/>
            </w:pPr>
            <w:r>
              <w:rPr/>
              <w:t>​</w:t>
            </w:r>
          </w:p>
        </w:tc>
      </w:tr>
      <w:tr>
        <w:trPr/>
        <w:tc>
          <w:tcPr>
            <w:tcW w:w="4525" w:type="dxa"/>
            <w:tcBorders/>
            <w:vAlign w:val="center"/>
          </w:tcPr>
          <w:p>
            <w:pPr>
              <w:pStyle w:val="TableContents"/>
              <w:bidi w:val="0"/>
              <w:spacing w:before="0" w:after="0"/>
              <w:ind w:left="0" w:right="0" w:hanging="0"/>
              <w:jc w:val="left"/>
              <w:rPr/>
            </w:pPr>
            <w:r>
              <w:rPr/>
              <w:t>​</w:t>
            </w:r>
          </w:p>
        </w:tc>
        <w:tc>
          <w:tcPr>
            <w:tcW w:w="127"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24" w:type="dxa"/>
            <w:tcBorders/>
            <w:vAlign w:val="center"/>
          </w:tcPr>
          <w:p>
            <w:pPr>
              <w:pStyle w:val="TableContents"/>
              <w:bidi w:val="0"/>
              <w:spacing w:before="0" w:after="0"/>
              <w:ind w:left="0" w:right="0" w:hanging="0"/>
              <w:jc w:val="right"/>
              <w:rPr/>
            </w:pPr>
            <w:r>
              <w:rPr/>
              <w:t>​</w:t>
            </w:r>
          </w:p>
        </w:tc>
        <w:tc>
          <w:tcPr>
            <w:tcW w:w="388"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282"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24" w:type="dxa"/>
            <w:tcBorders/>
            <w:vAlign w:val="center"/>
          </w:tcPr>
          <w:p>
            <w:pPr>
              <w:pStyle w:val="TableContents"/>
              <w:bidi w:val="0"/>
              <w:spacing w:before="0" w:after="0"/>
              <w:ind w:left="0" w:right="0" w:hanging="0"/>
              <w:jc w:val="right"/>
              <w:rPr/>
            </w:pPr>
            <w:r>
              <w:rPr/>
              <w:t>​</w:t>
            </w:r>
          </w:p>
        </w:tc>
        <w:tc>
          <w:tcPr>
            <w:tcW w:w="388"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24" w:type="dxa"/>
            <w:tcBorders/>
            <w:vAlign w:val="center"/>
          </w:tcPr>
          <w:p>
            <w:pPr>
              <w:pStyle w:val="TableContents"/>
              <w:bidi w:val="0"/>
              <w:spacing w:before="0" w:after="0"/>
              <w:ind w:left="0" w:right="0" w:hanging="0"/>
              <w:jc w:val="right"/>
              <w:rPr/>
            </w:pPr>
            <w:r>
              <w:rPr/>
              <w:t>​</w:t>
            </w:r>
          </w:p>
        </w:tc>
        <w:tc>
          <w:tcPr>
            <w:tcW w:w="292" w:type="dxa"/>
            <w:tcBorders/>
            <w:vAlign w:val="center"/>
          </w:tcPr>
          <w:p>
            <w:pPr>
              <w:pStyle w:val="TableContents"/>
              <w:bidi w:val="0"/>
              <w:spacing w:before="0" w:after="0"/>
              <w:ind w:left="0" w:right="0" w:hanging="0"/>
              <w:jc w:val="left"/>
              <w:rPr/>
            </w:pPr>
            <w:r>
              <w:rPr/>
              <w:t>​</w:t>
            </w:r>
          </w:p>
        </w:tc>
      </w:tr>
      <w:tr>
        <w:trPr/>
        <w:tc>
          <w:tcPr>
            <w:tcW w:w="4525"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Non-GAAP Selling and Marketing Expense:</w:t>
            </w:r>
          </w:p>
        </w:tc>
        <w:tc>
          <w:tcPr>
            <w:tcW w:w="127"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 </w:t>
            </w:r>
          </w:p>
        </w:tc>
        <w:tc>
          <w:tcPr>
            <w:tcW w:w="824" w:type="dxa"/>
            <w:tcBorders/>
            <w:shd w:fill="CCEEFF" w:val="clear"/>
            <w:vAlign w:val="center"/>
          </w:tcPr>
          <w:p>
            <w:pPr>
              <w:pStyle w:val="TableContents"/>
              <w:bidi w:val="0"/>
              <w:spacing w:before="0" w:after="0"/>
              <w:ind w:left="0" w:right="0" w:hanging="0"/>
              <w:jc w:val="right"/>
              <w:rPr/>
            </w:pPr>
            <w:r>
              <w:rPr/>
              <w:t>​</w:t>
            </w:r>
          </w:p>
        </w:tc>
        <w:tc>
          <w:tcPr>
            <w:tcW w:w="388"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 </w:t>
            </w:r>
          </w:p>
        </w:tc>
        <w:tc>
          <w:tcPr>
            <w:tcW w:w="824" w:type="dxa"/>
            <w:tcBorders/>
            <w:shd w:fill="CCEEFF" w:val="clear"/>
            <w:vAlign w:val="center"/>
          </w:tcPr>
          <w:p>
            <w:pPr>
              <w:pStyle w:val="TableContents"/>
              <w:bidi w:val="0"/>
              <w:spacing w:before="0" w:after="0"/>
              <w:ind w:left="0" w:right="0" w:hanging="0"/>
              <w:jc w:val="right"/>
              <w:rPr/>
            </w:pPr>
            <w:r>
              <w:rPr/>
              <w:t>​</w:t>
            </w:r>
          </w:p>
        </w:tc>
        <w:tc>
          <w:tcPr>
            <w:tcW w:w="388"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 </w:t>
            </w:r>
          </w:p>
        </w:tc>
        <w:tc>
          <w:tcPr>
            <w:tcW w:w="824" w:type="dxa"/>
            <w:tcBorders/>
            <w:shd w:fill="CCEEFF" w:val="clear"/>
            <w:vAlign w:val="center"/>
          </w:tcPr>
          <w:p>
            <w:pPr>
              <w:pStyle w:val="TableContents"/>
              <w:bidi w:val="0"/>
              <w:spacing w:before="0" w:after="0"/>
              <w:ind w:left="0" w:right="0" w:hanging="0"/>
              <w:jc w:val="right"/>
              <w:rPr/>
            </w:pPr>
            <w:r>
              <w:rPr/>
              <w:t>​</w:t>
            </w:r>
          </w:p>
        </w:tc>
        <w:tc>
          <w:tcPr>
            <w:tcW w:w="292" w:type="dxa"/>
            <w:tcBorders/>
            <w:shd w:fill="CCEEFF" w:val="clear"/>
            <w:vAlign w:val="center"/>
          </w:tcPr>
          <w:p>
            <w:pPr>
              <w:pStyle w:val="TableContents"/>
              <w:bidi w:val="0"/>
              <w:spacing w:before="0" w:after="0"/>
              <w:ind w:left="0" w:right="0" w:hanging="0"/>
              <w:jc w:val="left"/>
              <w:rPr/>
            </w:pPr>
            <w:r>
              <w:rPr/>
              <w:t>​</w:t>
            </w:r>
          </w:p>
        </w:tc>
      </w:tr>
      <w:tr>
        <w:trPr/>
        <w:tc>
          <w:tcPr>
            <w:tcW w:w="4525"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Selling and marketing expense</w:t>
            </w:r>
          </w:p>
        </w:tc>
        <w:tc>
          <w:tcPr>
            <w:tcW w:w="127"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51,899</w:t>
            </w:r>
          </w:p>
        </w:tc>
        <w:tc>
          <w:tcPr>
            <w:tcW w:w="388"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48,454</w:t>
            </w:r>
          </w:p>
        </w:tc>
        <w:tc>
          <w:tcPr>
            <w:tcW w:w="282"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104,534</w:t>
            </w:r>
          </w:p>
        </w:tc>
        <w:tc>
          <w:tcPr>
            <w:tcW w:w="388"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96,609</w:t>
            </w:r>
          </w:p>
        </w:tc>
        <w:tc>
          <w:tcPr>
            <w:tcW w:w="292" w:type="dxa"/>
            <w:tcBorders/>
            <w:vAlign w:val="center"/>
          </w:tcPr>
          <w:p>
            <w:pPr>
              <w:pStyle w:val="TableContents"/>
              <w:bidi w:val="0"/>
              <w:spacing w:before="0" w:after="0"/>
              <w:ind w:left="0" w:right="0" w:hanging="0"/>
              <w:jc w:val="left"/>
              <w:rPr/>
            </w:pPr>
            <w:r>
              <w:rPr/>
              <w:t>​</w:t>
            </w:r>
          </w:p>
        </w:tc>
      </w:tr>
      <w:tr>
        <w:trPr/>
        <w:tc>
          <w:tcPr>
            <w:tcW w:w="452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127"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(4,297)</w:t>
            </w:r>
          </w:p>
        </w:tc>
        <w:tc>
          <w:tcPr>
            <w:tcW w:w="388"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(3,235)</w:t>
            </w:r>
          </w:p>
        </w:tc>
        <w:tc>
          <w:tcPr>
            <w:tcW w:w="282"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(9,640)</w:t>
            </w:r>
          </w:p>
        </w:tc>
        <w:tc>
          <w:tcPr>
            <w:tcW w:w="388"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 </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(9,041)</w:t>
            </w:r>
          </w:p>
        </w:tc>
        <w:tc>
          <w:tcPr>
            <w:tcW w:w="292" w:type="dxa"/>
            <w:tcBorders/>
            <w:shd w:fill="CCEEFF" w:val="clear"/>
            <w:vAlign w:val="center"/>
          </w:tcPr>
          <w:p>
            <w:pPr>
              <w:pStyle w:val="TableContents"/>
              <w:bidi w:val="0"/>
              <w:spacing w:before="0" w:after="0"/>
              <w:ind w:left="0" w:right="0" w:hanging="0"/>
              <w:jc w:val="left"/>
              <w:rPr/>
            </w:pPr>
            <w:r>
              <w:rPr/>
              <w:t>​</w:t>
            </w:r>
          </w:p>
        </w:tc>
      </w:tr>
      <w:tr>
        <w:trPr/>
        <w:tc>
          <w:tcPr>
            <w:tcW w:w="452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acquired intangible assets – selling and marketing expense</w:t>
            </w:r>
          </w:p>
        </w:tc>
        <w:tc>
          <w:tcPr>
            <w:tcW w:w="127"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(522)</w:t>
            </w:r>
          </w:p>
        </w:tc>
        <w:tc>
          <w:tcPr>
            <w:tcW w:w="388"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(571)</w:t>
            </w:r>
          </w:p>
        </w:tc>
        <w:tc>
          <w:tcPr>
            <w:tcW w:w="282"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(1,047)</w:t>
            </w:r>
          </w:p>
        </w:tc>
        <w:tc>
          <w:tcPr>
            <w:tcW w:w="388"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(1,102)</w:t>
            </w:r>
          </w:p>
        </w:tc>
        <w:tc>
          <w:tcPr>
            <w:tcW w:w="292" w:type="dxa"/>
            <w:tcBorders/>
            <w:vAlign w:val="center"/>
          </w:tcPr>
          <w:p>
            <w:pPr>
              <w:pStyle w:val="TableContents"/>
              <w:bidi w:val="0"/>
              <w:spacing w:before="0" w:after="0"/>
              <w:ind w:left="0" w:right="0" w:hanging="0"/>
              <w:jc w:val="left"/>
              <w:rPr/>
            </w:pPr>
            <w:r>
              <w:rPr/>
              <w:t>​</w:t>
            </w:r>
          </w:p>
        </w:tc>
      </w:tr>
      <w:tr>
        <w:trPr/>
        <w:tc>
          <w:tcPr>
            <w:tcW w:w="4525"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Non-GAAP selling and marketing expense</w:t>
            </w:r>
          </w:p>
        </w:tc>
        <w:tc>
          <w:tcPr>
            <w:tcW w:w="127"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47,080</w:t>
            </w:r>
          </w:p>
        </w:tc>
        <w:tc>
          <w:tcPr>
            <w:tcW w:w="388"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44,648</w:t>
            </w:r>
          </w:p>
        </w:tc>
        <w:tc>
          <w:tcPr>
            <w:tcW w:w="282"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93,847</w:t>
            </w:r>
          </w:p>
        </w:tc>
        <w:tc>
          <w:tcPr>
            <w:tcW w:w="388"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86,466</w:t>
            </w:r>
          </w:p>
        </w:tc>
        <w:tc>
          <w:tcPr>
            <w:tcW w:w="292" w:type="dxa"/>
            <w:tcBorders/>
            <w:shd w:fill="CCEEFF" w:val="clear"/>
            <w:vAlign w:val="center"/>
          </w:tcPr>
          <w:p>
            <w:pPr>
              <w:pStyle w:val="TableContents"/>
              <w:bidi w:val="0"/>
              <w:spacing w:before="0" w:after="0"/>
              <w:ind w:left="0" w:right="0" w:hanging="0"/>
              <w:jc w:val="left"/>
              <w:rPr/>
            </w:pPr>
            <w:r>
              <w:rPr/>
              <w:t>​</w:t>
            </w:r>
          </w:p>
        </w:tc>
      </w:tr>
      <w:tr>
        <w:trPr/>
        <w:tc>
          <w:tcPr>
            <w:tcW w:w="4525" w:type="dxa"/>
            <w:tcBorders/>
            <w:vAlign w:val="center"/>
          </w:tcPr>
          <w:p>
            <w:pPr>
              <w:pStyle w:val="TableContents"/>
              <w:bidi w:val="0"/>
              <w:spacing w:before="0" w:after="0"/>
              <w:ind w:left="0" w:right="0" w:hanging="0"/>
              <w:jc w:val="left"/>
              <w:rPr/>
            </w:pPr>
            <w:r>
              <w:rPr/>
              <w:t>​</w:t>
            </w:r>
          </w:p>
        </w:tc>
        <w:tc>
          <w:tcPr>
            <w:tcW w:w="127"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24" w:type="dxa"/>
            <w:tcBorders/>
            <w:vAlign w:val="center"/>
          </w:tcPr>
          <w:p>
            <w:pPr>
              <w:pStyle w:val="TableContents"/>
              <w:bidi w:val="0"/>
              <w:spacing w:before="0" w:after="0"/>
              <w:ind w:left="0" w:right="0" w:hanging="0"/>
              <w:jc w:val="right"/>
              <w:rPr/>
            </w:pPr>
            <w:r>
              <w:rPr/>
              <w:t>​</w:t>
            </w:r>
          </w:p>
        </w:tc>
        <w:tc>
          <w:tcPr>
            <w:tcW w:w="388"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282"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24" w:type="dxa"/>
            <w:tcBorders/>
            <w:vAlign w:val="center"/>
          </w:tcPr>
          <w:p>
            <w:pPr>
              <w:pStyle w:val="TableContents"/>
              <w:bidi w:val="0"/>
              <w:spacing w:before="0" w:after="0"/>
              <w:ind w:left="0" w:right="0" w:hanging="0"/>
              <w:jc w:val="right"/>
              <w:rPr/>
            </w:pPr>
            <w:r>
              <w:rPr/>
              <w:t>​</w:t>
            </w:r>
          </w:p>
        </w:tc>
        <w:tc>
          <w:tcPr>
            <w:tcW w:w="388"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24" w:type="dxa"/>
            <w:tcBorders/>
            <w:vAlign w:val="center"/>
          </w:tcPr>
          <w:p>
            <w:pPr>
              <w:pStyle w:val="TableContents"/>
              <w:bidi w:val="0"/>
              <w:spacing w:before="0" w:after="0"/>
              <w:ind w:left="0" w:right="0" w:hanging="0"/>
              <w:jc w:val="right"/>
              <w:rPr/>
            </w:pPr>
            <w:r>
              <w:rPr/>
              <w:t>​</w:t>
            </w:r>
          </w:p>
        </w:tc>
        <w:tc>
          <w:tcPr>
            <w:tcW w:w="292" w:type="dxa"/>
            <w:tcBorders/>
            <w:vAlign w:val="center"/>
          </w:tcPr>
          <w:p>
            <w:pPr>
              <w:pStyle w:val="TableContents"/>
              <w:bidi w:val="0"/>
              <w:spacing w:before="0" w:after="0"/>
              <w:ind w:left="0" w:right="0" w:hanging="0"/>
              <w:jc w:val="left"/>
              <w:rPr/>
            </w:pPr>
            <w:r>
              <w:rPr/>
              <w:t>​</w:t>
            </w:r>
          </w:p>
        </w:tc>
      </w:tr>
      <w:tr>
        <w:trPr/>
        <w:tc>
          <w:tcPr>
            <w:tcW w:w="4525"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Non-GAAP General and Administrative Expense:</w:t>
            </w:r>
          </w:p>
        </w:tc>
        <w:tc>
          <w:tcPr>
            <w:tcW w:w="127"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824" w:type="dxa"/>
            <w:tcBorders/>
            <w:vAlign w:val="center"/>
          </w:tcPr>
          <w:p>
            <w:pPr>
              <w:pStyle w:val="TableContents"/>
              <w:bidi w:val="0"/>
              <w:spacing w:before="0" w:after="0"/>
              <w:ind w:left="0" w:right="0" w:hanging="0"/>
              <w:jc w:val="right"/>
              <w:rPr/>
            </w:pPr>
            <w:r>
              <w:rPr/>
              <w:t>​</w:t>
            </w:r>
          </w:p>
        </w:tc>
        <w:tc>
          <w:tcPr>
            <w:tcW w:w="388"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w:t>
            </w:r>
          </w:p>
        </w:tc>
        <w:tc>
          <w:tcPr>
            <w:tcW w:w="282"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824" w:type="dxa"/>
            <w:tcBorders/>
            <w:vAlign w:val="center"/>
          </w:tcPr>
          <w:p>
            <w:pPr>
              <w:pStyle w:val="TableContents"/>
              <w:bidi w:val="0"/>
              <w:spacing w:before="0" w:after="0"/>
              <w:ind w:left="0" w:right="0" w:hanging="0"/>
              <w:jc w:val="right"/>
              <w:rPr/>
            </w:pPr>
            <w:r>
              <w:rPr/>
              <w:t>​</w:t>
            </w:r>
          </w:p>
        </w:tc>
        <w:tc>
          <w:tcPr>
            <w:tcW w:w="388"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824" w:type="dxa"/>
            <w:tcBorders/>
            <w:vAlign w:val="center"/>
          </w:tcPr>
          <w:p>
            <w:pPr>
              <w:pStyle w:val="TableContents"/>
              <w:bidi w:val="0"/>
              <w:spacing w:before="0" w:after="0"/>
              <w:ind w:left="0" w:right="0" w:hanging="0"/>
              <w:jc w:val="right"/>
              <w:rPr/>
            </w:pPr>
            <w:r>
              <w:rPr/>
              <w:t>​</w:t>
            </w:r>
          </w:p>
        </w:tc>
        <w:tc>
          <w:tcPr>
            <w:tcW w:w="292" w:type="dxa"/>
            <w:tcBorders/>
            <w:vAlign w:val="center"/>
          </w:tcPr>
          <w:p>
            <w:pPr>
              <w:pStyle w:val="TableContents"/>
              <w:bidi w:val="0"/>
              <w:spacing w:before="0" w:after="0"/>
              <w:ind w:left="0" w:right="0" w:hanging="0"/>
              <w:jc w:val="left"/>
              <w:rPr/>
            </w:pPr>
            <w:r>
              <w:rPr/>
              <w:t>​</w:t>
            </w:r>
          </w:p>
        </w:tc>
      </w:tr>
      <w:tr>
        <w:trPr/>
        <w:tc>
          <w:tcPr>
            <w:tcW w:w="4525"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General and administrative expense</w:t>
            </w:r>
          </w:p>
        </w:tc>
        <w:tc>
          <w:tcPr>
            <w:tcW w:w="127"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51,142</w:t>
            </w:r>
          </w:p>
        </w:tc>
        <w:tc>
          <w:tcPr>
            <w:tcW w:w="388"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43,392</w:t>
            </w:r>
          </w:p>
        </w:tc>
        <w:tc>
          <w:tcPr>
            <w:tcW w:w="282"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105,481</w:t>
            </w:r>
          </w:p>
        </w:tc>
        <w:tc>
          <w:tcPr>
            <w:tcW w:w="388"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88,420</w:t>
            </w:r>
          </w:p>
        </w:tc>
        <w:tc>
          <w:tcPr>
            <w:tcW w:w="292" w:type="dxa"/>
            <w:tcBorders/>
            <w:shd w:fill="CCEEFF" w:val="clear"/>
            <w:vAlign w:val="center"/>
          </w:tcPr>
          <w:p>
            <w:pPr>
              <w:pStyle w:val="TableContents"/>
              <w:bidi w:val="0"/>
              <w:spacing w:before="0" w:after="0"/>
              <w:ind w:left="0" w:right="0" w:hanging="0"/>
              <w:jc w:val="left"/>
              <w:rPr/>
            </w:pPr>
            <w:r>
              <w:rPr/>
              <w:t>​</w:t>
            </w:r>
          </w:p>
        </w:tc>
      </w:tr>
      <w:tr>
        <w:trPr/>
        <w:tc>
          <w:tcPr>
            <w:tcW w:w="452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127"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82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(5,008)</w:t>
            </w:r>
          </w:p>
        </w:tc>
        <w:tc>
          <w:tcPr>
            <w:tcW w:w="388"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(3,986)</w:t>
            </w:r>
          </w:p>
        </w:tc>
        <w:tc>
          <w:tcPr>
            <w:tcW w:w="282"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82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(10,891)</w:t>
            </w:r>
          </w:p>
        </w:tc>
        <w:tc>
          <w:tcPr>
            <w:tcW w:w="388"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82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(10,949)</w:t>
            </w:r>
          </w:p>
        </w:tc>
        <w:tc>
          <w:tcPr>
            <w:tcW w:w="292" w:type="dxa"/>
            <w:tcBorders/>
            <w:vAlign w:val="center"/>
          </w:tcPr>
          <w:p>
            <w:pPr>
              <w:pStyle w:val="TableContents"/>
              <w:bidi w:val="0"/>
              <w:spacing w:before="0" w:after="0"/>
              <w:ind w:left="0" w:right="0" w:hanging="0"/>
              <w:jc w:val="left"/>
              <w:rPr/>
            </w:pPr>
            <w:r>
              <w:rPr/>
              <w:t>​</w:t>
            </w:r>
          </w:p>
        </w:tc>
      </w:tr>
      <w:tr>
        <w:trPr/>
        <w:tc>
          <w:tcPr>
            <w:tcW w:w="4525"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Severance expense </w:t>
            </w:r>
            <w:r>
              <w:rPr>
                <w:rFonts w:ascii="Times New Roman;Times;serif" w:hAnsi="Times New Roman;Times;serif"/>
                <w:sz w:val="12"/>
              </w:rPr>
              <w:t>(1)</w:t>
            </w:r>
          </w:p>
        </w:tc>
        <w:tc>
          <w:tcPr>
            <w:tcW w:w="127"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(2,689)</w:t>
            </w:r>
          </w:p>
        </w:tc>
        <w:tc>
          <w:tcPr>
            <w:tcW w:w="388"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(317)</w:t>
            </w:r>
          </w:p>
        </w:tc>
        <w:tc>
          <w:tcPr>
            <w:tcW w:w="282"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(10,097)</w:t>
            </w:r>
          </w:p>
        </w:tc>
        <w:tc>
          <w:tcPr>
            <w:tcW w:w="388"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(774)</w:t>
            </w:r>
          </w:p>
        </w:tc>
        <w:tc>
          <w:tcPr>
            <w:tcW w:w="292" w:type="dxa"/>
            <w:tcBorders/>
            <w:shd w:fill="CCEEFF" w:val="clear"/>
            <w:vAlign w:val="center"/>
          </w:tcPr>
          <w:p>
            <w:pPr>
              <w:pStyle w:val="TableContents"/>
              <w:bidi w:val="0"/>
              <w:spacing w:before="0" w:after="0"/>
              <w:ind w:left="0" w:right="0" w:hanging="0"/>
              <w:jc w:val="left"/>
              <w:rPr/>
            </w:pPr>
            <w:r>
              <w:rPr/>
              <w:t>​</w:t>
            </w:r>
          </w:p>
        </w:tc>
      </w:tr>
      <w:tr>
        <w:trPr/>
        <w:tc>
          <w:tcPr>
            <w:tcW w:w="4525"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Acquisition-related retained employee compensation </w:t>
            </w:r>
            <w:r>
              <w:rPr>
                <w:rFonts w:ascii="Times New Roman;Times;serif" w:hAnsi="Times New Roman;Times;serif"/>
                <w:sz w:val="12"/>
              </w:rPr>
              <w:t>(2)</w:t>
            </w:r>
          </w:p>
        </w:tc>
        <w:tc>
          <w:tcPr>
            <w:tcW w:w="127"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2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(1,250)</w:t>
            </w:r>
          </w:p>
        </w:tc>
        <w:tc>
          <w:tcPr>
            <w:tcW w:w="388"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282"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2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(1,667)</w:t>
            </w:r>
          </w:p>
        </w:tc>
        <w:tc>
          <w:tcPr>
            <w:tcW w:w="388"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24" w:type="dxa"/>
            <w:tcBorders/>
            <w:vAlign w:val="center"/>
          </w:tcPr>
          <w:p>
            <w:pPr>
              <w:pStyle w:val="TableContents"/>
              <w:bidi w:val="0"/>
              <w:spacing w:before="0" w:after="0"/>
              <w:ind w:left="0" w:right="0" w:hanging="0"/>
              <w:jc w:val="right"/>
              <w:rPr/>
            </w:pPr>
            <w:r>
              <w:rPr/>
              <w:t>—</w:t>
            </w:r>
          </w:p>
        </w:tc>
        <w:tc>
          <w:tcPr>
            <w:tcW w:w="292" w:type="dxa"/>
            <w:tcBorders/>
            <w:vAlign w:val="center"/>
          </w:tcPr>
          <w:p>
            <w:pPr>
              <w:pStyle w:val="TableContents"/>
              <w:bidi w:val="0"/>
              <w:spacing w:before="0" w:after="0"/>
              <w:ind w:left="0" w:right="0" w:hanging="0"/>
              <w:jc w:val="left"/>
              <w:rPr/>
            </w:pPr>
            <w:r>
              <w:rPr/>
              <w:t>​</w:t>
            </w:r>
          </w:p>
        </w:tc>
      </w:tr>
      <w:tr>
        <w:trPr/>
        <w:tc>
          <w:tcPr>
            <w:tcW w:w="4525"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Transaction costs </w:t>
            </w:r>
            <w:r>
              <w:rPr>
                <w:rFonts w:ascii="Times New Roman;Times;serif" w:hAnsi="Times New Roman;Times;serif"/>
                <w:sz w:val="12"/>
              </w:rPr>
              <w:t>(3)</w:t>
            </w:r>
          </w:p>
        </w:tc>
        <w:tc>
          <w:tcPr>
            <w:tcW w:w="127"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(6,250)</w:t>
            </w:r>
          </w:p>
        </w:tc>
        <w:tc>
          <w:tcPr>
            <w:tcW w:w="388"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(8,800)</w:t>
            </w:r>
          </w:p>
        </w:tc>
        <w:tc>
          <w:tcPr>
            <w:tcW w:w="388"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24" w:type="dxa"/>
            <w:tcBorders/>
            <w:shd w:fill="CCEEFF" w:val="clear"/>
            <w:vAlign w:val="center"/>
          </w:tcPr>
          <w:p>
            <w:pPr>
              <w:pStyle w:val="TableContents"/>
              <w:bidi w:val="0"/>
              <w:spacing w:before="0" w:after="0"/>
              <w:ind w:left="0" w:right="0" w:hanging="0"/>
              <w:jc w:val="right"/>
              <w:rPr/>
            </w:pPr>
            <w:r>
              <w:rPr/>
              <w:t>—</w:t>
            </w:r>
          </w:p>
        </w:tc>
        <w:tc>
          <w:tcPr>
            <w:tcW w:w="292" w:type="dxa"/>
            <w:tcBorders/>
            <w:shd w:fill="CCEEFF" w:val="clear"/>
            <w:vAlign w:val="center"/>
          </w:tcPr>
          <w:p>
            <w:pPr>
              <w:pStyle w:val="TableContents"/>
              <w:bidi w:val="0"/>
              <w:spacing w:before="0" w:after="0"/>
              <w:ind w:left="0" w:right="0" w:hanging="0"/>
              <w:jc w:val="left"/>
              <w:rPr/>
            </w:pPr>
            <w:r>
              <w:rPr/>
              <w:t>​</w:t>
            </w:r>
          </w:p>
        </w:tc>
      </w:tr>
      <w:tr>
        <w:trPr/>
        <w:tc>
          <w:tcPr>
            <w:tcW w:w="452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cloud computing implementation costs – general and administrative expense</w:t>
            </w:r>
          </w:p>
        </w:tc>
        <w:tc>
          <w:tcPr>
            <w:tcW w:w="127"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(1,358)</w:t>
            </w:r>
          </w:p>
        </w:tc>
        <w:tc>
          <w:tcPr>
            <w:tcW w:w="388"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(1,018)</w:t>
            </w:r>
          </w:p>
        </w:tc>
        <w:tc>
          <w:tcPr>
            <w:tcW w:w="282"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(2,395)</w:t>
            </w:r>
          </w:p>
        </w:tc>
        <w:tc>
          <w:tcPr>
            <w:tcW w:w="388"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(2,024)</w:t>
            </w:r>
          </w:p>
        </w:tc>
        <w:tc>
          <w:tcPr>
            <w:tcW w:w="292" w:type="dxa"/>
            <w:tcBorders/>
            <w:vAlign w:val="center"/>
          </w:tcPr>
          <w:p>
            <w:pPr>
              <w:pStyle w:val="TableContents"/>
              <w:bidi w:val="0"/>
              <w:spacing w:before="0" w:after="0"/>
              <w:ind w:left="0" w:right="0" w:hanging="0"/>
              <w:jc w:val="left"/>
              <w:rPr/>
            </w:pPr>
            <w:r>
              <w:rPr/>
              <w:t>​</w:t>
            </w:r>
          </w:p>
        </w:tc>
      </w:tr>
      <w:tr>
        <w:trPr/>
        <w:tc>
          <w:tcPr>
            <w:tcW w:w="4525"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Non-GAAP general and administrative expense</w:t>
            </w:r>
          </w:p>
        </w:tc>
        <w:tc>
          <w:tcPr>
            <w:tcW w:w="127"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34,587</w:t>
            </w:r>
          </w:p>
        </w:tc>
        <w:tc>
          <w:tcPr>
            <w:tcW w:w="388"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38,071</w:t>
            </w:r>
          </w:p>
        </w:tc>
        <w:tc>
          <w:tcPr>
            <w:tcW w:w="282"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71,631</w:t>
            </w:r>
          </w:p>
        </w:tc>
        <w:tc>
          <w:tcPr>
            <w:tcW w:w="388"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74,673</w:t>
            </w:r>
          </w:p>
        </w:tc>
        <w:tc>
          <w:tcPr>
            <w:tcW w:w="292" w:type="dxa"/>
            <w:tcBorders/>
            <w:shd w:fill="CCEEFF" w:val="clear"/>
            <w:vAlign w:val="center"/>
          </w:tcPr>
          <w:p>
            <w:pPr>
              <w:pStyle w:val="TableContents"/>
              <w:bidi w:val="0"/>
              <w:spacing w:before="0" w:after="0"/>
              <w:ind w:left="0" w:right="0" w:hanging="0"/>
              <w:jc w:val="left"/>
              <w:rPr/>
            </w:pPr>
            <w:r>
              <w:rPr/>
              <w:t>​</w:t>
            </w:r>
          </w:p>
        </w:tc>
      </w:tr>
      <w:tr>
        <w:trPr/>
        <w:tc>
          <w:tcPr>
            <w:tcW w:w="4525" w:type="dxa"/>
            <w:tcBorders/>
            <w:vAlign w:val="center"/>
          </w:tcPr>
          <w:p>
            <w:pPr>
              <w:pStyle w:val="TableContents"/>
              <w:bidi w:val="0"/>
              <w:spacing w:before="0" w:after="0"/>
              <w:ind w:left="0" w:right="0" w:hanging="0"/>
              <w:jc w:val="left"/>
              <w:rPr/>
            </w:pPr>
            <w:r>
              <w:rPr/>
              <w:t>​</w:t>
            </w:r>
          </w:p>
        </w:tc>
        <w:tc>
          <w:tcPr>
            <w:tcW w:w="127"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24" w:type="dxa"/>
            <w:tcBorders/>
            <w:vAlign w:val="center"/>
          </w:tcPr>
          <w:p>
            <w:pPr>
              <w:pStyle w:val="TableContents"/>
              <w:bidi w:val="0"/>
              <w:spacing w:before="0" w:after="0"/>
              <w:ind w:left="0" w:right="0" w:hanging="0"/>
              <w:jc w:val="left"/>
              <w:rPr/>
            </w:pPr>
            <w:r>
              <w:rPr/>
              <w:t>​</w:t>
            </w:r>
          </w:p>
        </w:tc>
        <w:tc>
          <w:tcPr>
            <w:tcW w:w="388"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24" w:type="dxa"/>
            <w:tcBorders/>
            <w:vAlign w:val="center"/>
          </w:tcPr>
          <w:p>
            <w:pPr>
              <w:pStyle w:val="TableContents"/>
              <w:bidi w:val="0"/>
              <w:spacing w:before="0" w:after="0"/>
              <w:ind w:left="0" w:right="0" w:hanging="0"/>
              <w:jc w:val="left"/>
              <w:rPr/>
            </w:pPr>
            <w:r>
              <w:rPr/>
              <w:t>​</w:t>
            </w:r>
          </w:p>
        </w:tc>
        <w:tc>
          <w:tcPr>
            <w:tcW w:w="388"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24"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r>
      <w:tr>
        <w:trPr/>
        <w:tc>
          <w:tcPr>
            <w:tcW w:w="4525"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Non-GAAP Operating Income:</w:t>
            </w:r>
          </w:p>
        </w:tc>
        <w:tc>
          <w:tcPr>
            <w:tcW w:w="127"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824" w:type="dxa"/>
            <w:tcBorders/>
            <w:vAlign w:val="center"/>
          </w:tcPr>
          <w:p>
            <w:pPr>
              <w:pStyle w:val="TableContents"/>
              <w:bidi w:val="0"/>
              <w:spacing w:before="0" w:after="0"/>
              <w:ind w:left="0" w:right="0" w:hanging="0"/>
              <w:jc w:val="right"/>
              <w:rPr/>
            </w:pPr>
            <w:r>
              <w:rPr/>
              <w:t>  ​</w:t>
            </w:r>
          </w:p>
        </w:tc>
        <w:tc>
          <w:tcPr>
            <w:tcW w:w="388"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  ​</w:t>
            </w:r>
          </w:p>
        </w:tc>
        <w:tc>
          <w:tcPr>
            <w:tcW w:w="282"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824" w:type="dxa"/>
            <w:tcBorders/>
            <w:vAlign w:val="center"/>
          </w:tcPr>
          <w:p>
            <w:pPr>
              <w:pStyle w:val="TableContents"/>
              <w:bidi w:val="0"/>
              <w:spacing w:before="0" w:after="0"/>
              <w:ind w:left="0" w:right="0" w:hanging="0"/>
              <w:jc w:val="right"/>
              <w:rPr/>
            </w:pPr>
            <w:r>
              <w:rPr/>
              <w:t>  ​</w:t>
            </w:r>
          </w:p>
        </w:tc>
        <w:tc>
          <w:tcPr>
            <w:tcW w:w="388"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824" w:type="dxa"/>
            <w:tcBorders/>
            <w:vAlign w:val="center"/>
          </w:tcPr>
          <w:p>
            <w:pPr>
              <w:pStyle w:val="TableContents"/>
              <w:bidi w:val="0"/>
              <w:spacing w:before="0" w:after="0"/>
              <w:ind w:left="0" w:right="0" w:hanging="0"/>
              <w:jc w:val="right"/>
              <w:rPr/>
            </w:pPr>
            <w:r>
              <w:rPr/>
              <w:t>  ​</w:t>
            </w:r>
          </w:p>
        </w:tc>
        <w:tc>
          <w:tcPr>
            <w:tcW w:w="292" w:type="dxa"/>
            <w:tcBorders/>
            <w:vAlign w:val="center"/>
          </w:tcPr>
          <w:p>
            <w:pPr>
              <w:pStyle w:val="TableContents"/>
              <w:bidi w:val="0"/>
              <w:spacing w:before="0" w:after="0"/>
              <w:ind w:left="0" w:right="0" w:hanging="0"/>
              <w:jc w:val="left"/>
              <w:rPr/>
            </w:pPr>
            <w:r>
              <w:rPr/>
              <w:t>​</w:t>
            </w:r>
          </w:p>
        </w:tc>
      </w:tr>
      <w:tr>
        <w:trPr/>
        <w:tc>
          <w:tcPr>
            <w:tcW w:w="4525"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Income (loss) from operations</w:t>
            </w:r>
          </w:p>
        </w:tc>
        <w:tc>
          <w:tcPr>
            <w:tcW w:w="127"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(4,443)</w:t>
            </w:r>
          </w:p>
        </w:tc>
        <w:tc>
          <w:tcPr>
            <w:tcW w:w="388"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(3,864)</w:t>
            </w:r>
          </w:p>
        </w:tc>
        <w:tc>
          <w:tcPr>
            <w:tcW w:w="282"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(15,049)</w:t>
            </w:r>
          </w:p>
        </w:tc>
        <w:tc>
          <w:tcPr>
            <w:tcW w:w="388"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622</w:t>
            </w:r>
          </w:p>
        </w:tc>
        <w:tc>
          <w:tcPr>
            <w:tcW w:w="292" w:type="dxa"/>
            <w:tcBorders/>
            <w:shd w:fill="CCEEFF" w:val="clear"/>
            <w:vAlign w:val="center"/>
          </w:tcPr>
          <w:p>
            <w:pPr>
              <w:pStyle w:val="TableContents"/>
              <w:bidi w:val="0"/>
              <w:spacing w:before="0" w:after="0"/>
              <w:ind w:left="0" w:right="0" w:hanging="0"/>
              <w:jc w:val="left"/>
              <w:rPr/>
            </w:pPr>
            <w:r>
              <w:rPr/>
              <w:t>​</w:t>
            </w:r>
          </w:p>
        </w:tc>
      </w:tr>
      <w:tr>
        <w:trPr/>
        <w:tc>
          <w:tcPr>
            <w:tcW w:w="452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127"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82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13,762</w:t>
            </w:r>
          </w:p>
        </w:tc>
        <w:tc>
          <w:tcPr>
            <w:tcW w:w="388"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11,990</w:t>
            </w:r>
          </w:p>
        </w:tc>
        <w:tc>
          <w:tcPr>
            <w:tcW w:w="282"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82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32,270</w:t>
            </w:r>
          </w:p>
        </w:tc>
        <w:tc>
          <w:tcPr>
            <w:tcW w:w="388"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82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33,034</w:t>
            </w:r>
          </w:p>
        </w:tc>
        <w:tc>
          <w:tcPr>
            <w:tcW w:w="292" w:type="dxa"/>
            <w:tcBorders/>
            <w:vAlign w:val="center"/>
          </w:tcPr>
          <w:p>
            <w:pPr>
              <w:pStyle w:val="TableContents"/>
              <w:bidi w:val="0"/>
              <w:spacing w:before="0" w:after="0"/>
              <w:ind w:left="0" w:right="0" w:hanging="0"/>
              <w:jc w:val="left"/>
              <w:rPr/>
            </w:pPr>
            <w:r>
              <w:rPr/>
              <w:t>​</w:t>
            </w:r>
          </w:p>
        </w:tc>
      </w:tr>
      <w:tr>
        <w:trPr/>
        <w:tc>
          <w:tcPr>
            <w:tcW w:w="452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 of capitalized software and acquired intangible assets – cost of subscription revenues</w:t>
            </w:r>
          </w:p>
        </w:tc>
        <w:tc>
          <w:tcPr>
            <w:tcW w:w="127"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 </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21,882</w:t>
            </w:r>
          </w:p>
        </w:tc>
        <w:tc>
          <w:tcPr>
            <w:tcW w:w="388"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16,670</w:t>
            </w:r>
          </w:p>
        </w:tc>
        <w:tc>
          <w:tcPr>
            <w:tcW w:w="282"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 </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41,968</w:t>
            </w:r>
          </w:p>
        </w:tc>
        <w:tc>
          <w:tcPr>
            <w:tcW w:w="388"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 </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32,525</w:t>
            </w:r>
          </w:p>
        </w:tc>
        <w:tc>
          <w:tcPr>
            <w:tcW w:w="292" w:type="dxa"/>
            <w:tcBorders/>
            <w:shd w:fill="CCEEFF" w:val="clear"/>
            <w:vAlign w:val="center"/>
          </w:tcPr>
          <w:p>
            <w:pPr>
              <w:pStyle w:val="TableContents"/>
              <w:bidi w:val="0"/>
              <w:spacing w:before="0" w:after="0"/>
              <w:ind w:left="0" w:right="0" w:hanging="0"/>
              <w:jc w:val="left"/>
              <w:rPr/>
            </w:pPr>
            <w:r>
              <w:rPr/>
              <w:t>​</w:t>
            </w:r>
          </w:p>
        </w:tc>
      </w:tr>
      <w:tr>
        <w:trPr/>
        <w:tc>
          <w:tcPr>
            <w:tcW w:w="452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acquired intangible assets – selling and marketing expense</w:t>
            </w:r>
          </w:p>
        </w:tc>
        <w:tc>
          <w:tcPr>
            <w:tcW w:w="127"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2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522</w:t>
            </w:r>
          </w:p>
        </w:tc>
        <w:tc>
          <w:tcPr>
            <w:tcW w:w="388"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571</w:t>
            </w:r>
          </w:p>
        </w:tc>
        <w:tc>
          <w:tcPr>
            <w:tcW w:w="282"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2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1,047</w:t>
            </w:r>
          </w:p>
        </w:tc>
        <w:tc>
          <w:tcPr>
            <w:tcW w:w="388"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82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1,102</w:t>
            </w:r>
          </w:p>
        </w:tc>
        <w:tc>
          <w:tcPr>
            <w:tcW w:w="292" w:type="dxa"/>
            <w:tcBorders/>
            <w:vAlign w:val="center"/>
          </w:tcPr>
          <w:p>
            <w:pPr>
              <w:pStyle w:val="TableContents"/>
              <w:bidi w:val="0"/>
              <w:spacing w:before="0" w:after="0"/>
              <w:ind w:left="0" w:right="0" w:hanging="0"/>
              <w:jc w:val="left"/>
              <w:rPr/>
            </w:pPr>
            <w:r>
              <w:rPr/>
              <w:t>​</w:t>
            </w:r>
          </w:p>
        </w:tc>
      </w:tr>
      <w:tr>
        <w:trPr/>
        <w:tc>
          <w:tcPr>
            <w:tcW w:w="452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cloud computing implementation costs – general and administrative expense</w:t>
            </w:r>
          </w:p>
        </w:tc>
        <w:tc>
          <w:tcPr>
            <w:tcW w:w="127"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1,358</w:t>
            </w:r>
          </w:p>
        </w:tc>
        <w:tc>
          <w:tcPr>
            <w:tcW w:w="388"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1,018</w:t>
            </w:r>
          </w:p>
        </w:tc>
        <w:tc>
          <w:tcPr>
            <w:tcW w:w="282"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2,395</w:t>
            </w:r>
          </w:p>
        </w:tc>
        <w:tc>
          <w:tcPr>
            <w:tcW w:w="388"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2,024</w:t>
            </w:r>
          </w:p>
        </w:tc>
        <w:tc>
          <w:tcPr>
            <w:tcW w:w="292" w:type="dxa"/>
            <w:tcBorders/>
            <w:shd w:fill="CCEEFF" w:val="clear"/>
            <w:vAlign w:val="center"/>
          </w:tcPr>
          <w:p>
            <w:pPr>
              <w:pStyle w:val="TableContents"/>
              <w:bidi w:val="0"/>
              <w:spacing w:before="0" w:after="0"/>
              <w:ind w:left="0" w:right="0" w:hanging="0"/>
              <w:jc w:val="left"/>
              <w:rPr/>
            </w:pPr>
            <w:r>
              <w:rPr/>
              <w:t>​</w:t>
            </w:r>
          </w:p>
        </w:tc>
      </w:tr>
      <w:tr>
        <w:trPr/>
        <w:tc>
          <w:tcPr>
            <w:tcW w:w="4525"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Severance expense </w:t>
            </w:r>
            <w:r>
              <w:rPr>
                <w:rFonts w:ascii="Times New Roman;Times;serif" w:hAnsi="Times New Roman;Times;serif"/>
                <w:sz w:val="12"/>
              </w:rPr>
              <w:t>(1)</w:t>
            </w:r>
          </w:p>
        </w:tc>
        <w:tc>
          <w:tcPr>
            <w:tcW w:w="127"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2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2,689</w:t>
            </w:r>
          </w:p>
        </w:tc>
        <w:tc>
          <w:tcPr>
            <w:tcW w:w="388"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317</w:t>
            </w:r>
          </w:p>
        </w:tc>
        <w:tc>
          <w:tcPr>
            <w:tcW w:w="282"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2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10,097</w:t>
            </w:r>
          </w:p>
        </w:tc>
        <w:tc>
          <w:tcPr>
            <w:tcW w:w="388"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2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774</w:t>
            </w:r>
          </w:p>
        </w:tc>
        <w:tc>
          <w:tcPr>
            <w:tcW w:w="292" w:type="dxa"/>
            <w:tcBorders/>
            <w:vAlign w:val="center"/>
          </w:tcPr>
          <w:p>
            <w:pPr>
              <w:pStyle w:val="TableContents"/>
              <w:bidi w:val="0"/>
              <w:spacing w:before="0" w:after="0"/>
              <w:ind w:left="0" w:right="0" w:hanging="0"/>
              <w:jc w:val="left"/>
              <w:rPr/>
            </w:pPr>
            <w:r>
              <w:rPr/>
              <w:t>​</w:t>
            </w:r>
          </w:p>
        </w:tc>
      </w:tr>
      <w:tr>
        <w:trPr/>
        <w:tc>
          <w:tcPr>
            <w:tcW w:w="452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Acquisition contingent consideration</w:t>
            </w:r>
          </w:p>
        </w:tc>
        <w:tc>
          <w:tcPr>
            <w:tcW w:w="127"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24" w:type="dxa"/>
            <w:tcBorders/>
            <w:shd w:fill="CCEEFF" w:val="clear"/>
            <w:vAlign w:val="center"/>
          </w:tcPr>
          <w:p>
            <w:pPr>
              <w:pStyle w:val="TableContents"/>
              <w:bidi w:val="0"/>
              <w:spacing w:before="0" w:after="0"/>
              <w:ind w:left="0" w:right="0" w:hanging="0"/>
              <w:jc w:val="right"/>
              <w:rPr/>
            </w:pPr>
            <w:r>
              <w:rPr/>
              <w:t>—</w:t>
            </w:r>
          </w:p>
        </w:tc>
        <w:tc>
          <w:tcPr>
            <w:tcW w:w="388"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200</w:t>
            </w:r>
          </w:p>
        </w:tc>
        <w:tc>
          <w:tcPr>
            <w:tcW w:w="282"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24" w:type="dxa"/>
            <w:tcBorders/>
            <w:shd w:fill="CCEEFF" w:val="clear"/>
            <w:vAlign w:val="center"/>
          </w:tcPr>
          <w:p>
            <w:pPr>
              <w:pStyle w:val="TableContents"/>
              <w:bidi w:val="0"/>
              <w:spacing w:before="0" w:after="0"/>
              <w:ind w:left="0" w:right="0" w:hanging="0"/>
              <w:jc w:val="right"/>
              <w:rPr/>
            </w:pPr>
            <w:r>
              <w:rPr/>
              <w:t>—</w:t>
            </w:r>
          </w:p>
        </w:tc>
        <w:tc>
          <w:tcPr>
            <w:tcW w:w="388"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200</w:t>
            </w:r>
          </w:p>
        </w:tc>
        <w:tc>
          <w:tcPr>
            <w:tcW w:w="292" w:type="dxa"/>
            <w:tcBorders/>
            <w:shd w:fill="CCEEFF" w:val="clear"/>
            <w:vAlign w:val="center"/>
          </w:tcPr>
          <w:p>
            <w:pPr>
              <w:pStyle w:val="TableContents"/>
              <w:bidi w:val="0"/>
              <w:spacing w:before="0" w:after="0"/>
              <w:ind w:left="0" w:right="0" w:hanging="0"/>
              <w:jc w:val="left"/>
              <w:rPr/>
            </w:pPr>
            <w:r>
              <w:rPr/>
              <w:t>​</w:t>
            </w:r>
          </w:p>
        </w:tc>
      </w:tr>
      <w:tr>
        <w:trPr/>
        <w:tc>
          <w:tcPr>
            <w:tcW w:w="452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 in fair value of acquisition contingent earn-outs</w:t>
            </w:r>
          </w:p>
        </w:tc>
        <w:tc>
          <w:tcPr>
            <w:tcW w:w="127"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2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w:t>
            </w:r>
          </w:p>
        </w:tc>
        <w:tc>
          <w:tcPr>
            <w:tcW w:w="388"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2,300</w:t>
            </w:r>
          </w:p>
        </w:tc>
        <w:tc>
          <w:tcPr>
            <w:tcW w:w="282"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2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(5,838)</w:t>
            </w:r>
          </w:p>
        </w:tc>
        <w:tc>
          <w:tcPr>
            <w:tcW w:w="388"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2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(12,400)</w:t>
            </w:r>
          </w:p>
        </w:tc>
        <w:tc>
          <w:tcPr>
            <w:tcW w:w="292" w:type="dxa"/>
            <w:tcBorders/>
            <w:vAlign w:val="center"/>
          </w:tcPr>
          <w:p>
            <w:pPr>
              <w:pStyle w:val="TableContents"/>
              <w:bidi w:val="0"/>
              <w:spacing w:before="0" w:after="0"/>
              <w:ind w:left="0" w:right="0" w:hanging="0"/>
              <w:jc w:val="left"/>
              <w:rPr/>
            </w:pPr>
            <w:r>
              <w:rPr/>
              <w:t>​</w:t>
            </w:r>
          </w:p>
        </w:tc>
      </w:tr>
      <w:tr>
        <w:trPr/>
        <w:tc>
          <w:tcPr>
            <w:tcW w:w="4525"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Acquisition-related retained employee compensation </w:t>
            </w:r>
            <w:r>
              <w:rPr>
                <w:rFonts w:ascii="Times New Roman;Times;serif" w:hAnsi="Times New Roman;Times;serif"/>
                <w:sz w:val="12"/>
              </w:rPr>
              <w:t>(2)</w:t>
            </w:r>
          </w:p>
        </w:tc>
        <w:tc>
          <w:tcPr>
            <w:tcW w:w="127"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1,250</w:t>
            </w:r>
          </w:p>
        </w:tc>
        <w:tc>
          <w:tcPr>
            <w:tcW w:w="388"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1,667</w:t>
            </w:r>
          </w:p>
        </w:tc>
        <w:tc>
          <w:tcPr>
            <w:tcW w:w="388"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24" w:type="dxa"/>
            <w:tcBorders/>
            <w:shd w:fill="CCEEFF" w:val="clear"/>
            <w:vAlign w:val="center"/>
          </w:tcPr>
          <w:p>
            <w:pPr>
              <w:pStyle w:val="TableContents"/>
              <w:bidi w:val="0"/>
              <w:spacing w:before="0" w:after="0"/>
              <w:ind w:left="0" w:right="0" w:hanging="0"/>
              <w:jc w:val="right"/>
              <w:rPr/>
            </w:pPr>
            <w:r>
              <w:rPr/>
              <w:t>—</w:t>
            </w:r>
          </w:p>
        </w:tc>
        <w:tc>
          <w:tcPr>
            <w:tcW w:w="292" w:type="dxa"/>
            <w:tcBorders/>
            <w:shd w:fill="CCEEFF" w:val="clear"/>
            <w:vAlign w:val="center"/>
          </w:tcPr>
          <w:p>
            <w:pPr>
              <w:pStyle w:val="TableContents"/>
              <w:bidi w:val="0"/>
              <w:spacing w:before="0" w:after="0"/>
              <w:ind w:left="0" w:right="0" w:hanging="0"/>
              <w:jc w:val="left"/>
              <w:rPr/>
            </w:pPr>
            <w:r>
              <w:rPr/>
              <w:t>​</w:t>
            </w:r>
          </w:p>
        </w:tc>
      </w:tr>
      <w:tr>
        <w:trPr/>
        <w:tc>
          <w:tcPr>
            <w:tcW w:w="4525"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Transaction costs </w:t>
            </w:r>
            <w:r>
              <w:rPr>
                <w:rFonts w:ascii="Times New Roman;Times;serif" w:hAnsi="Times New Roman;Times;serif"/>
                <w:sz w:val="12"/>
              </w:rPr>
              <w:t>(3)</w:t>
            </w:r>
            <w:r>
              <w:rPr>
                <w:rFonts w:ascii="Times New Roman;Times;serif" w:hAnsi="Times New Roman;Times;serif"/>
                <w:sz w:val="16"/>
              </w:rPr>
              <w:t xml:space="preserve"> </w:t>
            </w:r>
          </w:p>
        </w:tc>
        <w:tc>
          <w:tcPr>
            <w:tcW w:w="127"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7,375</w:t>
            </w:r>
          </w:p>
        </w:tc>
        <w:tc>
          <w:tcPr>
            <w:tcW w:w="388"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2,980</w:t>
            </w:r>
          </w:p>
        </w:tc>
        <w:tc>
          <w:tcPr>
            <w:tcW w:w="282"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13,359</w:t>
            </w:r>
          </w:p>
        </w:tc>
        <w:tc>
          <w:tcPr>
            <w:tcW w:w="388"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5,640</w:t>
            </w:r>
          </w:p>
        </w:tc>
        <w:tc>
          <w:tcPr>
            <w:tcW w:w="292" w:type="dxa"/>
            <w:tcBorders/>
            <w:vAlign w:val="center"/>
          </w:tcPr>
          <w:p>
            <w:pPr>
              <w:pStyle w:val="TableContents"/>
              <w:bidi w:val="0"/>
              <w:spacing w:before="0" w:after="0"/>
              <w:ind w:left="0" w:right="0" w:hanging="0"/>
              <w:jc w:val="left"/>
              <w:rPr/>
            </w:pPr>
            <w:r>
              <w:rPr/>
              <w:t>​</w:t>
            </w:r>
          </w:p>
        </w:tc>
      </w:tr>
      <w:tr>
        <w:trPr/>
        <w:tc>
          <w:tcPr>
            <w:tcW w:w="4525"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Non-GAAP operating income</w:t>
            </w:r>
          </w:p>
        </w:tc>
        <w:tc>
          <w:tcPr>
            <w:tcW w:w="127"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44,295</w:t>
            </w:r>
          </w:p>
        </w:tc>
        <w:tc>
          <w:tcPr>
            <w:tcW w:w="388"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32,182</w:t>
            </w:r>
          </w:p>
        </w:tc>
        <w:tc>
          <w:tcPr>
            <w:tcW w:w="282"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81,916</w:t>
            </w:r>
          </w:p>
        </w:tc>
        <w:tc>
          <w:tcPr>
            <w:tcW w:w="388"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63,521</w:t>
            </w:r>
          </w:p>
        </w:tc>
        <w:tc>
          <w:tcPr>
            <w:tcW w:w="292" w:type="dxa"/>
            <w:tcBorders/>
            <w:shd w:fill="CCEEFF" w:val="clear"/>
            <w:vAlign w:val="center"/>
          </w:tcPr>
          <w:p>
            <w:pPr>
              <w:pStyle w:val="TableContents"/>
              <w:bidi w:val="0"/>
              <w:spacing w:before="0" w:after="0"/>
              <w:ind w:left="0" w:right="0" w:hanging="0"/>
              <w:jc w:val="left"/>
              <w:rPr/>
            </w:pPr>
            <w:r>
              <w:rPr/>
              <w:t>​</w:t>
            </w:r>
          </w:p>
        </w:tc>
      </w:tr>
      <w:tr>
        <w:trPr/>
        <w:tc>
          <w:tcPr>
            <w:tcW w:w="4525" w:type="dxa"/>
            <w:tcBorders/>
            <w:vAlign w:val="center"/>
          </w:tcPr>
          <w:p>
            <w:pPr>
              <w:pStyle w:val="TableContents"/>
              <w:bidi w:val="0"/>
              <w:spacing w:before="0" w:after="0"/>
              <w:ind w:left="0" w:right="0" w:hanging="0"/>
              <w:jc w:val="left"/>
              <w:rPr/>
            </w:pPr>
            <w:r>
              <w:rPr/>
              <w:t>​</w:t>
            </w:r>
          </w:p>
        </w:tc>
        <w:tc>
          <w:tcPr>
            <w:tcW w:w="127"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24" w:type="dxa"/>
            <w:tcBorders/>
            <w:vAlign w:val="center"/>
          </w:tcPr>
          <w:p>
            <w:pPr>
              <w:pStyle w:val="TableContents"/>
              <w:bidi w:val="0"/>
              <w:spacing w:before="0" w:after="0"/>
              <w:ind w:left="0" w:right="0" w:hanging="0"/>
              <w:jc w:val="center"/>
              <w:rPr/>
            </w:pPr>
            <w:r>
              <w:rPr/>
              <w:t>​</w:t>
            </w:r>
          </w:p>
        </w:tc>
        <w:tc>
          <w:tcPr>
            <w:tcW w:w="388" w:type="dxa"/>
            <w:tcBorders/>
            <w:vAlign w:val="center"/>
          </w:tcPr>
          <w:p>
            <w:pPr>
              <w:pStyle w:val="TableContents"/>
              <w:bidi w:val="0"/>
              <w:spacing w:before="0" w:after="0"/>
              <w:ind w:left="0" w:right="0" w:hanging="0"/>
              <w:jc w:val="center"/>
              <w:rPr/>
            </w:pPr>
            <w:r>
              <w:rPr/>
              <w:t>​</w:t>
            </w:r>
          </w:p>
        </w:tc>
        <w:tc>
          <w:tcPr>
            <w:tcW w:w="230"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center"/>
              <w:rPr/>
            </w:pPr>
            <w:r>
              <w:rPr/>
              <w:t>​</w:t>
            </w:r>
          </w:p>
        </w:tc>
        <w:tc>
          <w:tcPr>
            <w:tcW w:w="282" w:type="dxa"/>
            <w:tcBorders/>
            <w:vAlign w:val="center"/>
          </w:tcPr>
          <w:p>
            <w:pPr>
              <w:pStyle w:val="TableContents"/>
              <w:bidi w:val="0"/>
              <w:spacing w:before="0" w:after="0"/>
              <w:ind w:left="0" w:right="0" w:hanging="0"/>
              <w:jc w:val="center"/>
              <w:rPr/>
            </w:pPr>
            <w:r>
              <w:rPr/>
              <w:t>​</w:t>
            </w:r>
          </w:p>
        </w:tc>
        <w:tc>
          <w:tcPr>
            <w:tcW w:w="230" w:type="dxa"/>
            <w:tcBorders/>
            <w:vAlign w:val="center"/>
          </w:tcPr>
          <w:p>
            <w:pPr>
              <w:pStyle w:val="TableContents"/>
              <w:bidi w:val="0"/>
              <w:spacing w:before="0" w:after="0"/>
              <w:ind w:left="0" w:right="0" w:hanging="0"/>
              <w:jc w:val="left"/>
              <w:rPr/>
            </w:pPr>
            <w:r>
              <w:rPr/>
              <w:t>​</w:t>
            </w:r>
          </w:p>
        </w:tc>
        <w:tc>
          <w:tcPr>
            <w:tcW w:w="824" w:type="dxa"/>
            <w:tcBorders/>
            <w:vAlign w:val="center"/>
          </w:tcPr>
          <w:p>
            <w:pPr>
              <w:pStyle w:val="TableContents"/>
              <w:bidi w:val="0"/>
              <w:spacing w:before="0" w:after="0"/>
              <w:ind w:left="0" w:right="0" w:hanging="0"/>
              <w:jc w:val="center"/>
              <w:rPr/>
            </w:pPr>
            <w:r>
              <w:rPr/>
              <w:t>​</w:t>
            </w:r>
          </w:p>
        </w:tc>
        <w:tc>
          <w:tcPr>
            <w:tcW w:w="388" w:type="dxa"/>
            <w:tcBorders/>
            <w:vAlign w:val="center"/>
          </w:tcPr>
          <w:p>
            <w:pPr>
              <w:pStyle w:val="TableContents"/>
              <w:bidi w:val="0"/>
              <w:spacing w:before="0" w:after="0"/>
              <w:ind w:left="0" w:right="0" w:hanging="0"/>
              <w:jc w:val="center"/>
              <w:rPr/>
            </w:pPr>
            <w:r>
              <w:rPr/>
              <w:t>​</w:t>
            </w:r>
          </w:p>
        </w:tc>
        <w:tc>
          <w:tcPr>
            <w:tcW w:w="230" w:type="dxa"/>
            <w:tcBorders/>
            <w:vAlign w:val="center"/>
          </w:tcPr>
          <w:p>
            <w:pPr>
              <w:pStyle w:val="TableContents"/>
              <w:bidi w:val="0"/>
              <w:spacing w:before="0" w:after="0"/>
              <w:ind w:left="0" w:right="0" w:hanging="0"/>
              <w:jc w:val="left"/>
              <w:rPr/>
            </w:pPr>
            <w:r>
              <w:rPr/>
              <w:t>​</w:t>
            </w:r>
          </w:p>
        </w:tc>
        <w:tc>
          <w:tcPr>
            <w:tcW w:w="824" w:type="dxa"/>
            <w:tcBorders/>
            <w:vAlign w:val="center"/>
          </w:tcPr>
          <w:p>
            <w:pPr>
              <w:pStyle w:val="TableContents"/>
              <w:bidi w:val="0"/>
              <w:spacing w:before="0" w:after="0"/>
              <w:ind w:left="0" w:right="0" w:hanging="0"/>
              <w:jc w:val="center"/>
              <w:rPr/>
            </w:pPr>
            <w:r>
              <w:rPr/>
              <w:t>​</w:t>
            </w:r>
          </w:p>
        </w:tc>
        <w:tc>
          <w:tcPr>
            <w:tcW w:w="292" w:type="dxa"/>
            <w:tcBorders/>
            <w:vAlign w:val="center"/>
          </w:tcPr>
          <w:p>
            <w:pPr>
              <w:pStyle w:val="TableContents"/>
              <w:bidi w:val="0"/>
              <w:spacing w:before="0" w:after="0"/>
              <w:ind w:left="0" w:right="0" w:hanging="0"/>
              <w:jc w:val="center"/>
              <w:rPr/>
            </w:pPr>
            <w:r>
              <w:rPr/>
              <w:t>​</w:t>
            </w:r>
          </w:p>
        </w:tc>
      </w:tr>
      <w:tr>
        <w:trPr/>
        <w:tc>
          <w:tcPr>
            <w:tcW w:w="4525"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Non-GAAP Net Income:</w:t>
            </w:r>
          </w:p>
        </w:tc>
        <w:tc>
          <w:tcPr>
            <w:tcW w:w="127"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824" w:type="dxa"/>
            <w:tcBorders/>
            <w:vAlign w:val="center"/>
          </w:tcPr>
          <w:p>
            <w:pPr>
              <w:pStyle w:val="TableContents"/>
              <w:bidi w:val="0"/>
              <w:spacing w:before="0" w:after="0"/>
              <w:ind w:left="0" w:right="0" w:hanging="0"/>
              <w:jc w:val="right"/>
              <w:rPr/>
            </w:pPr>
            <w:r>
              <w:rPr/>
              <w:t>  ​</w:t>
            </w:r>
          </w:p>
        </w:tc>
        <w:tc>
          <w:tcPr>
            <w:tcW w:w="388"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w:t>
            </w:r>
          </w:p>
        </w:tc>
        <w:tc>
          <w:tcPr>
            <w:tcW w:w="282"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824" w:type="dxa"/>
            <w:tcBorders/>
            <w:vAlign w:val="center"/>
          </w:tcPr>
          <w:p>
            <w:pPr>
              <w:pStyle w:val="TableContents"/>
              <w:bidi w:val="0"/>
              <w:spacing w:before="0" w:after="0"/>
              <w:ind w:left="0" w:right="0" w:hanging="0"/>
              <w:jc w:val="right"/>
              <w:rPr/>
            </w:pPr>
            <w:r>
              <w:rPr/>
              <w:t>  ​</w:t>
            </w:r>
          </w:p>
        </w:tc>
        <w:tc>
          <w:tcPr>
            <w:tcW w:w="388"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824" w:type="dxa"/>
            <w:tcBorders/>
            <w:vAlign w:val="center"/>
          </w:tcPr>
          <w:p>
            <w:pPr>
              <w:pStyle w:val="TableContents"/>
              <w:bidi w:val="0"/>
              <w:spacing w:before="0" w:after="0"/>
              <w:ind w:left="0" w:right="0" w:hanging="0"/>
              <w:jc w:val="right"/>
              <w:rPr/>
            </w:pPr>
            <w:r>
              <w:rPr/>
              <w:t>​</w:t>
            </w:r>
          </w:p>
        </w:tc>
        <w:tc>
          <w:tcPr>
            <w:tcW w:w="292" w:type="dxa"/>
            <w:tcBorders/>
            <w:vAlign w:val="center"/>
          </w:tcPr>
          <w:p>
            <w:pPr>
              <w:pStyle w:val="TableContents"/>
              <w:bidi w:val="0"/>
              <w:spacing w:before="0" w:after="0"/>
              <w:ind w:left="0" w:right="0" w:hanging="0"/>
              <w:jc w:val="left"/>
              <w:rPr/>
            </w:pPr>
            <w:r>
              <w:rPr/>
              <w:t>​</w:t>
            </w:r>
          </w:p>
        </w:tc>
      </w:tr>
      <w:tr>
        <w:trPr/>
        <w:tc>
          <w:tcPr>
            <w:tcW w:w="4525"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income (loss)</w:t>
            </w:r>
          </w:p>
        </w:tc>
        <w:tc>
          <w:tcPr>
            <w:tcW w:w="127"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9,043</w:t>
            </w:r>
          </w:p>
        </w:tc>
        <w:tc>
          <w:tcPr>
            <w:tcW w:w="388"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(961)</w:t>
            </w:r>
          </w:p>
        </w:tc>
        <w:tc>
          <w:tcPr>
            <w:tcW w:w="282"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6,533</w:t>
            </w:r>
          </w:p>
        </w:tc>
        <w:tc>
          <w:tcPr>
            <w:tcW w:w="388"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10,169</w:t>
            </w:r>
          </w:p>
        </w:tc>
        <w:tc>
          <w:tcPr>
            <w:tcW w:w="292" w:type="dxa"/>
            <w:tcBorders/>
            <w:shd w:fill="CCEEFF" w:val="clear"/>
            <w:vAlign w:val="center"/>
          </w:tcPr>
          <w:p>
            <w:pPr>
              <w:pStyle w:val="TableContents"/>
              <w:bidi w:val="0"/>
              <w:spacing w:before="0" w:after="0"/>
              <w:ind w:left="0" w:right="0" w:hanging="0"/>
              <w:jc w:val="left"/>
              <w:rPr/>
            </w:pPr>
            <w:r>
              <w:rPr/>
              <w:t>​</w:t>
            </w:r>
          </w:p>
        </w:tc>
      </w:tr>
      <w:tr>
        <w:trPr/>
        <w:tc>
          <w:tcPr>
            <w:tcW w:w="452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 benefit</w:t>
            </w:r>
          </w:p>
        </w:tc>
        <w:tc>
          <w:tcPr>
            <w:tcW w:w="127"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2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(13,142)</w:t>
            </w:r>
          </w:p>
        </w:tc>
        <w:tc>
          <w:tcPr>
            <w:tcW w:w="388"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(1,675)</w:t>
            </w:r>
          </w:p>
        </w:tc>
        <w:tc>
          <w:tcPr>
            <w:tcW w:w="282"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2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(20,281)</w:t>
            </w:r>
          </w:p>
        </w:tc>
        <w:tc>
          <w:tcPr>
            <w:tcW w:w="388"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2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(6,780)</w:t>
            </w:r>
          </w:p>
        </w:tc>
        <w:tc>
          <w:tcPr>
            <w:tcW w:w="292" w:type="dxa"/>
            <w:tcBorders/>
            <w:vAlign w:val="center"/>
          </w:tcPr>
          <w:p>
            <w:pPr>
              <w:pStyle w:val="TableContents"/>
              <w:bidi w:val="0"/>
              <w:spacing w:before="0" w:after="0"/>
              <w:ind w:left="0" w:right="0" w:hanging="0"/>
              <w:jc w:val="left"/>
              <w:rPr/>
            </w:pPr>
            <w:r>
              <w:rPr/>
              <w:t>​</w:t>
            </w:r>
          </w:p>
        </w:tc>
      </w:tr>
      <w:tr>
        <w:trPr/>
        <w:tc>
          <w:tcPr>
            <w:tcW w:w="452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127"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 </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13,762</w:t>
            </w:r>
          </w:p>
        </w:tc>
        <w:tc>
          <w:tcPr>
            <w:tcW w:w="388"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11,990</w:t>
            </w:r>
          </w:p>
        </w:tc>
        <w:tc>
          <w:tcPr>
            <w:tcW w:w="282"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 </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32,270</w:t>
            </w:r>
          </w:p>
        </w:tc>
        <w:tc>
          <w:tcPr>
            <w:tcW w:w="388"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 </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33,034</w:t>
            </w:r>
          </w:p>
        </w:tc>
        <w:tc>
          <w:tcPr>
            <w:tcW w:w="292" w:type="dxa"/>
            <w:tcBorders/>
            <w:shd w:fill="CCEEFF" w:val="clear"/>
            <w:vAlign w:val="center"/>
          </w:tcPr>
          <w:p>
            <w:pPr>
              <w:pStyle w:val="TableContents"/>
              <w:bidi w:val="0"/>
              <w:spacing w:before="0" w:after="0"/>
              <w:ind w:left="0" w:right="0" w:hanging="0"/>
              <w:jc w:val="left"/>
              <w:rPr/>
            </w:pPr>
            <w:r>
              <w:rPr/>
              <w:t>​</w:t>
            </w:r>
          </w:p>
        </w:tc>
      </w:tr>
      <w:tr>
        <w:trPr/>
        <w:tc>
          <w:tcPr>
            <w:tcW w:w="452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 of capitalized software and acquired intangible assets – cost of subscription revenues</w:t>
            </w:r>
          </w:p>
        </w:tc>
        <w:tc>
          <w:tcPr>
            <w:tcW w:w="127"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2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21,882</w:t>
            </w:r>
          </w:p>
        </w:tc>
        <w:tc>
          <w:tcPr>
            <w:tcW w:w="388"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16,670</w:t>
            </w:r>
          </w:p>
        </w:tc>
        <w:tc>
          <w:tcPr>
            <w:tcW w:w="282"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2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41,968</w:t>
            </w:r>
          </w:p>
        </w:tc>
        <w:tc>
          <w:tcPr>
            <w:tcW w:w="388"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2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32,525</w:t>
            </w:r>
          </w:p>
        </w:tc>
        <w:tc>
          <w:tcPr>
            <w:tcW w:w="292" w:type="dxa"/>
            <w:tcBorders/>
            <w:vAlign w:val="center"/>
          </w:tcPr>
          <w:p>
            <w:pPr>
              <w:pStyle w:val="TableContents"/>
              <w:bidi w:val="0"/>
              <w:spacing w:before="0" w:after="0"/>
              <w:ind w:left="0" w:right="0" w:hanging="0"/>
              <w:jc w:val="left"/>
              <w:rPr/>
            </w:pPr>
            <w:r>
              <w:rPr/>
              <w:t>​</w:t>
            </w:r>
          </w:p>
        </w:tc>
      </w:tr>
      <w:tr>
        <w:trPr/>
        <w:tc>
          <w:tcPr>
            <w:tcW w:w="452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acquired intangible assets – selling and marketing expense</w:t>
            </w:r>
          </w:p>
        </w:tc>
        <w:tc>
          <w:tcPr>
            <w:tcW w:w="127"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522</w:t>
            </w:r>
          </w:p>
        </w:tc>
        <w:tc>
          <w:tcPr>
            <w:tcW w:w="388"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571</w:t>
            </w:r>
          </w:p>
        </w:tc>
        <w:tc>
          <w:tcPr>
            <w:tcW w:w="282"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1,047</w:t>
            </w:r>
          </w:p>
        </w:tc>
        <w:tc>
          <w:tcPr>
            <w:tcW w:w="388"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1,102</w:t>
            </w:r>
          </w:p>
        </w:tc>
        <w:tc>
          <w:tcPr>
            <w:tcW w:w="292" w:type="dxa"/>
            <w:tcBorders/>
            <w:shd w:fill="CCEEFF" w:val="clear"/>
            <w:vAlign w:val="center"/>
          </w:tcPr>
          <w:p>
            <w:pPr>
              <w:pStyle w:val="TableContents"/>
              <w:bidi w:val="0"/>
              <w:spacing w:before="0" w:after="0"/>
              <w:ind w:left="0" w:right="0" w:hanging="0"/>
              <w:jc w:val="left"/>
              <w:rPr/>
            </w:pPr>
            <w:r>
              <w:rPr/>
              <w:t>​</w:t>
            </w:r>
          </w:p>
        </w:tc>
      </w:tr>
      <w:tr>
        <w:trPr/>
        <w:tc>
          <w:tcPr>
            <w:tcW w:w="452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cloud computing implementation costs – general and administrative expense</w:t>
            </w:r>
          </w:p>
        </w:tc>
        <w:tc>
          <w:tcPr>
            <w:tcW w:w="127"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2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1,358</w:t>
            </w:r>
          </w:p>
        </w:tc>
        <w:tc>
          <w:tcPr>
            <w:tcW w:w="388"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1,018</w:t>
            </w:r>
          </w:p>
        </w:tc>
        <w:tc>
          <w:tcPr>
            <w:tcW w:w="282"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2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2,395</w:t>
            </w:r>
          </w:p>
        </w:tc>
        <w:tc>
          <w:tcPr>
            <w:tcW w:w="388"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2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2,024</w:t>
            </w:r>
          </w:p>
        </w:tc>
        <w:tc>
          <w:tcPr>
            <w:tcW w:w="292" w:type="dxa"/>
            <w:tcBorders/>
            <w:vAlign w:val="center"/>
          </w:tcPr>
          <w:p>
            <w:pPr>
              <w:pStyle w:val="TableContents"/>
              <w:bidi w:val="0"/>
              <w:spacing w:before="0" w:after="0"/>
              <w:ind w:left="0" w:right="0" w:hanging="0"/>
              <w:jc w:val="left"/>
              <w:rPr/>
            </w:pPr>
            <w:r>
              <w:rPr/>
              <w:t>​</w:t>
            </w:r>
          </w:p>
        </w:tc>
      </w:tr>
      <w:tr>
        <w:trPr/>
        <w:tc>
          <w:tcPr>
            <w:tcW w:w="4525"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Severance expense </w:t>
            </w:r>
            <w:r>
              <w:rPr>
                <w:rFonts w:ascii="Times New Roman;Times;serif" w:hAnsi="Times New Roman;Times;serif"/>
                <w:sz w:val="12"/>
              </w:rPr>
              <w:t>(1)</w:t>
            </w:r>
          </w:p>
        </w:tc>
        <w:tc>
          <w:tcPr>
            <w:tcW w:w="127"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 </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2,689</w:t>
            </w:r>
          </w:p>
        </w:tc>
        <w:tc>
          <w:tcPr>
            <w:tcW w:w="388"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317</w:t>
            </w:r>
          </w:p>
        </w:tc>
        <w:tc>
          <w:tcPr>
            <w:tcW w:w="282"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 </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10,097</w:t>
            </w:r>
          </w:p>
        </w:tc>
        <w:tc>
          <w:tcPr>
            <w:tcW w:w="388"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 </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774</w:t>
            </w:r>
          </w:p>
        </w:tc>
        <w:tc>
          <w:tcPr>
            <w:tcW w:w="292" w:type="dxa"/>
            <w:tcBorders/>
            <w:shd w:fill="CCEEFF" w:val="clear"/>
            <w:vAlign w:val="center"/>
          </w:tcPr>
          <w:p>
            <w:pPr>
              <w:pStyle w:val="TableContents"/>
              <w:bidi w:val="0"/>
              <w:spacing w:before="0" w:after="0"/>
              <w:ind w:left="0" w:right="0" w:hanging="0"/>
              <w:jc w:val="left"/>
              <w:rPr/>
            </w:pPr>
            <w:r>
              <w:rPr/>
              <w:t>​</w:t>
            </w:r>
          </w:p>
        </w:tc>
      </w:tr>
      <w:tr>
        <w:trPr/>
        <w:tc>
          <w:tcPr>
            <w:tcW w:w="452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Acquisition contingent consideration</w:t>
            </w:r>
          </w:p>
        </w:tc>
        <w:tc>
          <w:tcPr>
            <w:tcW w:w="127"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24" w:type="dxa"/>
            <w:tcBorders/>
            <w:vAlign w:val="center"/>
          </w:tcPr>
          <w:p>
            <w:pPr>
              <w:pStyle w:val="TableContents"/>
              <w:bidi w:val="0"/>
              <w:spacing w:before="0" w:after="0"/>
              <w:ind w:left="0" w:right="0" w:hanging="0"/>
              <w:jc w:val="right"/>
              <w:rPr/>
            </w:pPr>
            <w:r>
              <w:rPr/>
              <w:t>—</w:t>
            </w:r>
          </w:p>
        </w:tc>
        <w:tc>
          <w:tcPr>
            <w:tcW w:w="388"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200</w:t>
            </w:r>
          </w:p>
        </w:tc>
        <w:tc>
          <w:tcPr>
            <w:tcW w:w="282"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24" w:type="dxa"/>
            <w:tcBorders/>
            <w:vAlign w:val="center"/>
          </w:tcPr>
          <w:p>
            <w:pPr>
              <w:pStyle w:val="TableContents"/>
              <w:bidi w:val="0"/>
              <w:spacing w:before="0" w:after="0"/>
              <w:ind w:left="0" w:right="0" w:hanging="0"/>
              <w:jc w:val="right"/>
              <w:rPr/>
            </w:pPr>
            <w:r>
              <w:rPr/>
              <w:t>—</w:t>
            </w:r>
          </w:p>
        </w:tc>
        <w:tc>
          <w:tcPr>
            <w:tcW w:w="388"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2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200</w:t>
            </w:r>
          </w:p>
        </w:tc>
        <w:tc>
          <w:tcPr>
            <w:tcW w:w="292" w:type="dxa"/>
            <w:tcBorders/>
            <w:vAlign w:val="center"/>
          </w:tcPr>
          <w:p>
            <w:pPr>
              <w:pStyle w:val="TableContents"/>
              <w:bidi w:val="0"/>
              <w:spacing w:before="0" w:after="0"/>
              <w:ind w:left="0" w:right="0" w:hanging="0"/>
              <w:jc w:val="left"/>
              <w:rPr/>
            </w:pPr>
            <w:r>
              <w:rPr/>
              <w:t>​</w:t>
            </w:r>
          </w:p>
        </w:tc>
      </w:tr>
      <w:tr>
        <w:trPr/>
        <w:tc>
          <w:tcPr>
            <w:tcW w:w="452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 in fair value of acquisition contingent earn-outs</w:t>
            </w:r>
          </w:p>
        </w:tc>
        <w:tc>
          <w:tcPr>
            <w:tcW w:w="127"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w:t>
            </w:r>
          </w:p>
        </w:tc>
        <w:tc>
          <w:tcPr>
            <w:tcW w:w="388"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2,300</w:t>
            </w:r>
          </w:p>
        </w:tc>
        <w:tc>
          <w:tcPr>
            <w:tcW w:w="282"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(5,838)</w:t>
            </w:r>
          </w:p>
        </w:tc>
        <w:tc>
          <w:tcPr>
            <w:tcW w:w="388"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(12,400)</w:t>
            </w:r>
          </w:p>
        </w:tc>
        <w:tc>
          <w:tcPr>
            <w:tcW w:w="292" w:type="dxa"/>
            <w:tcBorders/>
            <w:shd w:fill="CCEEFF" w:val="clear"/>
            <w:vAlign w:val="center"/>
          </w:tcPr>
          <w:p>
            <w:pPr>
              <w:pStyle w:val="TableContents"/>
              <w:bidi w:val="0"/>
              <w:spacing w:before="0" w:after="0"/>
              <w:ind w:left="0" w:right="0" w:hanging="0"/>
              <w:jc w:val="left"/>
              <w:rPr/>
            </w:pPr>
            <w:r>
              <w:rPr/>
              <w:t>​</w:t>
            </w:r>
          </w:p>
        </w:tc>
      </w:tr>
      <w:tr>
        <w:trPr/>
        <w:tc>
          <w:tcPr>
            <w:tcW w:w="4525"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Acquisition-related retained employee compensation </w:t>
            </w:r>
            <w:r>
              <w:rPr>
                <w:rFonts w:ascii="Times New Roman;Times;serif" w:hAnsi="Times New Roman;Times;serif"/>
                <w:sz w:val="12"/>
              </w:rPr>
              <w:t>(2)</w:t>
            </w:r>
          </w:p>
        </w:tc>
        <w:tc>
          <w:tcPr>
            <w:tcW w:w="127"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2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1,250</w:t>
            </w:r>
          </w:p>
        </w:tc>
        <w:tc>
          <w:tcPr>
            <w:tcW w:w="388"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282"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2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1,667</w:t>
            </w:r>
          </w:p>
        </w:tc>
        <w:tc>
          <w:tcPr>
            <w:tcW w:w="388"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24" w:type="dxa"/>
            <w:tcBorders/>
            <w:vAlign w:val="center"/>
          </w:tcPr>
          <w:p>
            <w:pPr>
              <w:pStyle w:val="TableContents"/>
              <w:bidi w:val="0"/>
              <w:spacing w:before="0" w:after="0"/>
              <w:ind w:left="0" w:right="0" w:hanging="0"/>
              <w:jc w:val="right"/>
              <w:rPr/>
            </w:pPr>
            <w:r>
              <w:rPr/>
              <w:t>—</w:t>
            </w:r>
          </w:p>
        </w:tc>
        <w:tc>
          <w:tcPr>
            <w:tcW w:w="292" w:type="dxa"/>
            <w:tcBorders/>
            <w:vAlign w:val="center"/>
          </w:tcPr>
          <w:p>
            <w:pPr>
              <w:pStyle w:val="TableContents"/>
              <w:bidi w:val="0"/>
              <w:spacing w:before="0" w:after="0"/>
              <w:ind w:left="0" w:right="0" w:hanging="0"/>
              <w:jc w:val="left"/>
              <w:rPr/>
            </w:pPr>
            <w:r>
              <w:rPr/>
              <w:t>​</w:t>
            </w:r>
          </w:p>
        </w:tc>
      </w:tr>
      <w:tr>
        <w:trPr/>
        <w:tc>
          <w:tcPr>
            <w:tcW w:w="4525"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Transaction costs </w:t>
            </w:r>
            <w:r>
              <w:rPr>
                <w:rFonts w:ascii="Times New Roman;Times;serif" w:hAnsi="Times New Roman;Times;serif"/>
                <w:sz w:val="12"/>
              </w:rPr>
              <w:t xml:space="preserve">(3) </w:t>
            </w:r>
          </w:p>
        </w:tc>
        <w:tc>
          <w:tcPr>
            <w:tcW w:w="127"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7,375</w:t>
            </w:r>
          </w:p>
        </w:tc>
        <w:tc>
          <w:tcPr>
            <w:tcW w:w="388"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2,980</w:t>
            </w:r>
          </w:p>
        </w:tc>
        <w:tc>
          <w:tcPr>
            <w:tcW w:w="282"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13,359</w:t>
            </w:r>
          </w:p>
        </w:tc>
        <w:tc>
          <w:tcPr>
            <w:tcW w:w="388"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5,640</w:t>
            </w:r>
          </w:p>
        </w:tc>
        <w:tc>
          <w:tcPr>
            <w:tcW w:w="292" w:type="dxa"/>
            <w:tcBorders/>
            <w:shd w:fill="CCEEFF" w:val="clear"/>
            <w:vAlign w:val="center"/>
          </w:tcPr>
          <w:p>
            <w:pPr>
              <w:pStyle w:val="TableContents"/>
              <w:bidi w:val="0"/>
              <w:spacing w:before="0" w:after="0"/>
              <w:ind w:left="0" w:right="0" w:hanging="0"/>
              <w:jc w:val="left"/>
              <w:rPr/>
            </w:pPr>
            <w:r>
              <w:rPr/>
              <w:t>​</w:t>
            </w:r>
          </w:p>
        </w:tc>
      </w:tr>
      <w:tr>
        <w:trPr/>
        <w:tc>
          <w:tcPr>
            <w:tcW w:w="4525"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Non-GAAP income before income taxes</w:t>
            </w:r>
          </w:p>
        </w:tc>
        <w:tc>
          <w:tcPr>
            <w:tcW w:w="127"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2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44,639</w:t>
            </w:r>
          </w:p>
        </w:tc>
        <w:tc>
          <w:tcPr>
            <w:tcW w:w="388"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33,410</w:t>
            </w:r>
          </w:p>
        </w:tc>
        <w:tc>
          <w:tcPr>
            <w:tcW w:w="282"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2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83,217</w:t>
            </w:r>
          </w:p>
        </w:tc>
        <w:tc>
          <w:tcPr>
            <w:tcW w:w="388"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82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66,288</w:t>
            </w:r>
          </w:p>
        </w:tc>
        <w:tc>
          <w:tcPr>
            <w:tcW w:w="292" w:type="dxa"/>
            <w:tcBorders/>
            <w:vAlign w:val="center"/>
          </w:tcPr>
          <w:p>
            <w:pPr>
              <w:pStyle w:val="TableContents"/>
              <w:bidi w:val="0"/>
              <w:spacing w:before="0" w:after="0"/>
              <w:ind w:left="0" w:right="0" w:hanging="0"/>
              <w:jc w:val="left"/>
              <w:rPr/>
            </w:pPr>
            <w:r>
              <w:rPr/>
              <w:t>​</w:t>
            </w:r>
          </w:p>
        </w:tc>
      </w:tr>
      <w:tr>
        <w:trPr/>
        <w:tc>
          <w:tcPr>
            <w:tcW w:w="4525"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Income tax adjustment at statutory rate </w:t>
            </w:r>
            <w:r>
              <w:rPr>
                <w:rFonts w:ascii="Times New Roman;Times;serif" w:hAnsi="Times New Roman;Times;serif"/>
                <w:sz w:val="12"/>
              </w:rPr>
              <w:t>(4)</w:t>
            </w:r>
          </w:p>
        </w:tc>
        <w:tc>
          <w:tcPr>
            <w:tcW w:w="127"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(11,383)</w:t>
            </w:r>
          </w:p>
        </w:tc>
        <w:tc>
          <w:tcPr>
            <w:tcW w:w="388"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(8,519)</w:t>
            </w:r>
          </w:p>
        </w:tc>
        <w:tc>
          <w:tcPr>
            <w:tcW w:w="282"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(21,220)</w:t>
            </w:r>
          </w:p>
        </w:tc>
        <w:tc>
          <w:tcPr>
            <w:tcW w:w="388"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(16,903)</w:t>
            </w:r>
          </w:p>
        </w:tc>
        <w:tc>
          <w:tcPr>
            <w:tcW w:w="292" w:type="dxa"/>
            <w:tcBorders/>
            <w:shd w:fill="CCEEFF" w:val="clear"/>
            <w:vAlign w:val="center"/>
          </w:tcPr>
          <w:p>
            <w:pPr>
              <w:pStyle w:val="TableContents"/>
              <w:bidi w:val="0"/>
              <w:spacing w:before="0" w:after="0"/>
              <w:ind w:left="0" w:right="0" w:hanging="0"/>
              <w:jc w:val="left"/>
              <w:rPr/>
            </w:pPr>
            <w:r>
              <w:rPr/>
              <w:t>​</w:t>
            </w:r>
          </w:p>
        </w:tc>
      </w:tr>
      <w:tr>
        <w:trPr/>
        <w:tc>
          <w:tcPr>
            <w:tcW w:w="4525"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Non-GAAP net income</w:t>
            </w:r>
          </w:p>
        </w:tc>
        <w:tc>
          <w:tcPr>
            <w:tcW w:w="127" w:type="dxa"/>
            <w:tcBorders/>
            <w:vAlign w:val="center"/>
          </w:tcPr>
          <w:p>
            <w:pPr>
              <w:pStyle w:val="TableContents"/>
              <w:bidi w:val="0"/>
              <w:spacing w:before="0" w:after="0"/>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33,256</w:t>
            </w:r>
          </w:p>
        </w:tc>
        <w:tc>
          <w:tcPr>
            <w:tcW w:w="388" w:type="dxa"/>
            <w:tcBorders/>
            <w:vAlign w:val="center"/>
          </w:tcPr>
          <w:p>
            <w:pPr>
              <w:pStyle w:val="TableContents"/>
              <w:bidi w:val="0"/>
              <w:spacing w:before="0" w:after="0"/>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24,891</w:t>
            </w:r>
          </w:p>
        </w:tc>
        <w:tc>
          <w:tcPr>
            <w:tcW w:w="282" w:type="dxa"/>
            <w:tcBorders/>
            <w:vAlign w:val="center"/>
          </w:tcPr>
          <w:p>
            <w:pPr>
              <w:pStyle w:val="TableContents"/>
              <w:bidi w:val="0"/>
              <w:spacing w:before="0" w:after="0"/>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61,997</w:t>
            </w:r>
          </w:p>
        </w:tc>
        <w:tc>
          <w:tcPr>
            <w:tcW w:w="388" w:type="dxa"/>
            <w:tcBorders/>
            <w:vAlign w:val="center"/>
          </w:tcPr>
          <w:p>
            <w:pPr>
              <w:pStyle w:val="TableContents"/>
              <w:bidi w:val="0"/>
              <w:spacing w:before="0" w:after="0"/>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49,385</w:t>
            </w:r>
          </w:p>
        </w:tc>
        <w:tc>
          <w:tcPr>
            <w:tcW w:w="292" w:type="dxa"/>
            <w:tcBorders/>
            <w:vAlign w:val="center"/>
          </w:tcPr>
          <w:p>
            <w:pPr>
              <w:pStyle w:val="TableContents"/>
              <w:bidi w:val="0"/>
              <w:spacing w:before="0" w:after="0"/>
              <w:ind w:left="0" w:right="0" w:hanging="0"/>
              <w:jc w:val="left"/>
              <w:rPr/>
            </w:pPr>
            <w:r>
              <w:rPr/>
              <w:t>​</w:t>
            </w:r>
          </w:p>
        </w:tc>
      </w:tr>
      <w:tr>
        <w:trPr/>
        <w:tc>
          <w:tcPr>
            <w:tcW w:w="9913" w:type="dxa"/>
            <w:gridSpan w:val="13"/>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2"/>
              </w:rPr>
              <w:t xml:space="preserve">(1) </w:t>
            </w:r>
            <w:r>
              <w:rPr>
                <w:rFonts w:ascii="Times New Roman;Times;serif" w:hAnsi="Times New Roman;Times;serif"/>
                <w:sz w:val="16"/>
              </w:rPr>
              <w:t>The three and six months ended June 30, 2026 periods include $1,713 and $7,883, respectively, in severance costs related to the Value Creation Plan. For further information, refer to Note 15, “Restructuring” to the condensed consolidated financial statements included in this Quarterly Report on Form 10-Q.</w:t>
            </w:r>
          </w:p>
        </w:tc>
        <w:tc>
          <w:tcPr>
            <w:tcW w:w="292" w:type="dxa"/>
            <w:tcBorders/>
            <w:vAlign w:val="center"/>
          </w:tcPr>
          <w:p>
            <w:pPr>
              <w:pStyle w:val="TableContents"/>
              <w:bidi w:val="0"/>
              <w:spacing w:before="0" w:after="0"/>
              <w:ind w:left="0" w:right="0" w:hanging="0"/>
              <w:jc w:val="lef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0051"/>
        <w:gridCol w:w="154"/>
      </w:tblGrid>
      <w:tr>
        <w:trPr/>
        <w:tc>
          <w:tcPr>
            <w:tcW w:w="1005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2"/>
              </w:rPr>
              <w:t>(2)</w:t>
            </w:r>
            <w:r>
              <w:rPr>
                <w:rFonts w:ascii="Times New Roman;Times;serif" w:hAnsi="Times New Roman;Times;serif"/>
                <w:sz w:val="16"/>
              </w:rPr>
              <w:t xml:space="preserve"> The acquisition-related compensation expenses recorded for the three and six months ended June 30, 2026 are related to the Additional Cash Consideration obligation associated with the acquisition of Brinta. For further information, refer to Note 3, “Acquisitions” to the condensed consolidated financial statements included in this Quarterly Report on Form 10-Q.</w:t>
            </w:r>
          </w:p>
        </w:tc>
        <w:tc>
          <w:tcPr>
            <w:tcW w:w="154" w:type="dxa"/>
            <w:tcBorders/>
            <w:vAlign w:val="center"/>
          </w:tcPr>
          <w:p>
            <w:pPr>
              <w:pStyle w:val="TableContents"/>
              <w:bidi w:val="0"/>
              <w:spacing w:before="0" w:after="0"/>
              <w:ind w:left="0" w:right="0" w:hanging="0"/>
              <w:jc w:val="left"/>
              <w:rPr/>
            </w:pPr>
            <w:r>
              <w:rPr/>
              <w:t>​</w:t>
            </w:r>
          </w:p>
        </w:tc>
      </w:tr>
      <w:tr>
        <w:trPr/>
        <w:tc>
          <w:tcPr>
            <w:tcW w:w="1005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2"/>
              </w:rPr>
              <w:t>(3)</w:t>
            </w:r>
            <w:r>
              <w:rPr>
                <w:rFonts w:ascii="Times New Roman;Times;serif" w:hAnsi="Times New Roman;Times;serif"/>
                <w:sz w:val="16"/>
              </w:rPr>
              <w:t xml:space="preserve"> The three and six months ended June 30, 2026 periods include $6,250 and $8,800, respectively, in costs incurred to support the execution of our Value Creation Plan, recorded in general and administrative expense. For further information, refer to Note 15, “ Restructuring” to the condensed consolidated financial statements included in this Quarterly Report on Form 10-Q. Amounts also include legal expenses associated with pending litigation related to claims the Company has made against a competitor. For further information, refer to Note 12, “Commitments and Contingencies” to the condensed consolidated financial statements included in this Quarterly Report on Form 10-Q.</w:t>
            </w:r>
          </w:p>
        </w:tc>
        <w:tc>
          <w:tcPr>
            <w:tcW w:w="154" w:type="dxa"/>
            <w:tcBorders/>
            <w:vAlign w:val="center"/>
          </w:tcPr>
          <w:p>
            <w:pPr>
              <w:pStyle w:val="TableContents"/>
              <w:bidi w:val="0"/>
              <w:spacing w:before="0" w:after="0"/>
              <w:ind w:left="0" w:right="0" w:hanging="0"/>
              <w:jc w:val="left"/>
              <w:rPr/>
            </w:pPr>
            <w:r>
              <w:rPr/>
              <w:t>​</w:t>
            </w:r>
          </w:p>
        </w:tc>
      </w:tr>
      <w:tr>
        <w:trPr/>
        <w:tc>
          <w:tcPr>
            <w:tcW w:w="1005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2"/>
              </w:rPr>
              <w:t>(4)</w:t>
            </w:r>
            <w:r>
              <w:rPr>
                <w:rFonts w:ascii="Times New Roman;Times;serif" w:hAnsi="Times New Roman;Times;serif"/>
                <w:sz w:val="16"/>
              </w:rPr>
              <w:t xml:space="preserve"> Non-GAAP income before income taxes is adjusted for income taxes using the respective statutory tax rates for applicable jurisdictions, which for purposes of this determination were assumed to be 25.5%.</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Critical Accounting Estimates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critical accounting policies that reflect our more significant judgments and estimates used in the preparation of our condensed consolidated financial statements include revenue recognition and income taxes, which are described in our 2025 Annual Report. There have been no material updates or changes to our critical accounting estimates compared to the critical accounting estimates described in our 2025 Annual Report. </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further information on recent accounting pronouncements, refer to Note 1, “Summary of Significant Accounting Policies” to the condensed consolidated financial statements included in this Quarterly Report on Form 10-Q.</w:t>
      </w:r>
    </w:p>
    <w:p>
      <w:pPr>
        <w:pStyle w:val="Normal"/>
        <w:bidi w:val="0"/>
        <w:spacing w:before="0" w:after="0"/>
        <w:jc w:val="left"/>
        <w:rPr>
          <w:sz w:val="4"/>
          <w:szCs w:val="4"/>
        </w:rPr>
      </w:pPr>
      <w:r>
        <w:rPr>
          <w:sz w:val="4"/>
          <w:szCs w:val="4"/>
        </w:rPr>
      </w:r>
      <w:bookmarkStart w:id="2213" w:name="Item3QUANTITATIVEANDQUALITATIVE_86752"/>
      <w:bookmarkStart w:id="2214" w:name="_344ae243_bd17_4490_b8db_34a67ff8fd04"/>
      <w:bookmarkStart w:id="2215" w:name="Item3QUANTITATIVEANDQUALITATIVE_86752"/>
      <w:bookmarkStart w:id="2216" w:name="_344ae243_bd17_4490_b8db_34a67ff8fd04"/>
      <w:bookmarkEnd w:id="2215"/>
      <w:bookmarkEnd w:id="2216"/>
    </w:p>
    <w:tbl>
      <w:tblPr>
        <w:tblW w:w="7847" w:type="dxa"/>
        <w:jc w:val="left"/>
        <w:tblInd w:w="0" w:type="dxa"/>
        <w:tblLayout w:type="fixed"/>
        <w:tblCellMar>
          <w:top w:w="0" w:type="dxa"/>
          <w:left w:w="0" w:type="dxa"/>
          <w:bottom w:w="0" w:type="dxa"/>
          <w:right w:w="0" w:type="dxa"/>
        </w:tblCellMar>
      </w:tblPr>
      <w:tblGrid>
        <w:gridCol w:w="706"/>
        <w:gridCol w:w="7141"/>
      </w:tblGrid>
      <w:tr>
        <w:trPr/>
        <w:tc>
          <w:tcPr>
            <w:tcW w:w="70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3.</w:t>
            </w:r>
          </w:p>
        </w:tc>
        <w:tc>
          <w:tcPr>
            <w:tcW w:w="71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b/>
                <w:sz w:val="20"/>
              </w:rPr>
              <w:t>QUANTITATIVE AND QUALITATIVE DISCLOSURES ABOUT MARKET RISK</w:t>
            </w:r>
            <w:r>
              <w:rPr>
                <w:rFonts w:ascii="Times New Roman;Times;serif" w:hAnsi="Times New Roman;Times;serif"/>
                <w:sz w:val="20"/>
              </w:rPr>
              <w:t xml:space="preserve"> </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sz w:val="20"/>
        </w:rPr>
        <w:t>Interest Rate Risk</w:t>
      </w:r>
      <w:r>
        <w:rPr>
          <w:rFonts w:ascii="Times New Roman;Times;serif" w:hAnsi="Times New Roman;Times;serif"/>
          <w:color w:val="FF0000"/>
          <w:sz w:val="20"/>
        </w:rPr>
        <w:t xml:space="preserve">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had unrestricted cash and cash equivalents of $230.5 million and $314.0 million as of June 30, 2026 and December 31, 2025, respectively. We maintain our cash and cash equivalents in deposit accounts and money market funds with various financial institutions. Due to the short-term nature of these instruments, we believe that we do not have any material exposure to changes in the fair value of these investments as a result of changes in interest rates. Increases or declines in interest rates would be expected to augment or reduce future interest income by an insignificant amount.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We are exposed to risk related to changes in interest rates on our outstanding borrowings. Borrowings under our Credit Agreement bear interest at rates that are variable. Increases in the bank prime or SOFR rates would increase the interest rate on any future outstanding borrowings. Any debt we incur in the future may also bear interest at variable rates. </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Our Notes have a fixed annual interest rate; therefore, we have no financial or economic interest exposure associated with changes in interest rates. However, the fair value of fixed rate debt instruments fluctuates when interest rates change. Additionally, the fair value of the Notes can be affected when the market price of our common stock fluctuates. We carry the Notes at principal value less unamortized issuance costs on our condensed consolidated balance sheets, and we present fair value for required disclosure purposes only.</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 xml:space="preserve">Foreign Currency Exchange Risk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Our revenues and expenses are primarily denominated in U.S. Dollars. For our foreign operations, the majority of our revenues and expenses are denominated in other currencies, such as the Canadian Dollar, Euro, British Pound, and Brazilian Real. Decreases in the relative value of the U.S. Dollar as compared to these currencies may negatively affect our revenues and other operating results as expressed in U.S. Dollars. For both the three and six months ended June 30, 2026, approximately 4% of our revenues were denominated in currencies other than U.S. Dollars. For the three and six months ended June 30, 2025, approximately 6% and 5%, respectively, of our revenues were denominated in currencies other than U.S. Dollars.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have experienced and will continue to experience fluctuations in our net income or loss as a result of transaction gains or losses related to revaluing certain current asset and current liability balances that are denominated in currencies other than the functional currency of the entities in which they are recorded. We have historically recognized immaterial amounts of foreign currency gains and losses in each of the periods presented. We may in the future hedge selected significant transactions denominated in currencies other than the U.S. dollar as we expand our international operations and our risk grows.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217" w:name="Item4CONTROLSANDPROCEDURES_722053"/>
      <w:bookmarkStart w:id="2218" w:name="_7f9cbae7_ebf7_480c_8bb5_9d787fa05c25"/>
      <w:bookmarkStart w:id="2219" w:name="Item4CONTROLSANDPROCEDURES_722053"/>
      <w:bookmarkStart w:id="2220" w:name="_7f9cbae7_ebf7_480c_8bb5_9d787fa05c25"/>
      <w:bookmarkEnd w:id="2219"/>
      <w:bookmarkEnd w:id="2220"/>
    </w:p>
    <w:tbl>
      <w:tblPr>
        <w:tblW w:w="3797" w:type="dxa"/>
        <w:jc w:val="left"/>
        <w:tblInd w:w="0" w:type="dxa"/>
        <w:tblLayout w:type="fixed"/>
        <w:tblCellMar>
          <w:top w:w="0" w:type="dxa"/>
          <w:left w:w="0" w:type="dxa"/>
          <w:bottom w:w="0" w:type="dxa"/>
          <w:right w:w="0" w:type="dxa"/>
        </w:tblCellMar>
      </w:tblPr>
      <w:tblGrid>
        <w:gridCol w:w="706"/>
        <w:gridCol w:w="3091"/>
      </w:tblGrid>
      <w:tr>
        <w:trPr/>
        <w:tc>
          <w:tcPr>
            <w:tcW w:w="70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4.</w:t>
            </w:r>
          </w:p>
        </w:tc>
        <w:tc>
          <w:tcPr>
            <w:tcW w:w="309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b/>
                <w:sz w:val="20"/>
              </w:rPr>
              <w:t>CONTROLS AND PROCEDURES</w:t>
            </w:r>
            <w:r>
              <w:rPr>
                <w:rFonts w:ascii="Times New Roman;Times;serif" w:hAnsi="Times New Roman;Times;serif"/>
                <w:sz w:val="20"/>
              </w:rPr>
              <w:t xml:space="preserve"> </w:t>
            </w:r>
          </w:p>
        </w:tc>
      </w:tr>
    </w:tbl>
    <w:p>
      <w:pPr>
        <w:pStyle w:val="TextBody"/>
        <w:bidi w:val="0"/>
        <w:spacing w:before="0" w:after="240"/>
        <w:ind w:left="0" w:right="0" w:firstLine="36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Our management, with the participation of our principal executive officer and principal financial officer, evaluated the effectiveness of our disclosure controls and procedures as defined in Rule 13a-15(b) of the Securities Exchange Act of 1934, as amended (the “Exchange Act”).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Based on the evaluation of our disclosure controls and procedures, our principal executive officer and principal financial officer concluded that, as of June 30, 2026, our disclosure controls and procedures were effective at a reasonable assurance level.</w:t>
      </w:r>
    </w:p>
    <w:p>
      <w:pPr>
        <w:pStyle w:val="TextBody"/>
        <w:bidi w:val="0"/>
        <w:spacing w:before="0" w:after="240"/>
        <w:ind w:left="0" w:right="0" w:firstLine="36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There were no changes in our internal control over financial reporting during the period covered by this Quarterly Report on Form 10-Q that materially affected, or are reasonably likely to materially affect, our internal control over financial reporting.</w:t>
      </w:r>
    </w:p>
    <w:p>
      <w:pPr>
        <w:pStyle w:val="TextBody"/>
        <w:bidi w:val="0"/>
        <w:spacing w:before="0" w:after="0"/>
        <w:ind w:left="0" w:right="0" w:firstLine="36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2221" w:name="PARTIIOTHERINFORMATION_466846"/>
      <w:bookmarkEnd w:id="2221"/>
      <w:r>
        <w:rPr>
          <w:rFonts w:ascii="Times New Roman;Times;serif" w:hAnsi="Times New Roman;Times;serif"/>
          <w:b/>
          <w:sz w:val="20"/>
        </w:rPr>
        <w:t>PART II---OTHER INFORMATION</w:t>
      </w:r>
    </w:p>
    <w:p>
      <w:pPr>
        <w:pStyle w:val="TextBody"/>
        <w:bidi w:val="0"/>
        <w:spacing w:before="0" w:after="240"/>
        <w:ind w:left="0" w:right="0" w:hanging="0"/>
        <w:jc w:val="both"/>
        <w:rPr>
          <w:rFonts w:ascii="Times New Roman;Times;serif" w:hAnsi="Times New Roman;Times;serif"/>
          <w:sz w:val="20"/>
        </w:rPr>
      </w:pPr>
      <w:bookmarkStart w:id="2222" w:name="ITEM1LEGALPROCEEDINGS_169419"/>
      <w:bookmarkStart w:id="2223" w:name="_5db33789_da48_4690_94af_4dfb19d5352d"/>
      <w:bookmarkEnd w:id="2222"/>
      <w:bookmarkEnd w:id="2223"/>
      <w:r>
        <w:rPr>
          <w:rFonts w:ascii="Times New Roman;Times;serif" w:hAnsi="Times New Roman;Times;serif"/>
          <w:b/>
          <w:sz w:val="20"/>
        </w:rPr>
        <w:t>ITEM 1. LEGAL PROCEEDINGS</w:t>
      </w:r>
      <w:r>
        <w:rPr>
          <w:rFonts w:ascii="Times New Roman;Times;serif" w:hAnsi="Times New Roman;Times;serif"/>
          <w:sz w:val="20"/>
        </w:rPr>
        <w:t xml:space="preserve">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January 25, 2022, we filed a complaint (subsequently amended on February 9, 2022) against Avalara, Inc. (“Avalara”) in the United States District Court for the Eastern District of Pennsylvania. The complaint alleges claims of unfair competition, intentional interference with contractual relations, and trade secret misappropriation against Avalara. We are seeking a permanent injunction to prevent Avalara from further interference with our contractual relations and to prohibit the disclosure in any way of our confidential, proprietary and/or trade secret information. We are also seeking monetary damages, including punitive damages and attorney’s fees. As of June 30, 2026, the matter remains before the Court. The Court has scheduled a jury trial starting October 13, 2026. We believe the allegations in the complaint, once proven, are sufficient to prevail in this matter. However, the eventual outcome of the case is subject to a number of uncertainties, and therefore we cannot offer any assurance as to the ultimate impact of this case on our business and operations.</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addition to the foregoing matter, from time to time, we may be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w:t>
      </w:r>
    </w:p>
    <w:p>
      <w:pPr>
        <w:pStyle w:val="TextBody"/>
        <w:bidi w:val="0"/>
        <w:spacing w:before="0" w:after="0"/>
        <w:ind w:left="0" w:right="0" w:firstLine="360"/>
        <w:jc w:val="both"/>
        <w:rPr/>
      </w:pPr>
      <w:r>
        <w:rPr/>
        <w:t>​</w:t>
      </w:r>
    </w:p>
    <w:p>
      <w:pPr>
        <w:pStyle w:val="TextBody"/>
        <w:bidi w:val="0"/>
        <w:spacing w:before="0" w:after="240"/>
        <w:ind w:left="0" w:right="0" w:hanging="0"/>
        <w:jc w:val="both"/>
        <w:rPr>
          <w:rFonts w:ascii="Times New Roman;Times;serif" w:hAnsi="Times New Roman;Times;serif"/>
          <w:sz w:val="20"/>
        </w:rPr>
      </w:pPr>
      <w:bookmarkStart w:id="2224" w:name="ITEM1ARISKFACTORS_159906"/>
      <w:bookmarkStart w:id="2225" w:name="_5109032e_001b_4d38_98d4_34bb2de67440"/>
      <w:bookmarkEnd w:id="2224"/>
      <w:bookmarkEnd w:id="2225"/>
      <w:r>
        <w:rPr>
          <w:rFonts w:ascii="Times New Roman;Times;serif" w:hAnsi="Times New Roman;Times;serif"/>
          <w:b/>
          <w:sz w:val="20"/>
        </w:rPr>
        <w:t>ITEM 1A. RISK FACTORS</w:t>
      </w:r>
      <w:r>
        <w:rPr>
          <w:rFonts w:ascii="Times New Roman;Times;serif" w:hAnsi="Times New Roman;Times;serif"/>
          <w:sz w:val="20"/>
        </w:rPr>
        <w:t xml:space="preserve">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This document incorporates by reference various risk factors discussed in the Company’s 2025 Annual Report and Quarterly Report on Form 10-Q for the quarter ended March 31, 2026, under the heading “Risk Factors.”</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There are no material changes to the risk factors discussed in these filings. You should carefully consider these risks, together with management’s discussion and analysis of our financial condition and results of operations in conjunction with the condensed consolidated financial statements and the notes thereto included elsewhere in this Quarterly Report on Form 10-Q. If any of the events contemplated should occur, our business, results of operations, financial condition and cash flows could suffer significantly.</w:t>
      </w:r>
    </w:p>
    <w:p>
      <w:pPr>
        <w:pStyle w:val="Normal"/>
        <w:bidi w:val="0"/>
        <w:spacing w:before="0" w:after="0"/>
        <w:jc w:val="left"/>
        <w:rPr>
          <w:sz w:val="4"/>
          <w:szCs w:val="4"/>
        </w:rPr>
      </w:pPr>
      <w:r>
        <w:rPr>
          <w:sz w:val="4"/>
          <w:szCs w:val="4"/>
        </w:rPr>
      </w:r>
      <w:bookmarkStart w:id="2226" w:name="ITEM2UNREGISTEREDSALESOFEQUITYSECURITIES"/>
      <w:bookmarkStart w:id="2227" w:name="_fd4fdc04_604f_42cd_afbb_ea0a4329d115"/>
      <w:bookmarkStart w:id="2228" w:name="ITEM2UNREGISTEREDSALESOFEQUITYSECURITIES"/>
      <w:bookmarkStart w:id="2229" w:name="_fd4fdc04_604f_42cd_afbb_ea0a4329d115"/>
      <w:bookmarkEnd w:id="2228"/>
      <w:bookmarkEnd w:id="2229"/>
    </w:p>
    <w:tbl>
      <w:tblPr>
        <w:tblW w:w="7817" w:type="dxa"/>
        <w:jc w:val="left"/>
        <w:tblInd w:w="0" w:type="dxa"/>
        <w:tblLayout w:type="fixed"/>
        <w:tblCellMar>
          <w:top w:w="0" w:type="dxa"/>
          <w:left w:w="0" w:type="dxa"/>
          <w:bottom w:w="0" w:type="dxa"/>
          <w:right w:w="0" w:type="dxa"/>
        </w:tblCellMar>
      </w:tblPr>
      <w:tblGrid>
        <w:gridCol w:w="841"/>
        <w:gridCol w:w="6976"/>
      </w:tblGrid>
      <w:tr>
        <w:trPr/>
        <w:tc>
          <w:tcPr>
            <w:tcW w:w="84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2.</w:t>
            </w:r>
          </w:p>
        </w:tc>
        <w:tc>
          <w:tcPr>
            <w:tcW w:w="69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UNREGISTERED SALES OF EQUITY SECURITIES AND USE OF PROCEEDS</w:t>
            </w:r>
          </w:p>
        </w:tc>
      </w:tr>
    </w:tbl>
    <w:p>
      <w:pPr>
        <w:pStyle w:val="TextBody"/>
        <w:bidi w:val="0"/>
        <w:spacing w:lineRule="auto" w:line="314" w:before="0" w:after="0"/>
        <w:ind w:left="60" w:right="59" w:firstLine="324"/>
        <w:jc w:val="both"/>
        <w:rPr>
          <w:rFonts w:ascii="Times New Roman;Times;serif" w:hAnsi="Times New Roman;Times;serif"/>
          <w:sz w:val="20"/>
        </w:rPr>
      </w:pPr>
      <w:r>
        <w:rPr>
          <w:rFonts w:ascii="Times New Roman;Times;serif" w:hAnsi="Times New Roman;Times;serif"/>
          <w:sz w:val="20"/>
        </w:rPr>
        <w:t>The table below presents information with respect to our Class A common stock purchases made during the three months ended June 30, 2026 by us or any "affiliated purchaser", as defined in Rule 10b-18(a)(3) under the Exchange Act:</w:t>
      </w:r>
    </w:p>
    <w:tbl>
      <w:tblPr>
        <w:tblW w:w="10205" w:type="dxa"/>
        <w:jc w:val="left"/>
        <w:tblInd w:w="0" w:type="dxa"/>
        <w:tblLayout w:type="fixed"/>
        <w:tblCellMar>
          <w:top w:w="0" w:type="dxa"/>
          <w:left w:w="0" w:type="dxa"/>
          <w:bottom w:w="0" w:type="dxa"/>
          <w:right w:w="0" w:type="dxa"/>
        </w:tblCellMar>
      </w:tblPr>
      <w:tblGrid>
        <w:gridCol w:w="733"/>
        <w:gridCol w:w="109"/>
        <w:gridCol w:w="1577"/>
        <w:gridCol w:w="109"/>
        <w:gridCol w:w="211"/>
        <w:gridCol w:w="1289"/>
        <w:gridCol w:w="109"/>
        <w:gridCol w:w="2648"/>
        <w:gridCol w:w="109"/>
        <w:gridCol w:w="211"/>
        <w:gridCol w:w="3100"/>
      </w:tblGrid>
      <w:tr>
        <w:trPr/>
        <w:tc>
          <w:tcPr>
            <w:tcW w:w="7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6">
                      <wp:simplePos x="0" y="0"/>
                      <wp:positionH relativeFrom="character">
                        <wp:align>left</wp:align>
                      </wp:positionH>
                      <wp:positionV relativeFrom="line">
                        <wp:posOffset>635</wp:posOffset>
                      </wp:positionV>
                      <wp:extent cx="465455" cy="175260"/>
                      <wp:effectExtent l="0" t="0" r="0" b="0"/>
                      <wp:wrapNone/>
                      <wp:docPr id="835" name="Frame835"/>
                      <a:graphic xmlns:a="http://schemas.openxmlformats.org/drawingml/2006/main">
                        <a:graphicData uri="http://schemas.microsoft.com/office/word/2010/wordprocessingShape">
                          <wps:wsp>
                            <wps:cNvSpPr txBox="1"/>
                            <wps:spPr>
                              <a:xfrm>
                                <a:off x="0" y="0"/>
                                <a:ext cx="465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7">
                      <wp:simplePos x="0" y="0"/>
                      <wp:positionH relativeFrom="character">
                        <wp:align>left</wp:align>
                      </wp:positionH>
                      <wp:positionV relativeFrom="line">
                        <wp:posOffset>635</wp:posOffset>
                      </wp:positionV>
                      <wp:extent cx="69215" cy="175260"/>
                      <wp:effectExtent l="0" t="0" r="0" b="0"/>
                      <wp:wrapNone/>
                      <wp:docPr id="836" name="Frame8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8">
                      <wp:simplePos x="0" y="0"/>
                      <wp:positionH relativeFrom="character">
                        <wp:align>left</wp:align>
                      </wp:positionH>
                      <wp:positionV relativeFrom="line">
                        <wp:posOffset>635</wp:posOffset>
                      </wp:positionV>
                      <wp:extent cx="1001395" cy="175260"/>
                      <wp:effectExtent l="0" t="0" r="0" b="0"/>
                      <wp:wrapNone/>
                      <wp:docPr id="837" name="Frame837"/>
                      <a:graphic xmlns:a="http://schemas.openxmlformats.org/drawingml/2006/main">
                        <a:graphicData uri="http://schemas.microsoft.com/office/word/2010/wordprocessingShape">
                          <wps:wsp>
                            <wps:cNvSpPr txBox="1"/>
                            <wps:spPr>
                              <a:xfrm>
                                <a:off x="0" y="0"/>
                                <a:ext cx="1001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9">
                      <wp:simplePos x="0" y="0"/>
                      <wp:positionH relativeFrom="character">
                        <wp:align>left</wp:align>
                      </wp:positionH>
                      <wp:positionV relativeFrom="line">
                        <wp:posOffset>635</wp:posOffset>
                      </wp:positionV>
                      <wp:extent cx="69215" cy="175260"/>
                      <wp:effectExtent l="0" t="0" r="0" b="0"/>
                      <wp:wrapNone/>
                      <wp:docPr id="838" name="Frame8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0">
                      <wp:simplePos x="0" y="0"/>
                      <wp:positionH relativeFrom="character">
                        <wp:align>left</wp:align>
                      </wp:positionH>
                      <wp:positionV relativeFrom="line">
                        <wp:posOffset>635</wp:posOffset>
                      </wp:positionV>
                      <wp:extent cx="133985" cy="175260"/>
                      <wp:effectExtent l="0" t="0" r="0" b="0"/>
                      <wp:wrapNone/>
                      <wp:docPr id="839" name="Frame8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1">
                      <wp:simplePos x="0" y="0"/>
                      <wp:positionH relativeFrom="character">
                        <wp:align>left</wp:align>
                      </wp:positionH>
                      <wp:positionV relativeFrom="line">
                        <wp:posOffset>635</wp:posOffset>
                      </wp:positionV>
                      <wp:extent cx="818515" cy="175260"/>
                      <wp:effectExtent l="0" t="0" r="0" b="0"/>
                      <wp:wrapNone/>
                      <wp:docPr id="840" name="Frame840"/>
                      <a:graphic xmlns:a="http://schemas.openxmlformats.org/drawingml/2006/main">
                        <a:graphicData uri="http://schemas.microsoft.com/office/word/2010/wordprocessingShape">
                          <wps:wsp>
                            <wps:cNvSpPr txBox="1"/>
                            <wps:spPr>
                              <a:xfrm>
                                <a:off x="0" y="0"/>
                                <a:ext cx="818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2">
                      <wp:simplePos x="0" y="0"/>
                      <wp:positionH relativeFrom="character">
                        <wp:align>left</wp:align>
                      </wp:positionH>
                      <wp:positionV relativeFrom="line">
                        <wp:posOffset>635</wp:posOffset>
                      </wp:positionV>
                      <wp:extent cx="69215" cy="175260"/>
                      <wp:effectExtent l="0" t="0" r="0" b="0"/>
                      <wp:wrapNone/>
                      <wp:docPr id="841" name="Frame8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3">
                      <wp:simplePos x="0" y="0"/>
                      <wp:positionH relativeFrom="character">
                        <wp:align>left</wp:align>
                      </wp:positionH>
                      <wp:positionV relativeFrom="line">
                        <wp:posOffset>635</wp:posOffset>
                      </wp:positionV>
                      <wp:extent cx="1681480" cy="175260"/>
                      <wp:effectExtent l="0" t="0" r="0" b="0"/>
                      <wp:wrapNone/>
                      <wp:docPr id="842" name="Frame842"/>
                      <a:graphic xmlns:a="http://schemas.openxmlformats.org/drawingml/2006/main">
                        <a:graphicData uri="http://schemas.microsoft.com/office/word/2010/wordprocessingShape">
                          <wps:wsp>
                            <wps:cNvSpPr txBox="1"/>
                            <wps:spPr>
                              <a:xfrm>
                                <a:off x="0" y="0"/>
                                <a:ext cx="1681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4">
                      <wp:simplePos x="0" y="0"/>
                      <wp:positionH relativeFrom="character">
                        <wp:align>left</wp:align>
                      </wp:positionH>
                      <wp:positionV relativeFrom="line">
                        <wp:posOffset>635</wp:posOffset>
                      </wp:positionV>
                      <wp:extent cx="69215" cy="175260"/>
                      <wp:effectExtent l="0" t="0" r="0" b="0"/>
                      <wp:wrapNone/>
                      <wp:docPr id="843" name="Frame8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5">
                      <wp:simplePos x="0" y="0"/>
                      <wp:positionH relativeFrom="character">
                        <wp:align>left</wp:align>
                      </wp:positionH>
                      <wp:positionV relativeFrom="line">
                        <wp:posOffset>635</wp:posOffset>
                      </wp:positionV>
                      <wp:extent cx="133985" cy="175260"/>
                      <wp:effectExtent l="0" t="0" r="0" b="0"/>
                      <wp:wrapNone/>
                      <wp:docPr id="844" name="Frame8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6">
                      <wp:simplePos x="0" y="0"/>
                      <wp:positionH relativeFrom="character">
                        <wp:align>left</wp:align>
                      </wp:positionH>
                      <wp:positionV relativeFrom="line">
                        <wp:posOffset>635</wp:posOffset>
                      </wp:positionV>
                      <wp:extent cx="1968500" cy="175260"/>
                      <wp:effectExtent l="0" t="0" r="0" b="0"/>
                      <wp:wrapNone/>
                      <wp:docPr id="845" name="Frame845"/>
                      <a:graphic xmlns:a="http://schemas.openxmlformats.org/drawingml/2006/main">
                        <a:graphicData uri="http://schemas.microsoft.com/office/word/2010/wordprocessingShape">
                          <wps:wsp>
                            <wps:cNvSpPr txBox="1"/>
                            <wps:spPr>
                              <a:xfrm>
                                <a:off x="0" y="0"/>
                                <a:ext cx="1968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33"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 xml:space="preserve">Period </w:t>
            </w:r>
            <w:r>
              <w:rPr>
                <w:rFonts w:ascii="Times New Roman;Times;serif" w:hAnsi="Times New Roman;Times;serif"/>
                <w:b/>
                <w:sz w:val="12"/>
              </w:rPr>
              <w:t>(1)</w:t>
            </w:r>
          </w:p>
        </w:tc>
        <w:tc>
          <w:tcPr>
            <w:tcW w:w="109" w:type="dxa"/>
            <w:tcBorders/>
            <w:vAlign w:val="center"/>
          </w:tcPr>
          <w:p>
            <w:pPr>
              <w:pStyle w:val="TableContents"/>
              <w:bidi w:val="0"/>
              <w:spacing w:before="0" w:after="0"/>
              <w:ind w:left="0" w:right="0" w:hanging="0"/>
              <w:jc w:val="center"/>
              <w:rPr/>
            </w:pPr>
            <w:r>
              <w:rPr/>
              <w:t>​</w:t>
            </w:r>
          </w:p>
        </w:tc>
        <w:tc>
          <w:tcPr>
            <w:tcW w:w="157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Total Number of Shares Purchased </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28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Price Paid per Share</w:t>
            </w:r>
          </w:p>
        </w:tc>
        <w:tc>
          <w:tcPr>
            <w:tcW w:w="109" w:type="dxa"/>
            <w:tcBorders/>
            <w:vAlign w:val="center"/>
          </w:tcPr>
          <w:p>
            <w:pPr>
              <w:pStyle w:val="TableContents"/>
              <w:bidi w:val="0"/>
              <w:spacing w:before="0" w:after="0"/>
              <w:ind w:left="0" w:right="0" w:hanging="0"/>
              <w:jc w:val="center"/>
              <w:rPr/>
            </w:pPr>
            <w:r>
              <w:rPr/>
              <w:t>​</w:t>
            </w:r>
          </w:p>
        </w:tc>
        <w:tc>
          <w:tcPr>
            <w:tcW w:w="264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Number of Shares Purchased as Part of Publicly Announced Program</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310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Maximum Dollar Value of Shares that May Yet Be Purchased Under the Plans at Period End</w:t>
            </w:r>
          </w:p>
        </w:tc>
      </w:tr>
      <w:tr>
        <w:trPr/>
        <w:tc>
          <w:tcPr>
            <w:tcW w:w="733"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57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28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64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3100"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in thousands)</w:t>
            </w:r>
          </w:p>
        </w:tc>
      </w:tr>
      <w:tr>
        <w:trPr/>
        <w:tc>
          <w:tcPr>
            <w:tcW w:w="7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1-30</w:t>
            </w:r>
          </w:p>
        </w:tc>
        <w:tc>
          <w:tcPr>
            <w:tcW w:w="109" w:type="dxa"/>
            <w:tcBorders/>
            <w:shd w:fill="CCEEFF" w:val="clear"/>
            <w:vAlign w:val="center"/>
          </w:tcPr>
          <w:p>
            <w:pPr>
              <w:pStyle w:val="TableContents"/>
              <w:bidi w:val="0"/>
              <w:spacing w:before="0" w:after="0"/>
              <w:ind w:left="0" w:right="0" w:hanging="0"/>
              <w:jc w:val="left"/>
              <w:rPr/>
            </w:pPr>
            <w:r>
              <w:rPr/>
              <w:t>​</w:t>
            </w:r>
          </w:p>
        </w:tc>
        <w:tc>
          <w:tcPr>
            <w:tcW w:w="157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4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1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119,921</w:t>
            </w:r>
          </w:p>
        </w:tc>
      </w:tr>
      <w:tr>
        <w:trPr/>
        <w:tc>
          <w:tcPr>
            <w:tcW w:w="7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1-31</w:t>
            </w:r>
          </w:p>
        </w:tc>
        <w:tc>
          <w:tcPr>
            <w:tcW w:w="109" w:type="dxa"/>
            <w:tcBorders/>
            <w:vAlign w:val="center"/>
          </w:tcPr>
          <w:p>
            <w:pPr>
              <w:pStyle w:val="TableContents"/>
              <w:bidi w:val="0"/>
              <w:spacing w:before="0" w:after="0"/>
              <w:ind w:left="0" w:right="0" w:hanging="0"/>
              <w:jc w:val="left"/>
              <w:rPr/>
            </w:pPr>
            <w:r>
              <w:rPr/>
              <w:t>​</w:t>
            </w:r>
          </w:p>
        </w:tc>
        <w:tc>
          <w:tcPr>
            <w:tcW w:w="15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963,187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12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13.13</w:t>
            </w:r>
          </w:p>
        </w:tc>
        <w:tc>
          <w:tcPr>
            <w:tcW w:w="109" w:type="dxa"/>
            <w:tcBorders/>
            <w:vAlign w:val="center"/>
          </w:tcPr>
          <w:p>
            <w:pPr>
              <w:pStyle w:val="TableContents"/>
              <w:bidi w:val="0"/>
              <w:spacing w:before="0" w:after="0"/>
              <w:ind w:left="0" w:right="0" w:hanging="0"/>
              <w:jc w:val="left"/>
              <w:rPr/>
            </w:pPr>
            <w:r>
              <w:rPr/>
              <w:t>​</w:t>
            </w:r>
          </w:p>
        </w:tc>
        <w:tc>
          <w:tcPr>
            <w:tcW w:w="26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963,187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1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107,272</w:t>
            </w:r>
          </w:p>
        </w:tc>
      </w:tr>
      <w:tr>
        <w:trPr/>
        <w:tc>
          <w:tcPr>
            <w:tcW w:w="7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June 1-30</w:t>
            </w:r>
          </w:p>
        </w:tc>
        <w:tc>
          <w:tcPr>
            <w:tcW w:w="109" w:type="dxa"/>
            <w:tcBorders/>
            <w:shd w:fill="CCEEFF" w:val="clear"/>
            <w:vAlign w:val="center"/>
          </w:tcPr>
          <w:p>
            <w:pPr>
              <w:pStyle w:val="TableContents"/>
              <w:bidi w:val="0"/>
              <w:spacing w:before="0" w:after="0"/>
              <w:ind w:left="0" w:right="0" w:hanging="0"/>
              <w:jc w:val="left"/>
              <w:rPr/>
            </w:pPr>
            <w:r>
              <w:rPr/>
              <w:t>​</w:t>
            </w:r>
          </w:p>
        </w:tc>
        <w:tc>
          <w:tcPr>
            <w:tcW w:w="15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1,049,609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2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13.20</w:t>
            </w:r>
          </w:p>
        </w:tc>
        <w:tc>
          <w:tcPr>
            <w:tcW w:w="109" w:type="dxa"/>
            <w:tcBorders/>
            <w:shd w:fill="CCEEFF" w:val="clear"/>
            <w:vAlign w:val="center"/>
          </w:tcPr>
          <w:p>
            <w:pPr>
              <w:pStyle w:val="TableContents"/>
              <w:bidi w:val="0"/>
              <w:spacing w:before="0" w:after="0"/>
              <w:ind w:left="0" w:right="0" w:hanging="0"/>
              <w:jc w:val="left"/>
              <w:rPr/>
            </w:pPr>
            <w:r>
              <w:rPr/>
              <w:t>​</w:t>
            </w:r>
          </w:p>
        </w:tc>
        <w:tc>
          <w:tcPr>
            <w:tcW w:w="26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1,049,609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31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93,421</w:t>
            </w:r>
          </w:p>
        </w:tc>
      </w:tr>
      <w:tr>
        <w:trPr/>
        <w:tc>
          <w:tcPr>
            <w:tcW w:w="7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w:t>
            </w:r>
          </w:p>
        </w:tc>
        <w:tc>
          <w:tcPr>
            <w:tcW w:w="109" w:type="dxa"/>
            <w:tcBorders/>
            <w:vAlign w:val="center"/>
          </w:tcPr>
          <w:p>
            <w:pPr>
              <w:pStyle w:val="TableContents"/>
              <w:bidi w:val="0"/>
              <w:spacing w:before="0" w:after="0"/>
              <w:ind w:left="0" w:right="0" w:hanging="0"/>
              <w:jc w:val="left"/>
              <w:rPr/>
            </w:pPr>
            <w:r>
              <w:rPr/>
              <w:t>​</w:t>
            </w:r>
          </w:p>
        </w:tc>
        <w:tc>
          <w:tcPr>
            <w:tcW w:w="157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2,012,796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13.17</w:t>
            </w:r>
          </w:p>
        </w:tc>
        <w:tc>
          <w:tcPr>
            <w:tcW w:w="109" w:type="dxa"/>
            <w:tcBorders/>
            <w:vAlign w:val="center"/>
          </w:tcPr>
          <w:p>
            <w:pPr>
              <w:pStyle w:val="TableContents"/>
              <w:bidi w:val="0"/>
              <w:spacing w:before="0" w:after="0"/>
              <w:ind w:left="0" w:right="0" w:hanging="0"/>
              <w:jc w:val="left"/>
              <w:rPr/>
            </w:pPr>
            <w:r>
              <w:rPr/>
              <w:t>​</w:t>
            </w:r>
          </w:p>
        </w:tc>
        <w:tc>
          <w:tcPr>
            <w:tcW w:w="264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2,012,796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1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93,421</w:t>
            </w:r>
          </w:p>
        </w:tc>
      </w:tr>
      <w:tr>
        <w:trPr/>
        <w:tc>
          <w:tcPr>
            <w:tcW w:w="10205" w:type="dxa"/>
            <w:gridSpan w:val="11"/>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2"/>
              </w:rPr>
              <w:t xml:space="preserve">(1) </w:t>
            </w:r>
            <w:r>
              <w:rPr>
                <w:rFonts w:ascii="Times New Roman;Times;serif" w:hAnsi="Times New Roman;Times;serif"/>
                <w:sz w:val="16"/>
              </w:rPr>
              <w:t>On October 30, 2025, the Board authorized the Repurchase Program for up to $150.0 million of the Company's outstanding shares of Class A common stock. The Repurchase Program has no termination date and may be modified, suspended or discontinued at any time.</w:t>
            </w:r>
          </w:p>
        </w:tc>
      </w:tr>
    </w:tbl>
    <w:p>
      <w:pPr>
        <w:pStyle w:val="TextBody"/>
        <w:bidi w:val="0"/>
        <w:spacing w:before="0" w:after="0"/>
        <w:ind w:left="380" w:right="0" w:hanging="0"/>
        <w:jc w:val="left"/>
        <w:rPr/>
      </w:pPr>
      <w:r>
        <w:rPr/>
        <w:t>​</w:t>
      </w:r>
    </w:p>
    <w:p>
      <w:pPr>
        <w:pStyle w:val="TextBody"/>
        <w:bidi w:val="0"/>
        <w:spacing w:before="0" w:after="0"/>
        <w:ind w:left="380" w:right="0" w:hanging="0"/>
        <w:jc w:val="left"/>
        <w:rPr>
          <w:rFonts w:ascii="Times New Roman;Times;serif" w:hAnsi="Times New Roman;Times;serif"/>
          <w:sz w:val="20"/>
        </w:rPr>
      </w:pPr>
      <w:r>
        <w:rPr>
          <w:rFonts w:ascii="Times New Roman;Times;serif" w:hAnsi="Times New Roman;Times;serif"/>
          <w:sz w:val="20"/>
        </w:rPr>
        <w:t>Shares purchased under the Repurchase Program do not include shares withheld to satisfy withholding tax obligations.</w:t>
      </w:r>
    </w:p>
    <w:p>
      <w:pPr>
        <w:pStyle w:val="TextBody"/>
        <w:bidi w:val="0"/>
        <w:spacing w:before="0" w:after="0"/>
        <w:ind w:left="380" w:right="0" w:hanging="0"/>
        <w:jc w:val="left"/>
        <w:rPr/>
      </w:pPr>
      <w:r>
        <w:rPr/>
        <w:t>​</w:t>
      </w:r>
    </w:p>
    <w:p>
      <w:pPr>
        <w:pStyle w:val="Normal"/>
        <w:bidi w:val="0"/>
        <w:spacing w:before="0" w:after="0"/>
        <w:jc w:val="left"/>
        <w:rPr>
          <w:sz w:val="4"/>
          <w:szCs w:val="4"/>
        </w:rPr>
      </w:pPr>
      <w:r>
        <w:rPr>
          <w:sz w:val="4"/>
          <w:szCs w:val="4"/>
        </w:rPr>
      </w:r>
      <w:bookmarkStart w:id="2230" w:name="ITEM3DEFAULTSUPONSENIORSECURITIES_573487"/>
      <w:bookmarkStart w:id="2231" w:name="_ac29fed3_3ef6_4797_9732_d07ea5be61e9"/>
      <w:bookmarkStart w:id="2232" w:name="ITEM3DEFAULTSUPONSENIORSECURITIES_573487"/>
      <w:bookmarkStart w:id="2233" w:name="_ac29fed3_3ef6_4797_9732_d07ea5be61e9"/>
      <w:bookmarkEnd w:id="2232"/>
      <w:bookmarkEnd w:id="2233"/>
    </w:p>
    <w:tbl>
      <w:tblPr>
        <w:tblW w:w="4607" w:type="dxa"/>
        <w:jc w:val="left"/>
        <w:tblInd w:w="0" w:type="dxa"/>
        <w:tblLayout w:type="fixed"/>
        <w:tblCellMar>
          <w:top w:w="0" w:type="dxa"/>
          <w:left w:w="0" w:type="dxa"/>
          <w:bottom w:w="0" w:type="dxa"/>
          <w:right w:w="0" w:type="dxa"/>
        </w:tblCellMar>
      </w:tblPr>
      <w:tblGrid>
        <w:gridCol w:w="841"/>
        <w:gridCol w:w="3766"/>
      </w:tblGrid>
      <w:tr>
        <w:trPr/>
        <w:tc>
          <w:tcPr>
            <w:tcW w:w="84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3.</w:t>
            </w:r>
          </w:p>
        </w:tc>
        <w:tc>
          <w:tcPr>
            <w:tcW w:w="376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DEFAULTS UPON SENIOR SECURITIES</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bookmarkStart w:id="2234" w:name="ITEM4MINESAFETYDISCLOSURES_7256"/>
      <w:bookmarkStart w:id="2235" w:name="_e27d9962_c904_41ae_b6a0_e2de785bcf8a"/>
      <w:bookmarkEnd w:id="2234"/>
      <w:bookmarkEnd w:id="2235"/>
      <w:r>
        <w:rPr>
          <w:rFonts w:ascii="Times New Roman;Times;serif" w:hAnsi="Times New Roman;Times;serif"/>
          <w:b/>
          <w:sz w:val="20"/>
        </w:rPr>
        <w:t>ITEM 4</w:t>
      </w:r>
      <w:r>
        <w:rPr>
          <w:rFonts w:ascii="Times New Roman;Times;serif" w:hAnsi="Times New Roman;Times;serif"/>
          <w:sz w:val="20"/>
        </w:rPr>
        <w:t xml:space="preserve">. </w:t>
      </w:r>
      <w:r>
        <w:rPr>
          <w:rFonts w:ascii="Times New Roman;Times;serif" w:hAnsi="Times New Roman;Times;serif"/>
          <w:b/>
          <w:sz w:val="20"/>
        </w:rPr>
        <w:t>MINE SAFETY DISCLOSURES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both"/>
        <w:rPr>
          <w:rFonts w:ascii="Times New Roman;Times;serif" w:hAnsi="Times New Roman;Times;serif"/>
          <w:sz w:val="20"/>
        </w:rPr>
      </w:pPr>
      <w:bookmarkStart w:id="2236" w:name="ITEM5OTHERINFORMATION_591263"/>
      <w:bookmarkStart w:id="2237" w:name="_93d83d92_9f40_4cca_8af3_e785a187707f"/>
      <w:bookmarkEnd w:id="2236"/>
      <w:bookmarkEnd w:id="2237"/>
      <w:r>
        <w:rPr>
          <w:rFonts w:ascii="Times New Roman;Times;serif" w:hAnsi="Times New Roman;Times;serif"/>
          <w:b/>
          <w:sz w:val="20"/>
        </w:rPr>
        <w:t>ITEM 5. OTHER INFORMATION</w:t>
      </w:r>
      <w:r>
        <w:rPr>
          <w:rFonts w:ascii="Times New Roman;Times;serif" w:hAnsi="Times New Roman;Times;serif"/>
          <w:sz w:val="20"/>
        </w:rPr>
        <w:t xml:space="preserve">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three months ended June 30, 2026, no director or officer of the Company adopted, modified or terminated a “Rule 10b5-1 trading arrangement” or “non-Rule 10b5-1 trading arrangement,” as each term is defined in Item 408(a) of Regulation S-K.</w:t>
      </w:r>
    </w:p>
    <w:p>
      <w:pPr>
        <w:pStyle w:val="TextBody"/>
        <w:bidi w:val="0"/>
        <w:spacing w:before="0" w:after="240"/>
        <w:ind w:left="0" w:right="0" w:hanging="0"/>
        <w:jc w:val="both"/>
        <w:rPr>
          <w:rFonts w:ascii="Times New Roman;Times;serif" w:hAnsi="Times New Roman;Times;serif"/>
          <w:b/>
          <w:sz w:val="20"/>
        </w:rPr>
      </w:pPr>
      <w:bookmarkStart w:id="2238" w:name="ITEM6EXHIBITS_780342"/>
      <w:bookmarkStart w:id="2239" w:name="_2fd09eb1_96d0_46ca_86a8_80b267f87513"/>
      <w:bookmarkEnd w:id="2238"/>
      <w:bookmarkEnd w:id="2239"/>
      <w:r>
        <w:rPr>
          <w:rFonts w:ascii="Times New Roman;Times;serif" w:hAnsi="Times New Roman;Times;serif"/>
          <w:b/>
          <w:sz w:val="20"/>
        </w:rPr>
        <w:t>ITEM 6. EXHIBITS</w:t>
      </w:r>
    </w:p>
    <w:tbl>
      <w:tblPr>
        <w:tblW w:w="10205" w:type="dxa"/>
        <w:jc w:val="left"/>
        <w:tblInd w:w="0" w:type="dxa"/>
        <w:tblLayout w:type="fixed"/>
        <w:tblCellMar>
          <w:top w:w="0" w:type="dxa"/>
          <w:left w:w="0" w:type="dxa"/>
          <w:bottom w:w="0" w:type="dxa"/>
          <w:right w:w="0" w:type="dxa"/>
        </w:tblCellMar>
      </w:tblPr>
      <w:tblGrid>
        <w:gridCol w:w="717"/>
        <w:gridCol w:w="406"/>
        <w:gridCol w:w="3271"/>
        <w:gridCol w:w="346"/>
        <w:gridCol w:w="511"/>
        <w:gridCol w:w="346"/>
        <w:gridCol w:w="413"/>
        <w:gridCol w:w="346"/>
        <w:gridCol w:w="631"/>
        <w:gridCol w:w="346"/>
        <w:gridCol w:w="526"/>
        <w:gridCol w:w="346"/>
        <w:gridCol w:w="781"/>
        <w:gridCol w:w="346"/>
        <w:gridCol w:w="873"/>
      </w:tblGrid>
      <w:tr>
        <w:trPr/>
        <w:tc>
          <w:tcPr>
            <w:tcW w:w="717" w:type="dxa"/>
            <w:tcBorders/>
            <w:vAlign w:val="center"/>
          </w:tcPr>
          <w:p>
            <w:pPr>
              <w:pStyle w:val="TableHeading"/>
              <w:bidi w:val="0"/>
              <w:spacing w:before="0" w:after="0"/>
              <w:ind w:left="0" w:right="0" w:hanging="0"/>
              <w:jc w:val="left"/>
              <w:rPr/>
            </w:pPr>
            <w:r>
              <w:rPr/>
              <w:t>​</w:t>
            </w:r>
          </w:p>
        </w:tc>
        <w:tc>
          <w:tcPr>
            <w:tcW w:w="406" w:type="dxa"/>
            <w:tcBorders/>
            <w:vAlign w:val="center"/>
          </w:tcPr>
          <w:p>
            <w:pPr>
              <w:pStyle w:val="TableHeading"/>
              <w:bidi w:val="0"/>
              <w:spacing w:before="0" w:after="283"/>
              <w:ind w:left="0" w:right="0" w:hanging="0"/>
              <w:rPr>
                <w:sz w:val="4"/>
                <w:szCs w:val="4"/>
              </w:rPr>
            </w:pPr>
            <w:r>
              <w:rPr>
                <w:sz w:val="4"/>
                <w:szCs w:val="4"/>
              </w:rPr>
            </w:r>
          </w:p>
        </w:tc>
        <w:tc>
          <w:tcPr>
            <w:tcW w:w="3271" w:type="dxa"/>
            <w:tcBorders/>
            <w:vAlign w:val="center"/>
          </w:tcPr>
          <w:p>
            <w:pPr>
              <w:pStyle w:val="TableHeading"/>
              <w:bidi w:val="0"/>
              <w:spacing w:before="0" w:after="283"/>
              <w:ind w:left="0" w:right="0" w:hanging="0"/>
              <w:rPr>
                <w:sz w:val="4"/>
                <w:szCs w:val="4"/>
              </w:rPr>
            </w:pPr>
            <w:r>
              <w:rPr>
                <w:sz w:val="4"/>
                <w:szCs w:val="4"/>
              </w:rPr>
            </w:r>
          </w:p>
        </w:tc>
        <w:tc>
          <w:tcPr>
            <w:tcW w:w="346" w:type="dxa"/>
            <w:tcBorders/>
            <w:vAlign w:val="center"/>
          </w:tcPr>
          <w:p>
            <w:pPr>
              <w:pStyle w:val="TableHeading"/>
              <w:bidi w:val="0"/>
              <w:spacing w:before="0" w:after="283"/>
              <w:ind w:left="0" w:right="0" w:hanging="0"/>
              <w:rPr>
                <w:sz w:val="4"/>
                <w:szCs w:val="4"/>
              </w:rPr>
            </w:pPr>
            <w:r>
              <w:rPr>
                <w:sz w:val="4"/>
                <w:szCs w:val="4"/>
              </w:rPr>
            </w:r>
          </w:p>
        </w:tc>
        <w:tc>
          <w:tcPr>
            <w:tcW w:w="511" w:type="dxa"/>
            <w:tcBorders/>
            <w:vAlign w:val="center"/>
          </w:tcPr>
          <w:p>
            <w:pPr>
              <w:pStyle w:val="TableHeading"/>
              <w:bidi w:val="0"/>
              <w:spacing w:before="0" w:after="283"/>
              <w:ind w:left="0" w:right="0" w:hanging="0"/>
              <w:rPr>
                <w:sz w:val="4"/>
                <w:szCs w:val="4"/>
              </w:rPr>
            </w:pPr>
            <w:r>
              <w:rPr>
                <w:sz w:val="4"/>
                <w:szCs w:val="4"/>
              </w:rPr>
            </w:r>
          </w:p>
        </w:tc>
        <w:tc>
          <w:tcPr>
            <w:tcW w:w="346" w:type="dxa"/>
            <w:tcBorders/>
            <w:vAlign w:val="center"/>
          </w:tcPr>
          <w:p>
            <w:pPr>
              <w:pStyle w:val="TableHeading"/>
              <w:bidi w:val="0"/>
              <w:spacing w:before="0" w:after="283"/>
              <w:ind w:left="0" w:right="0" w:hanging="0"/>
              <w:rPr>
                <w:sz w:val="4"/>
                <w:szCs w:val="4"/>
              </w:rPr>
            </w:pPr>
            <w:r>
              <w:rPr>
                <w:sz w:val="4"/>
                <w:szCs w:val="4"/>
              </w:rPr>
            </w:r>
          </w:p>
        </w:tc>
        <w:tc>
          <w:tcPr>
            <w:tcW w:w="413" w:type="dxa"/>
            <w:tcBorders/>
            <w:vAlign w:val="center"/>
          </w:tcPr>
          <w:p>
            <w:pPr>
              <w:pStyle w:val="TableHeading"/>
              <w:bidi w:val="0"/>
              <w:spacing w:before="0" w:after="283"/>
              <w:ind w:left="0" w:right="0" w:hanging="0"/>
              <w:rPr>
                <w:sz w:val="4"/>
                <w:szCs w:val="4"/>
              </w:rPr>
            </w:pPr>
            <w:r>
              <w:rPr>
                <w:sz w:val="4"/>
                <w:szCs w:val="4"/>
              </w:rPr>
            </w:r>
          </w:p>
        </w:tc>
        <w:tc>
          <w:tcPr>
            <w:tcW w:w="346" w:type="dxa"/>
            <w:tcBorders/>
            <w:vAlign w:val="center"/>
          </w:tcPr>
          <w:p>
            <w:pPr>
              <w:pStyle w:val="TableHeading"/>
              <w:bidi w:val="0"/>
              <w:spacing w:before="0" w:after="283"/>
              <w:ind w:left="0" w:right="0" w:hanging="0"/>
              <w:rPr>
                <w:sz w:val="4"/>
                <w:szCs w:val="4"/>
              </w:rPr>
            </w:pPr>
            <w:r>
              <w:rPr>
                <w:sz w:val="4"/>
                <w:szCs w:val="4"/>
              </w:rPr>
            </w:r>
          </w:p>
        </w:tc>
        <w:tc>
          <w:tcPr>
            <w:tcW w:w="631" w:type="dxa"/>
            <w:tcBorders/>
            <w:vAlign w:val="center"/>
          </w:tcPr>
          <w:p>
            <w:pPr>
              <w:pStyle w:val="TableHeading"/>
              <w:bidi w:val="0"/>
              <w:spacing w:before="0" w:after="283"/>
              <w:ind w:left="0" w:right="0" w:hanging="0"/>
              <w:rPr>
                <w:sz w:val="4"/>
                <w:szCs w:val="4"/>
              </w:rPr>
            </w:pPr>
            <w:r>
              <w:rPr>
                <w:sz w:val="4"/>
                <w:szCs w:val="4"/>
              </w:rPr>
            </w:r>
          </w:p>
        </w:tc>
        <w:tc>
          <w:tcPr>
            <w:tcW w:w="346" w:type="dxa"/>
            <w:tcBorders/>
            <w:vAlign w:val="center"/>
          </w:tcPr>
          <w:p>
            <w:pPr>
              <w:pStyle w:val="TableHeading"/>
              <w:bidi w:val="0"/>
              <w:spacing w:before="0" w:after="283"/>
              <w:ind w:left="0" w:right="0" w:hanging="0"/>
              <w:rPr>
                <w:sz w:val="4"/>
                <w:szCs w:val="4"/>
              </w:rPr>
            </w:pPr>
            <w:r>
              <w:rPr>
                <w:sz w:val="4"/>
                <w:szCs w:val="4"/>
              </w:rPr>
            </w:r>
          </w:p>
        </w:tc>
        <w:tc>
          <w:tcPr>
            <w:tcW w:w="526" w:type="dxa"/>
            <w:tcBorders/>
            <w:vAlign w:val="center"/>
          </w:tcPr>
          <w:p>
            <w:pPr>
              <w:pStyle w:val="TableHeading"/>
              <w:bidi w:val="0"/>
              <w:spacing w:before="0" w:after="283"/>
              <w:ind w:left="0" w:right="0" w:hanging="0"/>
              <w:rPr>
                <w:sz w:val="4"/>
                <w:szCs w:val="4"/>
              </w:rPr>
            </w:pPr>
            <w:r>
              <w:rPr>
                <w:sz w:val="4"/>
                <w:szCs w:val="4"/>
              </w:rPr>
            </w:r>
          </w:p>
        </w:tc>
        <w:tc>
          <w:tcPr>
            <w:tcW w:w="346" w:type="dxa"/>
            <w:tcBorders/>
            <w:vAlign w:val="center"/>
          </w:tcPr>
          <w:p>
            <w:pPr>
              <w:pStyle w:val="TableHeading"/>
              <w:bidi w:val="0"/>
              <w:spacing w:before="0" w:after="283"/>
              <w:ind w:left="0" w:right="0" w:hanging="0"/>
              <w:rPr>
                <w:sz w:val="4"/>
                <w:szCs w:val="4"/>
              </w:rPr>
            </w:pPr>
            <w:r>
              <w:rPr>
                <w:sz w:val="4"/>
                <w:szCs w:val="4"/>
              </w:rPr>
            </w:r>
          </w:p>
        </w:tc>
        <w:tc>
          <w:tcPr>
            <w:tcW w:w="781" w:type="dxa"/>
            <w:tcBorders/>
            <w:vAlign w:val="center"/>
          </w:tcPr>
          <w:p>
            <w:pPr>
              <w:pStyle w:val="TableHeading"/>
              <w:bidi w:val="0"/>
              <w:spacing w:before="0" w:after="283"/>
              <w:ind w:left="0" w:right="0" w:hanging="0"/>
              <w:rPr>
                <w:sz w:val="4"/>
                <w:szCs w:val="4"/>
              </w:rPr>
            </w:pPr>
            <w:r>
              <w:rPr>
                <w:sz w:val="4"/>
                <w:szCs w:val="4"/>
              </w:rPr>
            </w:r>
          </w:p>
        </w:tc>
        <w:tc>
          <w:tcPr>
            <w:tcW w:w="346" w:type="dxa"/>
            <w:tcBorders/>
            <w:vAlign w:val="center"/>
          </w:tcPr>
          <w:p>
            <w:pPr>
              <w:pStyle w:val="TableHeading"/>
              <w:bidi w:val="0"/>
              <w:spacing w:before="0" w:after="283"/>
              <w:ind w:left="0" w:right="0" w:hanging="0"/>
              <w:rPr>
                <w:sz w:val="4"/>
                <w:szCs w:val="4"/>
              </w:rPr>
            </w:pPr>
            <w:r>
              <w:rPr>
                <w:sz w:val="4"/>
                <w:szCs w:val="4"/>
              </w:rPr>
            </w:r>
          </w:p>
        </w:tc>
        <w:tc>
          <w:tcPr>
            <w:tcW w:w="873" w:type="dxa"/>
            <w:tcBorders/>
            <w:vAlign w:val="center"/>
          </w:tcPr>
          <w:p>
            <w:pPr>
              <w:pStyle w:val="TableHeading"/>
              <w:bidi w:val="0"/>
              <w:spacing w:before="0" w:after="283"/>
              <w:ind w:left="0" w:right="0" w:hanging="0"/>
              <w:rPr>
                <w:sz w:val="4"/>
                <w:szCs w:val="4"/>
              </w:rPr>
            </w:pPr>
            <w:r>
              <w:rPr>
                <w:sz w:val="4"/>
                <w:szCs w:val="4"/>
              </w:rPr>
            </w:r>
          </w:p>
        </w:tc>
      </w:tr>
      <w:tr>
        <w:trPr/>
        <w:tc>
          <w:tcPr>
            <w:tcW w:w="717" w:type="dxa"/>
            <w:tcBorders>
              <w:bottom w:val="single" w:sz="8" w:space="0" w:color="000000"/>
            </w:tcBorders>
            <w:tcMar>
              <w:bottom w:w="28" w:type="dxa"/>
            </w:tcMar>
            <w:vAlign w:val="center"/>
          </w:tcPr>
          <w:p>
            <w:pPr>
              <w:pStyle w:val="TableHeading"/>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xml:space="preserve">Exhibit </w:t>
              <w:br/>
              <w:t>Number</w:t>
            </w:r>
          </w:p>
        </w:tc>
        <w:tc>
          <w:tcPr>
            <w:tcW w:w="406" w:type="dxa"/>
            <w:tcBorders>
              <w:bottom w:val="single" w:sz="8" w:space="0" w:color="000000"/>
            </w:tcBorders>
            <w:tcMar>
              <w:bottom w:w="28" w:type="dxa"/>
            </w:tcMar>
            <w:vAlign w:val="center"/>
          </w:tcPr>
          <w:p>
            <w:pPr>
              <w:pStyle w:val="TableHeading"/>
              <w:bidi w:val="0"/>
              <w:spacing w:before="0" w:after="0"/>
              <w:ind w:left="0" w:right="0" w:hanging="0"/>
              <w:jc w:val="left"/>
              <w:rPr/>
            </w:pPr>
            <w:r>
              <w:rPr/>
              <w:t>  ​ ​ ​ ​</w:t>
            </w:r>
          </w:p>
        </w:tc>
        <w:tc>
          <w:tcPr>
            <w:tcW w:w="3271" w:type="dxa"/>
            <w:tcBorders>
              <w:bottom w:val="single" w:sz="8"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Exhibit Description </w:t>
            </w:r>
          </w:p>
        </w:tc>
        <w:tc>
          <w:tcPr>
            <w:tcW w:w="346" w:type="dxa"/>
            <w:tcBorders>
              <w:bottom w:val="single" w:sz="8" w:space="0" w:color="000000"/>
            </w:tcBorders>
            <w:tcMar>
              <w:bottom w:w="28" w:type="dxa"/>
            </w:tcMar>
            <w:vAlign w:val="center"/>
          </w:tcPr>
          <w:p>
            <w:pPr>
              <w:pStyle w:val="TableHeading"/>
              <w:bidi w:val="0"/>
              <w:spacing w:before="0" w:after="0"/>
              <w:ind w:left="0" w:right="0" w:hanging="0"/>
              <w:jc w:val="left"/>
              <w:rPr/>
            </w:pPr>
            <w:r>
              <w:rPr/>
              <w:t>  ​ ​ ​</w:t>
            </w:r>
          </w:p>
        </w:tc>
        <w:tc>
          <w:tcPr>
            <w:tcW w:w="511" w:type="dxa"/>
            <w:tcBorders>
              <w:bottom w:val="single" w:sz="8"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Form</w:t>
            </w:r>
          </w:p>
        </w:tc>
        <w:tc>
          <w:tcPr>
            <w:tcW w:w="346" w:type="dxa"/>
            <w:tcBorders>
              <w:bottom w:val="single" w:sz="8" w:space="0" w:color="000000"/>
            </w:tcBorders>
            <w:tcMar>
              <w:bottom w:w="28" w:type="dxa"/>
            </w:tcMar>
            <w:vAlign w:val="center"/>
          </w:tcPr>
          <w:p>
            <w:pPr>
              <w:pStyle w:val="TableHeading"/>
              <w:bidi w:val="0"/>
              <w:spacing w:before="0" w:after="0"/>
              <w:ind w:left="0" w:right="0" w:hanging="0"/>
              <w:jc w:val="left"/>
              <w:rPr/>
            </w:pPr>
            <w:r>
              <w:rPr/>
              <w:t>  ​ ​ ​</w:t>
            </w:r>
          </w:p>
        </w:tc>
        <w:tc>
          <w:tcPr>
            <w:tcW w:w="413" w:type="dxa"/>
            <w:tcBorders>
              <w:bottom w:val="single" w:sz="8"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 No.</w:t>
            </w:r>
          </w:p>
        </w:tc>
        <w:tc>
          <w:tcPr>
            <w:tcW w:w="346" w:type="dxa"/>
            <w:tcBorders>
              <w:bottom w:val="single" w:sz="8" w:space="0" w:color="000000"/>
            </w:tcBorders>
            <w:tcMar>
              <w:bottom w:w="28" w:type="dxa"/>
            </w:tcMar>
            <w:vAlign w:val="center"/>
          </w:tcPr>
          <w:p>
            <w:pPr>
              <w:pStyle w:val="TableHeading"/>
              <w:bidi w:val="0"/>
              <w:spacing w:before="0" w:after="0"/>
              <w:ind w:left="0" w:right="0" w:hanging="0"/>
              <w:jc w:val="left"/>
              <w:rPr/>
            </w:pPr>
            <w:r>
              <w:rPr/>
              <w:t>  ​ ​ ​</w:t>
            </w:r>
          </w:p>
        </w:tc>
        <w:tc>
          <w:tcPr>
            <w:tcW w:w="631" w:type="dxa"/>
            <w:tcBorders>
              <w:bottom w:val="single" w:sz="8"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r>
          </w:p>
        </w:tc>
        <w:tc>
          <w:tcPr>
            <w:tcW w:w="346" w:type="dxa"/>
            <w:tcBorders>
              <w:bottom w:val="single" w:sz="8" w:space="0" w:color="000000"/>
            </w:tcBorders>
            <w:tcMar>
              <w:bottom w:w="28" w:type="dxa"/>
            </w:tcMar>
            <w:vAlign w:val="center"/>
          </w:tcPr>
          <w:p>
            <w:pPr>
              <w:pStyle w:val="TableHeading"/>
              <w:bidi w:val="0"/>
              <w:spacing w:before="0" w:after="0"/>
              <w:ind w:left="0" w:right="0" w:hanging="0"/>
              <w:jc w:val="left"/>
              <w:rPr/>
            </w:pPr>
            <w:r>
              <w:rPr/>
              <w:t>  ​ ​ ​</w:t>
            </w:r>
          </w:p>
        </w:tc>
        <w:tc>
          <w:tcPr>
            <w:tcW w:w="526" w:type="dxa"/>
            <w:tcBorders>
              <w:bottom w:val="single" w:sz="8"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Filing</w:t>
              <w:br/>
              <w:t>Date</w:t>
            </w:r>
          </w:p>
        </w:tc>
        <w:tc>
          <w:tcPr>
            <w:tcW w:w="346" w:type="dxa"/>
            <w:tcBorders>
              <w:bottom w:val="single" w:sz="8" w:space="0" w:color="000000"/>
            </w:tcBorders>
            <w:tcMar>
              <w:bottom w:w="28" w:type="dxa"/>
            </w:tcMar>
            <w:vAlign w:val="center"/>
          </w:tcPr>
          <w:p>
            <w:pPr>
              <w:pStyle w:val="TableHeading"/>
              <w:bidi w:val="0"/>
              <w:spacing w:before="0" w:after="0"/>
              <w:ind w:left="0" w:right="0" w:hanging="0"/>
              <w:jc w:val="left"/>
              <w:rPr/>
            </w:pPr>
            <w:r>
              <w:rPr/>
              <w:t>  ​ ​ ​</w:t>
            </w:r>
          </w:p>
        </w:tc>
        <w:tc>
          <w:tcPr>
            <w:tcW w:w="781" w:type="dxa"/>
            <w:tcBorders>
              <w:bottom w:val="single" w:sz="8"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Filed</w:t>
              <w:br/>
              <w:t>Herewith</w:t>
            </w:r>
          </w:p>
        </w:tc>
        <w:tc>
          <w:tcPr>
            <w:tcW w:w="346" w:type="dxa"/>
            <w:tcBorders>
              <w:bottom w:val="single" w:sz="8" w:space="0" w:color="000000"/>
            </w:tcBorders>
            <w:tcMar>
              <w:bottom w:w="28" w:type="dxa"/>
            </w:tcMar>
            <w:vAlign w:val="center"/>
          </w:tcPr>
          <w:p>
            <w:pPr>
              <w:pStyle w:val="TableHeading"/>
              <w:bidi w:val="0"/>
              <w:spacing w:before="0" w:after="0"/>
              <w:ind w:left="0" w:right="0" w:hanging="0"/>
              <w:jc w:val="left"/>
              <w:rPr/>
            </w:pPr>
            <w:r>
              <w:rPr/>
              <w:t>  ​ ​ ​</w:t>
            </w:r>
          </w:p>
        </w:tc>
        <w:tc>
          <w:tcPr>
            <w:tcW w:w="873" w:type="dxa"/>
            <w:tcBorders>
              <w:bottom w:val="single" w:sz="8"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Furnished</w:t>
              <w:br/>
              <w:t>Herewith</w:t>
            </w:r>
          </w:p>
        </w:tc>
      </w:tr>
      <w:tr>
        <w:trPr/>
        <w:tc>
          <w:tcPr>
            <w:tcW w:w="717" w:type="dxa"/>
            <w:tcBorders/>
            <w:vAlign w:val="center"/>
          </w:tcPr>
          <w:p>
            <w:pPr>
              <w:pStyle w:val="TableContents"/>
              <w:bidi w:val="0"/>
              <w:spacing w:before="0" w:after="0"/>
              <w:ind w:left="0" w:right="0" w:hanging="0"/>
              <w:jc w:val="left"/>
              <w:rPr/>
            </w:pPr>
            <w:hyperlink w:anchor="verx-20260630xex31d1.htm">
              <w:r>
                <w:rPr>
                  <w:rStyle w:val="InternetLink"/>
                  <w:rFonts w:ascii="Times New Roman;Times;serif" w:hAnsi="Times New Roman;Times;serif"/>
                  <w:b w:val="false"/>
                  <w:i w:val="false"/>
                  <w:caps w:val="false"/>
                  <w:smallCaps w:val="false"/>
                  <w:sz w:val="20"/>
                </w:rPr>
                <w:t>31.1</w:t>
              </w:r>
            </w:hyperlink>
          </w:p>
        </w:tc>
        <w:tc>
          <w:tcPr>
            <w:tcW w:w="406" w:type="dxa"/>
            <w:tcBorders/>
            <w:vAlign w:val="center"/>
          </w:tcPr>
          <w:p>
            <w:pPr>
              <w:pStyle w:val="TableContents"/>
              <w:bidi w:val="0"/>
              <w:spacing w:before="0" w:after="0"/>
              <w:ind w:left="0" w:right="0" w:hanging="0"/>
              <w:jc w:val="both"/>
              <w:rPr/>
            </w:pPr>
            <w:r>
              <w:rPr/>
              <w:t>​</w:t>
            </w:r>
          </w:p>
        </w:tc>
        <w:tc>
          <w:tcPr>
            <w:tcW w:w="3271" w:type="dxa"/>
            <w:tcBorders/>
            <w:vAlign w:val="center"/>
          </w:tcPr>
          <w:p>
            <w:pPr>
              <w:pStyle w:val="TableContents"/>
              <w:bidi w:val="0"/>
              <w:spacing w:before="0" w:after="0"/>
              <w:ind w:left="0" w:right="0" w:hanging="0"/>
              <w:jc w:val="left"/>
              <w:rPr/>
            </w:pPr>
            <w:hyperlink w:anchor="verx-20260630xex31d1.htm">
              <w:r>
                <w:rPr>
                  <w:rStyle w:val="InternetLink"/>
                  <w:rFonts w:ascii="Times New Roman;Times;serif" w:hAnsi="Times New Roman;Times;serif"/>
                  <w:b w:val="false"/>
                  <w:i w:val="false"/>
                  <w:caps w:val="false"/>
                  <w:smallCaps w:val="false"/>
                  <w:sz w:val="20"/>
                </w:rPr>
                <w:t>Certification of Principal Executive Officer Pursuant to Rules 13a-14(a) and 15d-14(a) under the Securities Exchange Act of 1934, as Adopted Pursuant to Section 302 of the Sarbanes-Oxley Act of 2002</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1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c>
          <w:tcPr>
            <w:tcW w:w="34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center"/>
              <w:rPr/>
            </w:pPr>
            <w:r>
              <w:rPr/>
              <w:t>​</w:t>
            </w:r>
          </w:p>
        </w:tc>
      </w:tr>
      <w:tr>
        <w:trPr/>
        <w:tc>
          <w:tcPr>
            <w:tcW w:w="717" w:type="dxa"/>
            <w:tcBorders/>
            <w:vAlign w:val="center"/>
          </w:tcPr>
          <w:p>
            <w:pPr>
              <w:pStyle w:val="TableContents"/>
              <w:bidi w:val="0"/>
              <w:spacing w:before="0" w:after="0"/>
              <w:ind w:left="0" w:right="0" w:hanging="0"/>
              <w:jc w:val="left"/>
              <w:rPr/>
            </w:pPr>
            <w:hyperlink w:anchor="verx-20260630xex31d2.htm">
              <w:r>
                <w:rPr>
                  <w:rStyle w:val="InternetLink"/>
                  <w:rFonts w:ascii="Times New Roman;Times;serif" w:hAnsi="Times New Roman;Times;serif"/>
                  <w:b w:val="false"/>
                  <w:i w:val="false"/>
                  <w:caps w:val="false"/>
                  <w:smallCaps w:val="false"/>
                  <w:sz w:val="20"/>
                </w:rPr>
                <w:t>31.2</w:t>
              </w:r>
            </w:hyperlink>
          </w:p>
        </w:tc>
        <w:tc>
          <w:tcPr>
            <w:tcW w:w="406" w:type="dxa"/>
            <w:tcBorders/>
            <w:vAlign w:val="center"/>
          </w:tcPr>
          <w:p>
            <w:pPr>
              <w:pStyle w:val="TableContents"/>
              <w:bidi w:val="0"/>
              <w:spacing w:before="0" w:after="0"/>
              <w:ind w:left="0" w:right="0" w:hanging="0"/>
              <w:jc w:val="both"/>
              <w:rPr/>
            </w:pPr>
            <w:r>
              <w:rPr/>
              <w:t> </w:t>
            </w:r>
          </w:p>
        </w:tc>
        <w:tc>
          <w:tcPr>
            <w:tcW w:w="3271" w:type="dxa"/>
            <w:tcBorders/>
            <w:vAlign w:val="center"/>
          </w:tcPr>
          <w:p>
            <w:pPr>
              <w:pStyle w:val="TableContents"/>
              <w:bidi w:val="0"/>
              <w:spacing w:before="0" w:after="0"/>
              <w:ind w:left="0" w:right="0" w:hanging="0"/>
              <w:jc w:val="left"/>
              <w:rPr/>
            </w:pPr>
            <w:hyperlink w:anchor="verx-20260630xex31d2.htm">
              <w:r>
                <w:rPr>
                  <w:rStyle w:val="InternetLink"/>
                  <w:rFonts w:ascii="Times New Roman;Times;serif" w:hAnsi="Times New Roman;Times;serif"/>
                  <w:b w:val="false"/>
                  <w:i w:val="false"/>
                  <w:caps w:val="false"/>
                  <w:smallCaps w:val="false"/>
                  <w:sz w:val="20"/>
                </w:rPr>
                <w:t>Certification of Principal Financial Officer Pursuant to Rules 13a-14(a) and 15d-14(a) under the Securities Exchange Act of 1934, as Adopted Pursuant to Section 302 of the Sarbanes-Oxley Act of 2002</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1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c>
          <w:tcPr>
            <w:tcW w:w="34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center"/>
              <w:rPr/>
            </w:pPr>
            <w:r>
              <w:rPr/>
              <w:t>​</w:t>
            </w:r>
          </w:p>
        </w:tc>
      </w:tr>
      <w:tr>
        <w:trPr/>
        <w:tc>
          <w:tcPr>
            <w:tcW w:w="717" w:type="dxa"/>
            <w:tcBorders/>
            <w:vAlign w:val="center"/>
          </w:tcPr>
          <w:p>
            <w:pPr>
              <w:pStyle w:val="TableContents"/>
              <w:bidi w:val="0"/>
              <w:spacing w:before="0" w:after="0"/>
              <w:ind w:left="0" w:right="0" w:hanging="0"/>
              <w:jc w:val="left"/>
              <w:rPr/>
            </w:pPr>
            <w:hyperlink w:anchor="verx-20260630xex32d1.htm">
              <w:r>
                <w:rPr>
                  <w:rStyle w:val="InternetLink"/>
                  <w:rFonts w:ascii="Times New Roman;Times;serif" w:hAnsi="Times New Roman;Times;serif"/>
                  <w:b w:val="false"/>
                  <w:i w:val="false"/>
                  <w:caps w:val="false"/>
                  <w:smallCaps w:val="false"/>
                  <w:sz w:val="20"/>
                </w:rPr>
                <w:t>32.1</w:t>
              </w:r>
            </w:hyperlink>
          </w:p>
        </w:tc>
        <w:tc>
          <w:tcPr>
            <w:tcW w:w="406" w:type="dxa"/>
            <w:tcBorders/>
            <w:vAlign w:val="center"/>
          </w:tcPr>
          <w:p>
            <w:pPr>
              <w:pStyle w:val="TableContents"/>
              <w:bidi w:val="0"/>
              <w:spacing w:before="0" w:after="0"/>
              <w:ind w:left="0" w:right="0" w:hanging="0"/>
              <w:jc w:val="both"/>
              <w:rPr/>
            </w:pPr>
            <w:r>
              <w:rPr/>
              <w:t> </w:t>
            </w:r>
          </w:p>
        </w:tc>
        <w:tc>
          <w:tcPr>
            <w:tcW w:w="3271" w:type="dxa"/>
            <w:tcBorders/>
            <w:vAlign w:val="center"/>
          </w:tcPr>
          <w:p>
            <w:pPr>
              <w:pStyle w:val="TableContents"/>
              <w:bidi w:val="0"/>
              <w:spacing w:before="0" w:after="0"/>
              <w:ind w:left="0" w:right="0" w:hanging="0"/>
              <w:jc w:val="left"/>
              <w:rPr/>
            </w:pPr>
            <w:hyperlink w:anchor="verx-20260630xex32d1.htm">
              <w:r>
                <w:rPr>
                  <w:rStyle w:val="InternetLink"/>
                  <w:rFonts w:ascii="Times New Roman;Times;serif" w:hAnsi="Times New Roman;Times;serif"/>
                  <w:b w:val="false"/>
                  <w:i w:val="false"/>
                  <w:caps w:val="false"/>
                  <w:smallCaps w:val="false"/>
                  <w:sz w:val="20"/>
                </w:rPr>
                <w:t>Certification of Principal Executive Officer Pursuant to 18 U.S.C. Section 1350, as Adopted Pursuant to Section 906 of the Sarbanes-Oxley Act of 2002</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1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r>
      <w:tr>
        <w:trPr/>
        <w:tc>
          <w:tcPr>
            <w:tcW w:w="717" w:type="dxa"/>
            <w:tcBorders/>
            <w:vAlign w:val="center"/>
          </w:tcPr>
          <w:p>
            <w:pPr>
              <w:pStyle w:val="TableContents"/>
              <w:bidi w:val="0"/>
              <w:spacing w:before="0" w:after="0"/>
              <w:ind w:left="0" w:right="0" w:hanging="0"/>
              <w:jc w:val="left"/>
              <w:rPr/>
            </w:pPr>
            <w:hyperlink w:anchor="verx-20260630xex32d2.htm">
              <w:r>
                <w:rPr>
                  <w:rStyle w:val="InternetLink"/>
                  <w:rFonts w:ascii="Times New Roman;Times;serif" w:hAnsi="Times New Roman;Times;serif"/>
                  <w:b w:val="false"/>
                  <w:i w:val="false"/>
                  <w:caps w:val="false"/>
                  <w:smallCaps w:val="false"/>
                  <w:sz w:val="20"/>
                </w:rPr>
                <w:t>32.2</w:t>
              </w:r>
            </w:hyperlink>
          </w:p>
        </w:tc>
        <w:tc>
          <w:tcPr>
            <w:tcW w:w="406" w:type="dxa"/>
            <w:tcBorders/>
            <w:vAlign w:val="center"/>
          </w:tcPr>
          <w:p>
            <w:pPr>
              <w:pStyle w:val="TableContents"/>
              <w:bidi w:val="0"/>
              <w:spacing w:before="0" w:after="0"/>
              <w:ind w:left="0" w:right="0" w:hanging="0"/>
              <w:jc w:val="both"/>
              <w:rPr/>
            </w:pPr>
            <w:r>
              <w:rPr/>
              <w:t> </w:t>
            </w:r>
          </w:p>
        </w:tc>
        <w:tc>
          <w:tcPr>
            <w:tcW w:w="3271" w:type="dxa"/>
            <w:tcBorders/>
            <w:vAlign w:val="center"/>
          </w:tcPr>
          <w:p>
            <w:pPr>
              <w:pStyle w:val="TableContents"/>
              <w:bidi w:val="0"/>
              <w:spacing w:before="0" w:after="0"/>
              <w:ind w:left="0" w:right="0" w:hanging="0"/>
              <w:jc w:val="left"/>
              <w:rPr/>
            </w:pPr>
            <w:hyperlink w:anchor="verx-20260630xex32d2.htm">
              <w:r>
                <w:rPr>
                  <w:rStyle w:val="InternetLink"/>
                  <w:rFonts w:ascii="Times New Roman;Times;serif" w:hAnsi="Times New Roman;Times;serif"/>
                  <w:b w:val="false"/>
                  <w:i w:val="false"/>
                  <w:caps w:val="false"/>
                  <w:smallCaps w:val="false"/>
                  <w:sz w:val="20"/>
                </w:rPr>
                <w:t>Certification of Principal Financial Officer Pursuant to 18 U.S.C. Section 1350, as Adopted Pursuant to Section 906 of the Sarbanes-Oxley Act of 2002</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1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r>
      <w:tr>
        <w:trPr/>
        <w:tc>
          <w:tcPr>
            <w:tcW w:w="71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101.INS</w:t>
            </w:r>
          </w:p>
        </w:tc>
        <w:tc>
          <w:tcPr>
            <w:tcW w:w="406" w:type="dxa"/>
            <w:tcBorders/>
            <w:vAlign w:val="center"/>
          </w:tcPr>
          <w:p>
            <w:pPr>
              <w:pStyle w:val="TableContents"/>
              <w:bidi w:val="0"/>
              <w:spacing w:before="0" w:after="0"/>
              <w:ind w:left="0" w:right="0" w:hanging="0"/>
              <w:jc w:val="both"/>
              <w:rPr/>
            </w:pPr>
            <w:r>
              <w:rPr/>
              <w:t> </w:t>
            </w:r>
          </w:p>
        </w:tc>
        <w:tc>
          <w:tcPr>
            <w:tcW w:w="32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Instance Document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1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c>
          <w:tcPr>
            <w:tcW w:w="34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283"/>
              <w:ind w:left="0" w:right="0" w:hanging="0"/>
              <w:jc w:val="left"/>
              <w:rPr>
                <w:sz w:val="4"/>
                <w:szCs w:val="4"/>
              </w:rPr>
            </w:pPr>
            <w:r>
              <w:rPr>
                <w:sz w:val="4"/>
                <w:szCs w:val="4"/>
              </w:rPr>
            </w:r>
          </w:p>
        </w:tc>
      </w:tr>
      <w:tr>
        <w:trPr/>
        <w:tc>
          <w:tcPr>
            <w:tcW w:w="71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101.SCH</w:t>
            </w:r>
          </w:p>
        </w:tc>
        <w:tc>
          <w:tcPr>
            <w:tcW w:w="406" w:type="dxa"/>
            <w:tcBorders/>
            <w:vAlign w:val="center"/>
          </w:tcPr>
          <w:p>
            <w:pPr>
              <w:pStyle w:val="TableContents"/>
              <w:bidi w:val="0"/>
              <w:spacing w:before="0" w:after="0"/>
              <w:ind w:left="0" w:right="0" w:hanging="0"/>
              <w:jc w:val="both"/>
              <w:rPr/>
            </w:pPr>
            <w:r>
              <w:rPr/>
              <w:t> </w:t>
            </w:r>
          </w:p>
        </w:tc>
        <w:tc>
          <w:tcPr>
            <w:tcW w:w="32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Schema Document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1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c>
          <w:tcPr>
            <w:tcW w:w="34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center"/>
              <w:rPr/>
            </w:pPr>
            <w:r>
              <w:rPr/>
              <w:t>​</w:t>
            </w:r>
          </w:p>
        </w:tc>
      </w:tr>
      <w:tr>
        <w:trPr/>
        <w:tc>
          <w:tcPr>
            <w:tcW w:w="71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101.CAL</w:t>
            </w:r>
          </w:p>
        </w:tc>
        <w:tc>
          <w:tcPr>
            <w:tcW w:w="406" w:type="dxa"/>
            <w:tcBorders/>
            <w:vAlign w:val="center"/>
          </w:tcPr>
          <w:p>
            <w:pPr>
              <w:pStyle w:val="TableContents"/>
              <w:bidi w:val="0"/>
              <w:spacing w:before="0" w:after="0"/>
              <w:ind w:left="0" w:right="0" w:hanging="0"/>
              <w:jc w:val="both"/>
              <w:rPr/>
            </w:pPr>
            <w:r>
              <w:rPr/>
              <w:t> </w:t>
            </w:r>
          </w:p>
        </w:tc>
        <w:tc>
          <w:tcPr>
            <w:tcW w:w="32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Calculation Linkbase Document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1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c>
          <w:tcPr>
            <w:tcW w:w="34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center"/>
              <w:rPr/>
            </w:pPr>
            <w:r>
              <w:rPr/>
              <w:t>​</w:t>
            </w:r>
          </w:p>
        </w:tc>
      </w:tr>
      <w:tr>
        <w:trPr/>
        <w:tc>
          <w:tcPr>
            <w:tcW w:w="71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101.DEF</w:t>
            </w:r>
          </w:p>
        </w:tc>
        <w:tc>
          <w:tcPr>
            <w:tcW w:w="406" w:type="dxa"/>
            <w:tcBorders/>
            <w:vAlign w:val="center"/>
          </w:tcPr>
          <w:p>
            <w:pPr>
              <w:pStyle w:val="TableContents"/>
              <w:bidi w:val="0"/>
              <w:spacing w:before="0" w:after="0"/>
              <w:ind w:left="0" w:right="0" w:hanging="0"/>
              <w:jc w:val="both"/>
              <w:rPr/>
            </w:pPr>
            <w:r>
              <w:rPr/>
              <w:t> </w:t>
            </w:r>
          </w:p>
        </w:tc>
        <w:tc>
          <w:tcPr>
            <w:tcW w:w="32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Definition Linkbase Document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1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c>
          <w:tcPr>
            <w:tcW w:w="34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center"/>
              <w:rPr/>
            </w:pPr>
            <w:r>
              <w:rPr/>
              <w:t>​</w:t>
            </w:r>
          </w:p>
        </w:tc>
      </w:tr>
      <w:tr>
        <w:trPr/>
        <w:tc>
          <w:tcPr>
            <w:tcW w:w="71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101.LAB</w:t>
            </w:r>
          </w:p>
        </w:tc>
        <w:tc>
          <w:tcPr>
            <w:tcW w:w="406" w:type="dxa"/>
            <w:tcBorders/>
            <w:vAlign w:val="center"/>
          </w:tcPr>
          <w:p>
            <w:pPr>
              <w:pStyle w:val="TableContents"/>
              <w:bidi w:val="0"/>
              <w:spacing w:before="0" w:after="0"/>
              <w:ind w:left="0" w:right="0" w:hanging="0"/>
              <w:jc w:val="both"/>
              <w:rPr/>
            </w:pPr>
            <w:r>
              <w:rPr/>
              <w:t> </w:t>
            </w:r>
          </w:p>
        </w:tc>
        <w:tc>
          <w:tcPr>
            <w:tcW w:w="32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Label Linkbase Document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1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c>
          <w:tcPr>
            <w:tcW w:w="34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center"/>
              <w:rPr/>
            </w:pPr>
            <w:r>
              <w:rPr/>
              <w:t>​</w:t>
            </w:r>
          </w:p>
        </w:tc>
      </w:tr>
      <w:tr>
        <w:trPr/>
        <w:tc>
          <w:tcPr>
            <w:tcW w:w="71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101.PRE</w:t>
            </w:r>
          </w:p>
        </w:tc>
        <w:tc>
          <w:tcPr>
            <w:tcW w:w="406" w:type="dxa"/>
            <w:tcBorders/>
            <w:vAlign w:val="center"/>
          </w:tcPr>
          <w:p>
            <w:pPr>
              <w:pStyle w:val="TableContents"/>
              <w:bidi w:val="0"/>
              <w:spacing w:before="0" w:after="0"/>
              <w:ind w:left="0" w:right="0" w:hanging="0"/>
              <w:jc w:val="both"/>
              <w:rPr/>
            </w:pPr>
            <w:r>
              <w:rPr/>
              <w:t> </w:t>
            </w:r>
          </w:p>
        </w:tc>
        <w:tc>
          <w:tcPr>
            <w:tcW w:w="32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Presentation Linkbase Document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1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c>
          <w:tcPr>
            <w:tcW w:w="34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center"/>
              <w:rPr/>
            </w:pPr>
            <w:r>
              <w:rPr/>
              <w:t>​</w:t>
            </w:r>
          </w:p>
        </w:tc>
      </w:tr>
      <w:tr>
        <w:trPr/>
        <w:tc>
          <w:tcPr>
            <w:tcW w:w="71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104</w:t>
            </w:r>
          </w:p>
        </w:tc>
        <w:tc>
          <w:tcPr>
            <w:tcW w:w="406" w:type="dxa"/>
            <w:tcBorders/>
            <w:vAlign w:val="center"/>
          </w:tcPr>
          <w:p>
            <w:pPr>
              <w:pStyle w:val="TableContents"/>
              <w:bidi w:val="0"/>
              <w:spacing w:before="0" w:after="0"/>
              <w:ind w:left="0" w:right="0" w:hanging="0"/>
              <w:jc w:val="both"/>
              <w:rPr/>
            </w:pPr>
            <w:r>
              <w:rPr/>
              <w:t>​</w:t>
            </w:r>
          </w:p>
        </w:tc>
        <w:tc>
          <w:tcPr>
            <w:tcW w:w="32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Cover Page Interactive Data File (formatted as inline XBRL and contained in Exhibit 101)</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1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2240" w:name="SIGNATURES_99336"/>
      <w:bookmarkStart w:id="2241" w:name="_bfed8493_8af5_484e_873f_44c3cd78433f"/>
      <w:bookmarkEnd w:id="2240"/>
      <w:bookmarkEnd w:id="2241"/>
      <w:r>
        <w:rPr>
          <w:rFonts w:ascii="Times New Roman;Times;serif" w:hAnsi="Times New Roman;Times;serif"/>
          <w:b/>
          <w:sz w:val="20"/>
        </w:rPr>
        <w:t>SIGNATURES</w:t>
      </w:r>
    </w:p>
    <w:p>
      <w:pPr>
        <w:pStyle w:val="TextBody"/>
        <w:bidi w:val="0"/>
        <w:spacing w:before="0" w:after="0"/>
        <w:ind w:left="0" w:right="0" w:hanging="0"/>
        <w:jc w:val="center"/>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w:t>
      </w:r>
    </w:p>
    <w:tbl>
      <w:tblPr>
        <w:tblW w:w="8104" w:type="dxa"/>
        <w:jc w:val="left"/>
        <w:tblInd w:w="0" w:type="dxa"/>
        <w:tblLayout w:type="fixed"/>
        <w:tblCellMar>
          <w:top w:w="0" w:type="dxa"/>
          <w:left w:w="0" w:type="dxa"/>
          <w:bottom w:w="0" w:type="dxa"/>
          <w:right w:w="0" w:type="dxa"/>
        </w:tblCellMar>
      </w:tblPr>
      <w:tblGrid>
        <w:gridCol w:w="1846"/>
        <w:gridCol w:w="286"/>
        <w:gridCol w:w="406"/>
        <w:gridCol w:w="5566"/>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p>
        </w:tc>
        <w:tc>
          <w:tcPr>
            <w:tcW w:w="28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5566" w:type="dxa"/>
            <w:tcBorders/>
            <w:vAlign w:val="center"/>
          </w:tcPr>
          <w:p>
            <w:pPr>
              <w:pStyle w:val="TableContents"/>
              <w:bidi w:val="0"/>
              <w:spacing w:before="0" w:after="283"/>
              <w:ind w:left="0" w:right="0" w:hanging="0"/>
              <w:jc w:val="left"/>
              <w:rPr>
                <w:sz w:val="4"/>
                <w:szCs w:val="4"/>
              </w:rPr>
            </w:pPr>
            <w:r>
              <w:rPr>
                <w:sz w:val="4"/>
                <w:szCs w:val="4"/>
              </w:rPr>
            </w:r>
          </w:p>
        </w:tc>
      </w:tr>
      <w:tr>
        <w:trPr/>
        <w:tc>
          <w:tcPr>
            <w:tcW w:w="184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left"/>
              <w:rPr/>
            </w:pPr>
            <w:r>
              <w:rPr/>
              <w:t>  ​ ​</w:t>
            </w:r>
          </w:p>
        </w:tc>
        <w:tc>
          <w:tcPr>
            <w:tcW w:w="597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Vertex, Inc.</w:t>
            </w:r>
          </w:p>
        </w:tc>
      </w:tr>
      <w:tr>
        <w:trPr/>
        <w:tc>
          <w:tcPr>
            <w:tcW w:w="184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left"/>
              <w:rPr/>
            </w:pPr>
            <w:r>
              <w:rPr/>
              <w:t>​</w:t>
            </w:r>
          </w:p>
        </w:tc>
        <w:tc>
          <w:tcPr>
            <w:tcW w:w="5972" w:type="dxa"/>
            <w:gridSpan w:val="2"/>
            <w:tcBorders/>
            <w:vAlign w:val="center"/>
          </w:tcPr>
          <w:p>
            <w:pPr>
              <w:pStyle w:val="TableContents"/>
              <w:bidi w:val="0"/>
              <w:spacing w:before="0" w:after="0"/>
              <w:ind w:left="0" w:right="0" w:hanging="0"/>
              <w:jc w:val="left"/>
              <w:rPr/>
            </w:pPr>
            <w:r>
              <w:rPr/>
              <w:t> </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4, 2026</w:t>
            </w:r>
          </w:p>
        </w:tc>
        <w:tc>
          <w:tcPr>
            <w:tcW w:w="28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5566"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CHRISTOPHER YOUNG</w:t>
            </w:r>
          </w:p>
        </w:tc>
      </w:tr>
      <w:tr>
        <w:trPr/>
        <w:tc>
          <w:tcPr>
            <w:tcW w:w="184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 </w:t>
            </w:r>
          </w:p>
        </w:tc>
        <w:tc>
          <w:tcPr>
            <w:tcW w:w="55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Christopher Young </w:t>
            </w:r>
          </w:p>
        </w:tc>
      </w:tr>
      <w:tr>
        <w:trPr/>
        <w:tc>
          <w:tcPr>
            <w:tcW w:w="184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 </w:t>
            </w:r>
          </w:p>
        </w:tc>
        <w:tc>
          <w:tcPr>
            <w:tcW w:w="556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President and Chief Executive Officer (principal executive officer)</w:t>
            </w:r>
          </w:p>
        </w:tc>
      </w:tr>
      <w:tr>
        <w:trPr/>
        <w:tc>
          <w:tcPr>
            <w:tcW w:w="184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left"/>
              <w:rPr/>
            </w:pPr>
            <w:r>
              <w:rPr/>
              <w:t>​</w:t>
            </w:r>
          </w:p>
        </w:tc>
        <w:tc>
          <w:tcPr>
            <w:tcW w:w="5972" w:type="dxa"/>
            <w:gridSpan w:val="2"/>
            <w:tcBorders/>
            <w:vAlign w:val="center"/>
          </w:tcPr>
          <w:p>
            <w:pPr>
              <w:pStyle w:val="TableContents"/>
              <w:bidi w:val="0"/>
              <w:spacing w:before="0" w:after="0"/>
              <w:ind w:left="0" w:right="0" w:hanging="0"/>
              <w:jc w:val="left"/>
              <w:rPr/>
            </w:pPr>
            <w:r>
              <w:rPr/>
              <w:t> </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4, 2026</w:t>
            </w:r>
          </w:p>
        </w:tc>
        <w:tc>
          <w:tcPr>
            <w:tcW w:w="28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5566"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JOHN SCHWAB</w:t>
            </w:r>
          </w:p>
        </w:tc>
      </w:tr>
      <w:tr>
        <w:trPr/>
        <w:tc>
          <w:tcPr>
            <w:tcW w:w="184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 </w:t>
            </w:r>
          </w:p>
        </w:tc>
        <w:tc>
          <w:tcPr>
            <w:tcW w:w="55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John Schwab</w:t>
            </w:r>
          </w:p>
        </w:tc>
      </w:tr>
      <w:tr>
        <w:trPr/>
        <w:tc>
          <w:tcPr>
            <w:tcW w:w="184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 </w:t>
            </w:r>
          </w:p>
        </w:tc>
        <w:tc>
          <w:tcPr>
            <w:tcW w:w="556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Chief Financial Officer (principal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before="0" w:after="0"/>
        <w:ind w:left="0" w:right="0" w:hanging="0"/>
        <w:jc w:val="right"/>
        <w:rPr>
          <w:rFonts w:ascii="Times New Roman;Times;serif" w:hAnsi="Times New Roman;Times;serif"/>
          <w:b/>
          <w:sz w:val="20"/>
        </w:rPr>
      </w:pPr>
      <w:bookmarkStart w:id="2242" w:name="verx-20260630xex31d1.htm"/>
      <w:bookmarkStart w:id="2243" w:name="ksverx20260630xex31d1"/>
      <w:bookmarkEnd w:id="2242"/>
      <w:bookmarkEnd w:id="2243"/>
      <w:r>
        <w:rPr>
          <w:rFonts w:ascii="Times New Roman;Times;serif" w:hAnsi="Times New Roman;Times;serif"/>
          <w:b/>
          <w:sz w:val="20"/>
        </w:rPr>
        <w:t>Exhibit 31.1</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Christopher Young, certify that:</w:t>
      </w:r>
    </w:p>
    <w:p>
      <w:pPr>
        <w:pStyle w:val="TextBody"/>
        <w:bidi w:val="0"/>
        <w:spacing w:before="0" w:after="0"/>
        <w:ind w:left="0" w:right="0" w:hanging="0"/>
        <w:jc w:val="left"/>
        <w:rPr/>
      </w:pPr>
      <w:r>
        <w:rPr/>
        <w:t>​</w:t>
      </w:r>
    </w:p>
    <w:tbl>
      <w:tblPr>
        <w:tblW w:w="5658" w:type="dxa"/>
        <w:jc w:val="left"/>
        <w:tblInd w:w="0" w:type="dxa"/>
        <w:tblLayout w:type="fixed"/>
        <w:tblCellMar>
          <w:top w:w="0" w:type="dxa"/>
          <w:left w:w="0" w:type="dxa"/>
          <w:bottom w:w="0" w:type="dxa"/>
          <w:right w:w="0" w:type="dxa"/>
        </w:tblCellMar>
      </w:tblPr>
      <w:tblGrid>
        <w:gridCol w:w="23"/>
        <w:gridCol w:w="170"/>
        <w:gridCol w:w="54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54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 have reviewed this Quarterly Report on Form 10-Q of Vertex, Inc.;</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p>
      <w:pPr>
        <w:pStyle w:val="TextBody"/>
        <w:pBdr/>
        <w:bidi w:val="0"/>
        <w:spacing w:before="0" w:after="0"/>
        <w:ind w:left="1080" w:right="0" w:hanging="360"/>
        <w:jc w:val="both"/>
        <w:rPr/>
      </w:pPr>
      <w:r>
        <w:rPr/>
        <w:t>​</w:t>
      </w:r>
    </w:p>
    <w:p>
      <w:pPr>
        <w:pStyle w:val="TextBody"/>
        <w:pBdr/>
        <w:bidi w:val="0"/>
        <w:spacing w:before="0" w:after="0"/>
        <w:ind w:left="1080" w:right="0" w:hanging="360"/>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5.</w:t>
            </w:r>
          </w:p>
        </w:tc>
        <w:tc>
          <w:tcPr>
            <w:tcW w:w="1003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tbl>
      <w:tblPr>
        <w:tblW w:w="4683" w:type="dxa"/>
        <w:jc w:val="left"/>
        <w:tblInd w:w="0" w:type="dxa"/>
        <w:tblLayout w:type="fixed"/>
        <w:tblCellMar>
          <w:top w:w="0" w:type="dxa"/>
          <w:left w:w="0" w:type="dxa"/>
          <w:bottom w:w="0" w:type="dxa"/>
          <w:right w:w="0" w:type="dxa"/>
        </w:tblCellMar>
      </w:tblPr>
      <w:tblGrid>
        <w:gridCol w:w="1846"/>
        <w:gridCol w:w="406"/>
        <w:gridCol w:w="2431"/>
      </w:tblGrid>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4,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3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CHRISTOPHER YOUNG</w:t>
            </w:r>
          </w:p>
        </w:tc>
      </w:tr>
      <w:tr>
        <w:trPr/>
        <w:tc>
          <w:tcPr>
            <w:tcW w:w="1846" w:type="dxa"/>
            <w:tcBorders/>
            <w:vAlign w:val="center"/>
          </w:tcPr>
          <w:p>
            <w:pPr>
              <w:pStyle w:val="TableContents"/>
              <w:bidi w:val="0"/>
              <w:spacing w:before="0" w:after="0"/>
              <w:ind w:left="0" w:right="0" w:hanging="0"/>
              <w:jc w:val="left"/>
              <w:rPr/>
            </w:pPr>
            <w:r>
              <w:rPr/>
              <w:t> </w:t>
            </w:r>
          </w:p>
        </w:tc>
        <w:tc>
          <w:tcPr>
            <w:tcW w:w="283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Christopher Young </w:t>
            </w:r>
          </w:p>
        </w:tc>
      </w:tr>
      <w:tr>
        <w:trPr/>
        <w:tc>
          <w:tcPr>
            <w:tcW w:w="1846" w:type="dxa"/>
            <w:tcBorders/>
            <w:vAlign w:val="center"/>
          </w:tcPr>
          <w:p>
            <w:pPr>
              <w:pStyle w:val="TableContents"/>
              <w:bidi w:val="0"/>
              <w:spacing w:before="0" w:after="0"/>
              <w:ind w:left="0" w:right="0" w:hanging="0"/>
              <w:jc w:val="left"/>
              <w:rPr/>
            </w:pPr>
            <w:r>
              <w:rPr/>
              <w:t> </w:t>
            </w:r>
          </w:p>
        </w:tc>
        <w:tc>
          <w:tcPr>
            <w:tcW w:w="283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Chief Executive Officer </w:t>
              <w:br/>
            </w:r>
            <w:r>
              <w:rPr>
                <w:rFonts w:ascii="Times New Roman;Times;serif" w:hAnsi="Times New Roman;Times;serif"/>
                <w:i/>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244" w:name="verx-20260630xex31d2.htm"/>
      <w:bookmarkStart w:id="2245" w:name="ksverx20260630xex31d2"/>
      <w:bookmarkEnd w:id="2244"/>
      <w:bookmarkEnd w:id="2245"/>
      <w:r>
        <w:rPr>
          <w:rFonts w:ascii="Times New Roman;Times;serif" w:hAnsi="Times New Roman;Times;serif"/>
          <w:b/>
          <w:sz w:val="20"/>
        </w:rPr>
        <w:t>Exhibit 31.2</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John Schwab, certify that:</w:t>
      </w:r>
    </w:p>
    <w:p>
      <w:pPr>
        <w:pStyle w:val="TextBody"/>
        <w:bidi w:val="0"/>
        <w:spacing w:before="0" w:after="0"/>
        <w:ind w:left="0" w:right="0" w:hanging="0"/>
        <w:jc w:val="left"/>
        <w:rPr/>
      </w:pPr>
      <w:r>
        <w:rPr/>
        <w:t>​</w:t>
      </w:r>
    </w:p>
    <w:tbl>
      <w:tblPr>
        <w:tblW w:w="5658" w:type="dxa"/>
        <w:jc w:val="left"/>
        <w:tblInd w:w="0" w:type="dxa"/>
        <w:tblLayout w:type="fixed"/>
        <w:tblCellMar>
          <w:top w:w="0" w:type="dxa"/>
          <w:left w:w="0" w:type="dxa"/>
          <w:bottom w:w="0" w:type="dxa"/>
          <w:right w:w="0" w:type="dxa"/>
        </w:tblCellMar>
      </w:tblPr>
      <w:tblGrid>
        <w:gridCol w:w="23"/>
        <w:gridCol w:w="170"/>
        <w:gridCol w:w="54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54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 have reviewed this Quarterly Report on Form 10-Q of Vertex, Inc.;</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tc>
      </w:tr>
    </w:tbl>
    <w:p>
      <w:pPr>
        <w:pStyle w:val="TextBody"/>
        <w:bidi w:val="0"/>
        <w:spacing w:before="0" w:after="0"/>
        <w:ind w:left="144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5.</w:t>
            </w:r>
          </w:p>
        </w:tc>
        <w:tc>
          <w:tcPr>
            <w:tcW w:w="1003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tbl>
      <w:tblPr>
        <w:tblW w:w="4261" w:type="dxa"/>
        <w:jc w:val="center"/>
        <w:tblInd w:w="0" w:type="dxa"/>
        <w:tblLayout w:type="fixed"/>
        <w:tblCellMar>
          <w:top w:w="0" w:type="dxa"/>
          <w:left w:w="0" w:type="dxa"/>
          <w:bottom w:w="0" w:type="dxa"/>
          <w:right w:w="0" w:type="dxa"/>
        </w:tblCellMar>
      </w:tblPr>
      <w:tblGrid>
        <w:gridCol w:w="1846"/>
        <w:gridCol w:w="456"/>
        <w:gridCol w:w="1959"/>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7">
                      <wp:simplePos x="0" y="0"/>
                      <wp:positionH relativeFrom="character">
                        <wp:align>left</wp:align>
                      </wp:positionH>
                      <wp:positionV relativeFrom="line">
                        <wp:posOffset>635</wp:posOffset>
                      </wp:positionV>
                      <wp:extent cx="1172210" cy="29210"/>
                      <wp:effectExtent l="0" t="0" r="0" b="0"/>
                      <wp:wrapNone/>
                      <wp:docPr id="846" name="Frame846"/>
                      <a:graphic xmlns:a="http://schemas.openxmlformats.org/drawingml/2006/main">
                        <a:graphicData uri="http://schemas.microsoft.com/office/word/2010/wordprocessingShape">
                          <wps:wsp>
                            <wps:cNvSpPr txBox="1"/>
                            <wps:spPr>
                              <a:xfrm>
                                <a:off x="0" y="0"/>
                                <a:ext cx="11722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8">
                      <wp:simplePos x="0" y="0"/>
                      <wp:positionH relativeFrom="character">
                        <wp:align>left</wp:align>
                      </wp:positionH>
                      <wp:positionV relativeFrom="line">
                        <wp:posOffset>635</wp:posOffset>
                      </wp:positionV>
                      <wp:extent cx="289560" cy="29210"/>
                      <wp:effectExtent l="0" t="0" r="0" b="0"/>
                      <wp:wrapNone/>
                      <wp:docPr id="847" name="Frame847"/>
                      <a:graphic xmlns:a="http://schemas.openxmlformats.org/drawingml/2006/main">
                        <a:graphicData uri="http://schemas.microsoft.com/office/word/2010/wordprocessingShape">
                          <wps:wsp>
                            <wps:cNvSpPr txBox="1"/>
                            <wps:spPr>
                              <a:xfrm>
                                <a:off x="0" y="0"/>
                                <a:ext cx="2895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9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9">
                      <wp:simplePos x="0" y="0"/>
                      <wp:positionH relativeFrom="character">
                        <wp:align>left</wp:align>
                      </wp:positionH>
                      <wp:positionV relativeFrom="line">
                        <wp:posOffset>635</wp:posOffset>
                      </wp:positionV>
                      <wp:extent cx="1243965" cy="29210"/>
                      <wp:effectExtent l="0" t="0" r="0" b="0"/>
                      <wp:wrapNone/>
                      <wp:docPr id="848" name="Frame848"/>
                      <a:graphic xmlns:a="http://schemas.openxmlformats.org/drawingml/2006/main">
                        <a:graphicData uri="http://schemas.microsoft.com/office/word/2010/wordprocessingShape">
                          <wps:wsp>
                            <wps:cNvSpPr txBox="1"/>
                            <wps:spPr>
                              <a:xfrm>
                                <a:off x="0" y="0"/>
                                <a:ext cx="124396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9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4, 2026</w:t>
            </w:r>
          </w:p>
        </w:tc>
        <w:tc>
          <w:tcPr>
            <w:tcW w:w="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959"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JOHN SCHWAB</w:t>
            </w:r>
          </w:p>
        </w:tc>
      </w:tr>
      <w:tr>
        <w:trPr/>
        <w:tc>
          <w:tcPr>
            <w:tcW w:w="1846" w:type="dxa"/>
            <w:tcBorders/>
            <w:vAlign w:val="center"/>
          </w:tcPr>
          <w:p>
            <w:pPr>
              <w:pStyle w:val="TableContents"/>
              <w:bidi w:val="0"/>
              <w:spacing w:before="0" w:after="0"/>
              <w:ind w:left="0" w:right="0" w:hanging="0"/>
              <w:jc w:val="left"/>
              <w:rPr/>
            </w:pPr>
            <w:r>
              <w:rPr/>
              <w:t> </w:t>
            </w:r>
          </w:p>
        </w:tc>
        <w:tc>
          <w:tcPr>
            <w:tcW w:w="241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John Schwab</w:t>
            </w:r>
          </w:p>
        </w:tc>
      </w:tr>
      <w:tr>
        <w:trPr/>
        <w:tc>
          <w:tcPr>
            <w:tcW w:w="1846" w:type="dxa"/>
            <w:tcBorders/>
            <w:vAlign w:val="center"/>
          </w:tcPr>
          <w:p>
            <w:pPr>
              <w:pStyle w:val="TableContents"/>
              <w:bidi w:val="0"/>
              <w:spacing w:before="0" w:after="0"/>
              <w:ind w:left="0" w:right="0" w:hanging="0"/>
              <w:jc w:val="left"/>
              <w:rPr/>
            </w:pPr>
            <w:r>
              <w:rPr/>
              <w:t> </w:t>
            </w:r>
          </w:p>
        </w:tc>
        <w:tc>
          <w:tcPr>
            <w:tcW w:w="241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br/>
            </w:r>
            <w:r>
              <w:rPr>
                <w:rFonts w:ascii="Times New Roman;Times;serif" w:hAnsi="Times New Roman;Times;serif"/>
                <w:i/>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246" w:name="verx-20260630xex32d1.htm"/>
      <w:bookmarkStart w:id="2247" w:name="ksverx20260630xex32d1"/>
      <w:bookmarkEnd w:id="2246"/>
      <w:bookmarkEnd w:id="2247"/>
      <w:r>
        <w:rPr>
          <w:rFonts w:ascii="Times New Roman;Times;serif" w:hAnsi="Times New Roman;Times;serif"/>
          <w:b/>
          <w:sz w:val="20"/>
        </w:rPr>
        <w:t>Exhibit 32.1</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 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center"/>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connection with the Quarterly Report on Form 10-Q of Vertex, Inc. (the “Company”) for the period ended June 30, 2026 as filed with the Securities and Exchange Commission on the date hereof (the “Report”), I certify, pursuant to 18 U.S.C. § 1350, as adopted pursuant to § 906 of the Sarbanes-Oxley Act of 2002, that: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40"/>
        <w:gridCol w:w="9942"/>
      </w:tblGrid>
      <w:tr>
        <w:trPr/>
        <w:tc>
          <w:tcPr>
            <w:tcW w:w="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994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and</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tbl>
      <w:tblPr>
        <w:tblW w:w="4773" w:type="dxa"/>
        <w:jc w:val="center"/>
        <w:tblInd w:w="0" w:type="dxa"/>
        <w:tblLayout w:type="fixed"/>
        <w:tblCellMar>
          <w:top w:w="0" w:type="dxa"/>
          <w:left w:w="0" w:type="dxa"/>
          <w:bottom w:w="0" w:type="dxa"/>
          <w:right w:w="0" w:type="dxa"/>
        </w:tblCellMar>
      </w:tblPr>
      <w:tblGrid>
        <w:gridCol w:w="1846"/>
        <w:gridCol w:w="496"/>
        <w:gridCol w:w="2431"/>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0">
                      <wp:simplePos x="0" y="0"/>
                      <wp:positionH relativeFrom="character">
                        <wp:align>left</wp:align>
                      </wp:positionH>
                      <wp:positionV relativeFrom="line">
                        <wp:posOffset>635</wp:posOffset>
                      </wp:positionV>
                      <wp:extent cx="1172210" cy="29210"/>
                      <wp:effectExtent l="0" t="0" r="0" b="0"/>
                      <wp:wrapNone/>
                      <wp:docPr id="849" name="Frame849"/>
                      <a:graphic xmlns:a="http://schemas.openxmlformats.org/drawingml/2006/main">
                        <a:graphicData uri="http://schemas.microsoft.com/office/word/2010/wordprocessingShape">
                          <wps:wsp>
                            <wps:cNvSpPr txBox="1"/>
                            <wps:spPr>
                              <a:xfrm>
                                <a:off x="0" y="0"/>
                                <a:ext cx="11722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1">
                      <wp:simplePos x="0" y="0"/>
                      <wp:positionH relativeFrom="character">
                        <wp:align>left</wp:align>
                      </wp:positionH>
                      <wp:positionV relativeFrom="line">
                        <wp:posOffset>635</wp:posOffset>
                      </wp:positionV>
                      <wp:extent cx="314960" cy="29210"/>
                      <wp:effectExtent l="0" t="0" r="0" b="0"/>
                      <wp:wrapNone/>
                      <wp:docPr id="850" name="Frame850"/>
                      <a:graphic xmlns:a="http://schemas.openxmlformats.org/drawingml/2006/main">
                        <a:graphicData uri="http://schemas.microsoft.com/office/word/2010/wordprocessingShape">
                          <wps:wsp>
                            <wps:cNvSpPr txBox="1"/>
                            <wps:spPr>
                              <a:xfrm>
                                <a:off x="0" y="0"/>
                                <a:ext cx="3149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2">
                      <wp:simplePos x="0" y="0"/>
                      <wp:positionH relativeFrom="character">
                        <wp:align>left</wp:align>
                      </wp:positionH>
                      <wp:positionV relativeFrom="line">
                        <wp:posOffset>635</wp:posOffset>
                      </wp:positionV>
                      <wp:extent cx="1543685" cy="29210"/>
                      <wp:effectExtent l="0" t="0" r="0" b="0"/>
                      <wp:wrapNone/>
                      <wp:docPr id="851" name="Frame851"/>
                      <a:graphic xmlns:a="http://schemas.openxmlformats.org/drawingml/2006/main">
                        <a:graphicData uri="http://schemas.microsoft.com/office/word/2010/wordprocessingShape">
                          <wps:wsp>
                            <wps:cNvSpPr txBox="1"/>
                            <wps:spPr>
                              <a:xfrm>
                                <a:off x="0" y="0"/>
                                <a:ext cx="15436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4, 2026</w:t>
            </w:r>
          </w:p>
        </w:tc>
        <w:tc>
          <w:tcPr>
            <w:tcW w:w="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w:t>
            </w:r>
          </w:p>
        </w:tc>
        <w:tc>
          <w:tcPr>
            <w:tcW w:w="243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CHRISTOPHER YOUNG</w:t>
            </w:r>
          </w:p>
        </w:tc>
      </w:tr>
      <w:tr>
        <w:trPr/>
        <w:tc>
          <w:tcPr>
            <w:tcW w:w="1846" w:type="dxa"/>
            <w:tcBorders/>
            <w:vAlign w:val="center"/>
          </w:tcPr>
          <w:p>
            <w:pPr>
              <w:pStyle w:val="TableContents"/>
              <w:bidi w:val="0"/>
              <w:spacing w:before="0" w:after="0"/>
              <w:ind w:left="0" w:right="0" w:hanging="0"/>
              <w:jc w:val="left"/>
              <w:rPr/>
            </w:pPr>
            <w:r>
              <w:rPr/>
              <w:t> </w:t>
            </w:r>
          </w:p>
        </w:tc>
        <w:tc>
          <w:tcPr>
            <w:tcW w:w="292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Christopher Young </w:t>
            </w:r>
          </w:p>
        </w:tc>
      </w:tr>
      <w:tr>
        <w:trPr/>
        <w:tc>
          <w:tcPr>
            <w:tcW w:w="1846" w:type="dxa"/>
            <w:tcBorders/>
            <w:vAlign w:val="center"/>
          </w:tcPr>
          <w:p>
            <w:pPr>
              <w:pStyle w:val="TableContents"/>
              <w:bidi w:val="0"/>
              <w:spacing w:before="0" w:after="0"/>
              <w:ind w:left="0" w:right="0" w:hanging="0"/>
              <w:jc w:val="left"/>
              <w:rPr/>
            </w:pPr>
            <w:r>
              <w:rPr/>
              <w:t> </w:t>
            </w:r>
          </w:p>
        </w:tc>
        <w:tc>
          <w:tcPr>
            <w:tcW w:w="292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br/>
            </w:r>
            <w:r>
              <w:rPr>
                <w:rFonts w:ascii="Times New Roman;Times;serif" w:hAnsi="Times New Roman;Times;serif"/>
                <w:i/>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248" w:name="verx-20260630xex32d2.htm"/>
      <w:bookmarkStart w:id="2249" w:name="ksverx20260630xex32d2"/>
      <w:bookmarkEnd w:id="2248"/>
      <w:bookmarkEnd w:id="2249"/>
      <w:r>
        <w:rPr>
          <w:rFonts w:ascii="Times New Roman;Times;serif" w:hAnsi="Times New Roman;Times;serif"/>
          <w:b/>
          <w:sz w:val="20"/>
        </w:rPr>
        <w:t>Exhibit 32.2</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 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center"/>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connection with the Quarterly Report on Form 10-Q of Vertex, Inc. (the “Company”) for the period ended June 30, 2026 as filed with the Securities and Exchange Commission on the date hereof (the “Report”), I certify, pursuant to 18 U.S.C. § 1350, as adopted pursuant to § 906 of the Sarbanes-Oxley Act of 2002, that: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40"/>
        <w:gridCol w:w="9942"/>
      </w:tblGrid>
      <w:tr>
        <w:trPr/>
        <w:tc>
          <w:tcPr>
            <w:tcW w:w="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994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and</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both"/>
        <w:rPr/>
      </w:pPr>
      <w:r>
        <w:rPr/>
        <w:t>​</w:t>
      </w:r>
    </w:p>
    <w:tbl>
      <w:tblPr>
        <w:tblW w:w="4261" w:type="dxa"/>
        <w:jc w:val="left"/>
        <w:tblInd w:w="0" w:type="dxa"/>
        <w:tblLayout w:type="fixed"/>
        <w:tblCellMar>
          <w:top w:w="0" w:type="dxa"/>
          <w:left w:w="0" w:type="dxa"/>
          <w:bottom w:w="0" w:type="dxa"/>
          <w:right w:w="0" w:type="dxa"/>
        </w:tblCellMar>
      </w:tblPr>
      <w:tblGrid>
        <w:gridCol w:w="1846"/>
        <w:gridCol w:w="447"/>
        <w:gridCol w:w="1968"/>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3">
                      <wp:simplePos x="0" y="0"/>
                      <wp:positionH relativeFrom="character">
                        <wp:align>left</wp:align>
                      </wp:positionH>
                      <wp:positionV relativeFrom="line">
                        <wp:posOffset>635</wp:posOffset>
                      </wp:positionV>
                      <wp:extent cx="1172210" cy="160655"/>
                      <wp:effectExtent l="0" t="0" r="0" b="0"/>
                      <wp:wrapNone/>
                      <wp:docPr id="852" name="Frame852"/>
                      <a:graphic xmlns:a="http://schemas.openxmlformats.org/drawingml/2006/main">
                        <a:graphicData uri="http://schemas.microsoft.com/office/word/2010/wordprocessingShape">
                          <wps:wsp>
                            <wps:cNvSpPr txBox="1"/>
                            <wps:spPr>
                              <a:xfrm>
                                <a:off x="0" y="0"/>
                                <a:ext cx="1172210" cy="160655"/>
                              </a:xfrm>
                              <a:prstGeom prst="rect"/>
                              <a:solidFill>
                                <a:srgbClr val="FFFFFF"/>
                              </a:solidFill>
                            </wps:spPr>
                            <wps:txbx>
                              <w:txbxContent>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ov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ov</w:t>
                            </w:r>
                          </w:p>
                        </w:txbxContent>
                      </v:textbox>
                      <w10:wrap type="none"/>
                    </v:rect>
                  </w:pict>
                </mc:Fallback>
              </mc:AlternateContent>
            </w:r>
          </w:p>
        </w:tc>
        <w:tc>
          <w:tcPr>
            <w:tcW w:w="4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4">
                      <wp:simplePos x="0" y="0"/>
                      <wp:positionH relativeFrom="character">
                        <wp:align>left</wp:align>
                      </wp:positionH>
                      <wp:positionV relativeFrom="line">
                        <wp:posOffset>635</wp:posOffset>
                      </wp:positionV>
                      <wp:extent cx="283845" cy="29210"/>
                      <wp:effectExtent l="0" t="0" r="0" b="0"/>
                      <wp:wrapNone/>
                      <wp:docPr id="853" name="Frame853"/>
                      <a:graphic xmlns:a="http://schemas.openxmlformats.org/drawingml/2006/main">
                        <a:graphicData uri="http://schemas.microsoft.com/office/word/2010/wordprocessingShape">
                          <wps:wsp>
                            <wps:cNvSpPr txBox="1"/>
                            <wps:spPr>
                              <a:xfrm>
                                <a:off x="0" y="0"/>
                                <a:ext cx="2838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9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5">
                      <wp:simplePos x="0" y="0"/>
                      <wp:positionH relativeFrom="character">
                        <wp:align>left</wp:align>
                      </wp:positionH>
                      <wp:positionV relativeFrom="line">
                        <wp:posOffset>635</wp:posOffset>
                      </wp:positionV>
                      <wp:extent cx="1249680" cy="29210"/>
                      <wp:effectExtent l="0" t="0" r="0" b="0"/>
                      <wp:wrapNone/>
                      <wp:docPr id="854" name="Frame854"/>
                      <a:graphic xmlns:a="http://schemas.openxmlformats.org/drawingml/2006/main">
                        <a:graphicData uri="http://schemas.microsoft.com/office/word/2010/wordprocessingShape">
                          <wps:wsp>
                            <wps:cNvSpPr txBox="1"/>
                            <wps:spPr>
                              <a:xfrm>
                                <a:off x="0" y="0"/>
                                <a:ext cx="124968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4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4, 2026</w:t>
            </w:r>
          </w:p>
        </w:tc>
        <w:tc>
          <w:tcPr>
            <w:tcW w:w="4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968"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 JOHN SCHWAB </w:t>
            </w:r>
          </w:p>
        </w:tc>
      </w:tr>
      <w:tr>
        <w:trPr/>
        <w:tc>
          <w:tcPr>
            <w:tcW w:w="1846" w:type="dxa"/>
            <w:tcBorders/>
            <w:vAlign w:val="center"/>
          </w:tcPr>
          <w:p>
            <w:pPr>
              <w:pStyle w:val="TableContents"/>
              <w:bidi w:val="0"/>
              <w:spacing w:before="0" w:after="0"/>
              <w:ind w:left="0" w:right="0" w:hanging="0"/>
              <w:jc w:val="left"/>
              <w:rPr/>
            </w:pPr>
            <w:r>
              <w:rPr/>
              <w:t> </w:t>
            </w:r>
          </w:p>
        </w:tc>
        <w:tc>
          <w:tcPr>
            <w:tcW w:w="241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John Schwab</w:t>
            </w:r>
          </w:p>
        </w:tc>
      </w:tr>
      <w:tr>
        <w:trPr/>
        <w:tc>
          <w:tcPr>
            <w:tcW w:w="1846" w:type="dxa"/>
            <w:tcBorders/>
            <w:vAlign w:val="center"/>
          </w:tcPr>
          <w:p>
            <w:pPr>
              <w:pStyle w:val="TableContents"/>
              <w:bidi w:val="0"/>
              <w:spacing w:before="0" w:after="0"/>
              <w:ind w:left="0" w:right="0" w:hanging="0"/>
              <w:jc w:val="left"/>
              <w:rPr/>
            </w:pPr>
            <w:r>
              <w:rPr/>
              <w:t> </w:t>
            </w:r>
          </w:p>
        </w:tc>
        <w:tc>
          <w:tcPr>
            <w:tcW w:w="241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br/>
            </w:r>
            <w:r>
              <w:rPr>
                <w:rFonts w:ascii="Times New Roman;Times;serif" w:hAnsi="Times New Roman;Times;serif"/>
                <w:i/>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29907</Words>
  <Characters>168756</Characters>
  <CharactersWithSpaces>203493</CharactersWithSpaces>
  <Paragraphs>12343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