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565785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89"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2" w:lineRule="exact"/>
        <w:rPr>
          <w:sz w:val="24"/>
          <w:szCs w:val="24"/>
          <w:color w:val="auto"/>
        </w:rPr>
      </w:pPr>
    </w:p>
    <w:p>
      <w:pPr>
        <w:ind w:left="526" w:hanging="526"/>
        <w:spacing w:after="0" w:line="273" w:lineRule="auto"/>
        <w:tabs>
          <w:tab w:leader="none" w:pos="526"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10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506" w:right="40" w:hanging="479"/>
        <w:spacing w:after="0" w:line="273" w:lineRule="auto"/>
        <w:tabs>
          <w:tab w:leader="none" w:pos="506"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8" w:lineRule="exact"/>
        <w:rPr>
          <w:sz w:val="24"/>
          <w:szCs w:val="24"/>
          <w:color w:val="auto"/>
        </w:rPr>
      </w:pPr>
    </w:p>
    <w:tbl>
      <w:tblPr>
        <w:tblLayout w:type="fixed"/>
        <w:tblInd w:w="6"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Commission File Number: 001-39413</w:t>
            </w: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0"/>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gridSpan w:val="3"/>
          </w:tcPr>
          <w:p>
            <w:pPr>
              <w:jc w:val="center"/>
              <w:ind w:right="460"/>
              <w:spacing w:after="0"/>
              <w:rPr>
                <w:sz w:val="20"/>
                <w:szCs w:val="20"/>
                <w:color w:val="auto"/>
              </w:rPr>
            </w:pPr>
            <w:r>
              <w:rPr>
                <w:rFonts w:ascii="Times New Roman" w:cs="Times New Roman" w:eastAsia="Times New Roman" w:hAnsi="Times New Roman"/>
                <w:sz w:val="41"/>
                <w:szCs w:val="41"/>
                <w:b w:val="1"/>
                <w:bCs w:val="1"/>
                <w:color w:val="auto"/>
              </w:rPr>
              <w:t>VERTEX, INC.</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40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49"/>
              <w:spacing w:after="0"/>
              <w:rPr>
                <w:sz w:val="20"/>
                <w:szCs w:val="20"/>
                <w:color w:val="auto"/>
              </w:rPr>
            </w:pPr>
            <w:r>
              <w:rPr>
                <w:rFonts w:ascii="Times New Roman" w:cs="Times New Roman" w:eastAsia="Times New Roman" w:hAnsi="Times New Roman"/>
                <w:sz w:val="16"/>
                <w:szCs w:val="16"/>
                <w:b w:val="1"/>
                <w:bCs w:val="1"/>
                <w:color w:val="auto"/>
              </w:rPr>
              <w:t>23-2081753</w:t>
            </w:r>
          </w:p>
        </w:tc>
        <w:tc>
          <w:tcPr>
            <w:tcW w:w="0" w:type="dxa"/>
            <w:vAlign w:val="bottom"/>
          </w:tcPr>
          <w:p>
            <w:pPr>
              <w:spacing w:after="0"/>
              <w:rPr>
                <w:sz w:val="1"/>
                <w:szCs w:val="1"/>
                <w:color w:val="auto"/>
              </w:rPr>
            </w:pPr>
          </w:p>
        </w:tc>
      </w:tr>
      <w:tr>
        <w:trPr>
          <w:trHeight w:val="135"/>
        </w:trPr>
        <w:tc>
          <w:tcPr>
            <w:tcW w:w="3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60" w:type="dxa"/>
            <w:vAlign w:val="bottom"/>
          </w:tcPr>
          <w:p>
            <w:pPr>
              <w:jc w:val="center"/>
              <w:ind w:right="2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49"/>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378"/>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2301 Renaissance Blvd</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89"/>
              <w:spacing w:after="0"/>
              <w:rPr>
                <w:sz w:val="20"/>
                <w:szCs w:val="20"/>
                <w:color w:val="auto"/>
              </w:rPr>
            </w:pPr>
            <w:r>
              <w:rPr>
                <w:rFonts w:ascii="Times New Roman" w:cs="Times New Roman" w:eastAsia="Times New Roman" w:hAnsi="Times New Roman"/>
                <w:sz w:val="16"/>
                <w:szCs w:val="16"/>
                <w:b w:val="1"/>
                <w:bCs w:val="1"/>
                <w:color w:val="auto"/>
                <w:w w:val="99"/>
              </w:rPr>
              <w:t>19406</w:t>
            </w:r>
          </w:p>
        </w:tc>
        <w:tc>
          <w:tcPr>
            <w:tcW w:w="0" w:type="dxa"/>
            <w:vAlign w:val="bottom"/>
          </w:tcPr>
          <w:p>
            <w:pPr>
              <w:spacing w:after="0"/>
              <w:rPr>
                <w:sz w:val="1"/>
                <w:szCs w:val="1"/>
                <w:color w:val="auto"/>
              </w:rPr>
            </w:pPr>
          </w:p>
        </w:tc>
      </w:tr>
      <w:tr>
        <w:trPr>
          <w:trHeight w:val="198"/>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King of Prussia, Pennsylvania</w:t>
            </w: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49"/>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334"/>
        </w:trPr>
        <w:tc>
          <w:tcPr>
            <w:tcW w:w="10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(800) 355-3500</w:t>
            </w:r>
          </w:p>
        </w:tc>
        <w:tc>
          <w:tcPr>
            <w:tcW w:w="0" w:type="dxa"/>
            <w:vAlign w:val="bottom"/>
          </w:tcPr>
          <w:p>
            <w:pPr>
              <w:spacing w:after="0"/>
              <w:rPr>
                <w:sz w:val="1"/>
                <w:szCs w:val="1"/>
                <w:color w:val="auto"/>
              </w:rPr>
            </w:pPr>
          </w:p>
        </w:tc>
      </w:tr>
      <w:tr>
        <w:trPr>
          <w:trHeight w:val="283"/>
        </w:trPr>
        <w:tc>
          <w:tcPr>
            <w:tcW w:w="7260" w:type="dxa"/>
            <w:vAlign w:val="bottom"/>
            <w:gridSpan w:val="5"/>
          </w:tcPr>
          <w:p>
            <w:pPr>
              <w:jc w:val="center"/>
              <w:ind w:left="2866"/>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00" w:type="dxa"/>
            <w:vAlign w:val="bottom"/>
          </w:tcPr>
          <w:p>
            <w:pPr>
              <w:spacing w:after="0"/>
              <w:rPr>
                <w:sz w:val="21"/>
                <w:szCs w:val="21"/>
                <w:color w:val="auto"/>
              </w:rPr>
            </w:pPr>
          </w:p>
        </w:tc>
        <w:tc>
          <w:tcPr>
            <w:tcW w:w="38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2960" w:type="dxa"/>
            <w:vAlign w:val="bottom"/>
          </w:tcPr>
          <w:p>
            <w:pPr>
              <w:jc w:val="center"/>
              <w:ind w:right="229"/>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56"/>
        </w:trPr>
        <w:tc>
          <w:tcPr>
            <w:tcW w:w="322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2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Class A Common Stock, Par Value $0.001 Per</w:t>
            </w:r>
          </w:p>
        </w:tc>
        <w:tc>
          <w:tcPr>
            <w:tcW w:w="200" w:type="dxa"/>
            <w:vAlign w:val="bottom"/>
            <w:vMerge w:val="continue"/>
          </w:tcPr>
          <w:p>
            <w:pPr>
              <w:spacing w:after="0"/>
              <w:rPr>
                <w:sz w:val="15"/>
                <w:szCs w:val="15"/>
                <w:color w:val="auto"/>
              </w:rPr>
            </w:pPr>
          </w:p>
        </w:tc>
        <w:tc>
          <w:tcPr>
            <w:tcW w:w="33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VERX</w:t>
            </w:r>
          </w:p>
        </w:tc>
        <w:tc>
          <w:tcPr>
            <w:tcW w:w="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tcPr>
          <w:p>
            <w:pPr>
              <w:jc w:val="center"/>
              <w:ind w:right="249"/>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left="6" w:firstLine="47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left="6" w:firstLine="47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left="6" w:firstLine="46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6" w:type="dxa"/>
        <w:tblCellMar>
          <w:top w:w="0" w:type="dxa"/>
          <w:left w:w="0" w:type="dxa"/>
          <w:bottom w:w="0" w:type="dxa"/>
          <w:right w:w="0" w:type="dxa"/>
        </w:tblCellMar>
      </w:tblPr>
      <w:tr>
        <w:trPr>
          <w:trHeight w:val="202"/>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Accelerated filer</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0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ind w:left="6" w:right="20" w:firstLine="466"/>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466"/>
        <w:spacing w:after="0" w:line="184" w:lineRule="exact"/>
        <w:tabs>
          <w:tab w:leader="none" w:pos="8545"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2" w:lineRule="exact"/>
        <w:rPr>
          <w:sz w:val="24"/>
          <w:szCs w:val="24"/>
          <w:color w:val="auto"/>
        </w:rPr>
      </w:pPr>
    </w:p>
    <w:p>
      <w:pPr>
        <w:ind w:left="6" w:firstLine="466"/>
        <w:spacing w:after="0" w:line="298" w:lineRule="auto"/>
        <w:rPr>
          <w:sz w:val="20"/>
          <w:szCs w:val="20"/>
          <w:color w:val="auto"/>
        </w:rPr>
      </w:pPr>
      <w:r>
        <w:rPr>
          <w:rFonts w:ascii="Times New Roman" w:cs="Times New Roman" w:eastAsia="Times New Roman" w:hAnsi="Times New Roman"/>
          <w:sz w:val="16"/>
          <w:szCs w:val="16"/>
          <w:color w:val="auto"/>
        </w:rPr>
        <w:t>As of August 5, 2022, the registrant had 48,432,472 shares of Class A common stock, $0.001 par value per share, and 101,307,000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sectPr>
      </w:pPr>
    </w:p>
    <w:p>
      <w:pPr>
        <w:spacing w:after="0" w:line="187"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24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1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rPr>
              <w:t>Part I - Financial Information</w:t>
            </w:r>
          </w:p>
        </w:tc>
        <w:tc>
          <w:tcPr>
            <w:tcW w:w="2620" w:type="dxa"/>
            <w:vAlign w:val="bottom"/>
            <w:gridSpan w:val="5"/>
            <w:vMerge w:val="restart"/>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180" w:type="dxa"/>
            <w:vAlign w:val="bottom"/>
            <w:tcBorders>
              <w:bottom w:val="single" w:sz="8" w:color="0000EE"/>
            </w:tcBorders>
            <w:gridSpan w:val="5"/>
            <w:vMerge w:val="continue"/>
          </w:tcPr>
          <w:p>
            <w:pPr>
              <w:spacing w:after="0"/>
              <w:rPr>
                <w:sz w:val="13"/>
                <w:szCs w:val="13"/>
                <w:color w:val="auto"/>
              </w:rPr>
            </w:pPr>
          </w:p>
        </w:tc>
        <w:tc>
          <w:tcPr>
            <w:tcW w:w="2620" w:type="dxa"/>
            <w:vAlign w:val="bottom"/>
            <w:gridSpan w:val="5"/>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and December 31, 2021 (unaudited)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for the Three and Six Months Ended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June 30, 2022 and 2021 (unaudited)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Three and Six</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Months Ended June 30, 2022 and 2021 (unaudited)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2021</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Part II - Other Information</w:t>
            </w:r>
          </w:p>
        </w:tc>
        <w:tc>
          <w:tcPr>
            <w:tcW w:w="274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tcPr>
          <w:p>
            <w:pPr>
              <w:spacing w:after="0"/>
              <w:rPr>
                <w:sz w:val="17"/>
                <w:szCs w:val="17"/>
                <w:color w:val="auto"/>
              </w:rPr>
            </w:pP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80" w:type="dxa"/>
            <w:vAlign w:val="bottom"/>
          </w:tcPr>
          <w:p>
            <w:pPr>
              <w:spacing w:after="0"/>
              <w:rPr>
                <w:sz w:val="17"/>
                <w:szCs w:val="17"/>
                <w:color w:val="auto"/>
              </w:rPr>
            </w:pP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08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4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80" w:type="dxa"/>
            <w:vAlign w:val="bottom"/>
            <w:gridSpan w:val="1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58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69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80" w:type="dxa"/>
            <w:vAlign w:val="bottom"/>
            <w:gridSpan w:val="12"/>
          </w:tcPr>
          <w:p>
            <w:pPr>
              <w:ind w:left="3580"/>
              <w:spacing w:after="0"/>
              <w:rPr>
                <w:sz w:val="20"/>
                <w:szCs w:val="20"/>
                <w:color w:val="auto"/>
              </w:rPr>
            </w:pPr>
            <w:r>
              <w:rPr>
                <w:rFonts w:ascii="Times New Roman" w:cs="Times New Roman" w:eastAsia="Times New Roman" w:hAnsi="Times New Roman"/>
                <w:sz w:val="18"/>
                <w:szCs w:val="18"/>
                <w:color w:val="auto"/>
                <w:w w:val="88"/>
              </w:rPr>
              <w:t>2</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95"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on our business of the coronavirus disease 2019 (“COVID-19”) pandemic;</w:t>
      </w:r>
    </w:p>
    <w:p>
      <w:pPr>
        <w:spacing w:after="0" w:line="90" w:lineRule="exact"/>
        <w:rPr>
          <w:rFonts w:ascii="Times New Roman" w:cs="Times New Roman" w:eastAsia="Times New Roman" w:hAnsi="Times New Roman"/>
          <w:sz w:val="18"/>
          <w:szCs w:val="18"/>
          <w:color w:val="auto"/>
        </w:rPr>
      </w:pPr>
    </w:p>
    <w:p>
      <w:pPr>
        <w:ind w:left="1040" w:right="53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on a cost-effective basis and the extent to which existing customers renew and upgrade their subscriptions;</w:t>
      </w:r>
    </w:p>
    <w:p>
      <w:pPr>
        <w:spacing w:after="0" w:line="14" w:lineRule="exact"/>
        <w:rPr>
          <w:rFonts w:ascii="Times New Roman" w:cs="Times New Roman" w:eastAsia="Times New Roman" w:hAnsi="Times New Roman"/>
          <w:sz w:val="18"/>
          <w:szCs w:val="18"/>
          <w:color w:val="auto"/>
        </w:rPr>
      </w:pPr>
    </w:p>
    <w:p>
      <w:pPr>
        <w:ind w:left="1040" w:right="25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expand revenues, maintain profitability, and to effectively manage our anticipated growth;</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introduction of new solutions or updates to existing solutions;</w:t>
      </w:r>
    </w:p>
    <w:p>
      <w:pPr>
        <w:spacing w:after="0" w:line="90" w:lineRule="exact"/>
        <w:rPr>
          <w:rFonts w:ascii="Times New Roman" w:cs="Times New Roman" w:eastAsia="Times New Roman" w:hAnsi="Times New Roman"/>
          <w:sz w:val="18"/>
          <w:szCs w:val="18"/>
          <w:color w:val="auto"/>
        </w:rPr>
      </w:pPr>
    </w:p>
    <w:p>
      <w:pPr>
        <w:ind w:left="1040" w:right="35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diversify our solutions by developing or introducing new solutions or acquiring and integrating additional businesses, products, services or content;</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strategic relationships with third parties;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expanding international operations;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our solutions to customers without disruption or delay;</w:t>
      </w:r>
    </w:p>
    <w:p>
      <w:pPr>
        <w:spacing w:after="0" w:line="90" w:lineRule="exact"/>
        <w:rPr>
          <w:rFonts w:ascii="Times New Roman" w:cs="Times New Roman" w:eastAsia="Times New Roman" w:hAnsi="Times New Roman"/>
          <w:sz w:val="18"/>
          <w:szCs w:val="18"/>
          <w:color w:val="auto"/>
        </w:rPr>
      </w:pPr>
    </w:p>
    <w:p>
      <w:pPr>
        <w:ind w:left="1040" w:right="83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liability from errors, delays, fraud or system failures, which may not be covered by insurance;</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determinations of customers’ transaction tax and tax payments;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tax laws and regulations or their interpretation or enforcement;</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cybersecurity and data privacy risks;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failures in information technology, infrastructure and third-party service providers;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protect, maintain and enhance our brand;</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weakness and uncertainties, and disruption in the capital and credit markets;</w:t>
      </w:r>
    </w:p>
    <w:p>
      <w:pPr>
        <w:spacing w:after="0" w:line="103" w:lineRule="exact"/>
        <w:rPr>
          <w:rFonts w:ascii="Times New Roman" w:cs="Times New Roman" w:eastAsia="Times New Roman" w:hAnsi="Times New Roman"/>
          <w:sz w:val="18"/>
          <w:szCs w:val="18"/>
          <w:color w:val="auto"/>
        </w:rPr>
      </w:pPr>
    </w:p>
    <w:p>
      <w:pPr>
        <w:ind w:left="1040" w:right="31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related to natural disasters, epidemic outbreaks, terrorist acts, political events or other events outside of our control;</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anti-corruption, anti-bribery and similar laws;</w:t>
      </w:r>
    </w:p>
    <w:p>
      <w:pPr>
        <w:spacing w:after="0" w:line="90" w:lineRule="exact"/>
        <w:rPr>
          <w:rFonts w:ascii="Times New Roman" w:cs="Times New Roman" w:eastAsia="Times New Roman" w:hAnsi="Times New Roman"/>
          <w:sz w:val="18"/>
          <w:szCs w:val="18"/>
          <w:color w:val="auto"/>
        </w:rPr>
      </w:pPr>
    </w:p>
    <w:p>
      <w:pPr>
        <w:ind w:left="1040" w:right="21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security ratings and market perceptions of the industry in which we operate, or our ability to obtain capital on commercially reasonable terms or at all;</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statements of belief and any statements of assumptions underlying any of the foregoing; and</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risks included here are not exhaustive, and additional factors could adversely affect our business and financial performance, including factors and risks included in our Annual Report on Form 10-K for the year ended December 31, 2021, our Quarterly Report on Form 10-Q for the quarter ended March 31, 2022 and in other sections of this Quarterly Report on Form 10-Q, including under Part II, Item 1A, Risk Factors.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5"/>
          <w:szCs w:val="15"/>
          <w:b w:val="1"/>
          <w:bCs w:val="1"/>
          <w:color w:val="auto"/>
        </w:rPr>
        <w:t>PART I - FINANCIAL INFORMATION</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680" w:type="dxa"/>
            <w:vAlign w:val="bottom"/>
          </w:tcPr>
          <w:p>
            <w:pPr>
              <w:jc w:val="center"/>
              <w:ind w:left="2168"/>
              <w:spacing w:after="0"/>
              <w:rPr>
                <w:sz w:val="20"/>
                <w:szCs w:val="20"/>
                <w:color w:val="auto"/>
              </w:rPr>
            </w:pPr>
            <w:r>
              <w:rPr>
                <w:rFonts w:ascii="Times New Roman" w:cs="Times New Roman" w:eastAsia="Times New Roman" w:hAnsi="Times New Roman"/>
                <w:sz w:val="14"/>
                <w:szCs w:val="14"/>
                <w:b w:val="1"/>
                <w:bCs w:val="1"/>
                <w:color w:val="auto"/>
              </w:rPr>
              <w:t>Vertex, Inc. and Subsidiaries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680" w:type="dxa"/>
            <w:vAlign w:val="bottom"/>
          </w:tcPr>
          <w:p>
            <w:pPr>
              <w:jc w:val="center"/>
              <w:ind w:left="2168"/>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jc w:val="center"/>
              <w:ind w:left="2188"/>
              <w:spacing w:after="0" w:line="149" w:lineRule="exact"/>
              <w:rPr>
                <w:sz w:val="20"/>
                <w:szCs w:val="20"/>
                <w:color w:val="auto"/>
              </w:rPr>
            </w:pPr>
            <w:r>
              <w:rPr>
                <w:rFonts w:ascii="Times New Roman" w:cs="Times New Roman" w:eastAsia="Times New Roman" w:hAnsi="Times New Roman"/>
                <w:sz w:val="14"/>
                <w:szCs w:val="14"/>
                <w:b w:val="1"/>
                <w:bCs w:val="1"/>
                <w:color w:val="auto"/>
              </w:rPr>
              <w:t>As of June 30, 2022 and December 31, 2021</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680" w:type="dxa"/>
            <w:vAlign w:val="bottom"/>
          </w:tcPr>
          <w:p>
            <w:pPr>
              <w:jc w:val="center"/>
              <w:ind w:left="2188"/>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85,554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Funds held for customers</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of $8,719 and $9,151, respectively</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88,961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76,929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22,956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securities available for sale, current (amortized cost of $6,940 at June 30, 2022)</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6,943</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224,349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195,671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106,526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98,390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Capitalized software, net of accumulated amortization</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38,362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and other intangible assets</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255,556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272,702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commissions</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 asset</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31,190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689,750</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670,207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23,931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Tax sharing agreement distributions payable</w:t>
            </w:r>
          </w:p>
        </w:tc>
        <w:tc>
          <w:tcPr>
            <w:tcW w:w="1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Customer funds obligations</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salaries and benefits</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variable compensation</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compensation, current</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 current</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243,815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purchase consideration, current</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current</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4,791</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368,876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369,132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Deferred compensation, net of current portion</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net of current portion</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47,939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22,371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purchase consideration, net of current portion</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net of current portion</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other liabilities</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469,115</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440,123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shares, $0.001 par value, 30,000 shares authorized; no shares issued and outstanding</w:t>
            </w:r>
          </w:p>
        </w:tc>
        <w:tc>
          <w:tcPr>
            <w:tcW w:w="1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8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voting common stock, $0.001 par value, 300,000 shares authorized; 48,316 and 42,286 shares issued</w:t>
            </w:r>
          </w:p>
        </w:tc>
        <w:tc>
          <w:tcPr>
            <w:tcW w:w="1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outstanding, respectively</w:t>
            </w:r>
          </w:p>
        </w:tc>
        <w:tc>
          <w:tcPr>
            <w:tcW w:w="18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B voting common stock, $0.001 par value, 150,000 shares authorized; 101,307 and 106,807 shares</w:t>
            </w:r>
          </w:p>
        </w:tc>
        <w:tc>
          <w:tcPr>
            <w:tcW w:w="1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and outstanding, respectively</w:t>
            </w: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 in capital</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232,850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(31,321)</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220,635</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230,084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689,750</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670,207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440"/>
          </w:cols>
          <w:pgMar w:left="1440" w:top="513" w:right="1019" w:bottom="1440" w:gutter="0" w:footer="0" w:header="0"/>
        </w:sectPr>
      </w:pPr>
    </w:p>
    <w:bookmarkStart w:id="5" w:name="page6"/>
    <w:bookmarkEnd w:id="5"/>
    <w:tbl>
      <w:tblPr>
        <w:tblLayout w:type="fixed"/>
        <w:tblInd w:w="40" w:type="dxa"/>
        <w:tblCellMar>
          <w:top w:w="0" w:type="dxa"/>
          <w:left w:w="0" w:type="dxa"/>
          <w:bottom w:w="0" w:type="dxa"/>
          <w:right w:w="0" w:type="dxa"/>
        </w:tblCellMar>
      </w:tblPr>
      <w:tr>
        <w:trPr>
          <w:trHeight w:val="207"/>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480" w:type="dxa"/>
            <w:vAlign w:val="bottom"/>
            <w:gridSpan w:val="5"/>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8"/>
              </w:rPr>
              <w:t>Vertex, Inc. and Subsidiaries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20" w:type="dxa"/>
            <w:vAlign w:val="bottom"/>
            <w:gridSpan w:val="7"/>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20" w:type="dxa"/>
            <w:vAlign w:val="bottom"/>
            <w:gridSpan w:val="7"/>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For the three and six months ended June 30, 2022 and 2021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20" w:type="dxa"/>
            <w:vAlign w:val="bottom"/>
            <w:gridSpan w:val="7"/>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per share data)</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tcPr>
          <w:p>
            <w:pPr>
              <w:jc w:val="right"/>
              <w:ind w:right="630"/>
              <w:spacing w:after="0" w:line="196"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4"/>
          </w:tcPr>
          <w:p>
            <w:pPr>
              <w:jc w:val="right"/>
              <w:ind w:right="510"/>
              <w:spacing w:after="0" w:line="196"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Software subscriptions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101,088</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89,604</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198,219</w:t>
            </w:r>
          </w:p>
        </w:tc>
        <w:tc>
          <w:tcPr>
            <w:tcW w:w="1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234,260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Software subscriptions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141,265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75,443</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69,017</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145,093</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8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Class A stockholders,</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(1,679)</w:t>
            </w:r>
          </w:p>
        </w:tc>
        <w:tc>
          <w:tcPr>
            <w:tcW w:w="2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Class A share, basic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gridSpan w:val="3"/>
            <w:vMerge w:val="continue"/>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Class A common stock, basic</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43,286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34,726</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42,818</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30,592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Net (loss) income attributable to Class A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80" w:type="dxa"/>
            <w:vAlign w:val="bottom"/>
            <w:gridSpan w:val="3"/>
            <w:vMerge w:val="continue"/>
          </w:tcPr>
          <w:p>
            <w:pPr>
              <w:spacing w:after="0"/>
              <w:rPr>
                <w:sz w:val="13"/>
                <w:szCs w:val="13"/>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(1,679)</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bottom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per Class A share, diluted</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Class A common stock, diluted</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gridSpan w:val="3"/>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43,286</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44,711</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42,818</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41,357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80" w:type="dxa"/>
            <w:vAlign w:val="bottom"/>
            <w:gridSpan w:val="3"/>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Net (loss) income attributable to Class B stockholders,</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(3,922)</w:t>
            </w:r>
          </w:p>
        </w:tc>
        <w:tc>
          <w:tcPr>
            <w:tcW w:w="2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(4,175)</w:t>
            </w:r>
          </w:p>
        </w:tc>
        <w:tc>
          <w:tcPr>
            <w:tcW w:w="2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Class B share, basic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gridSpan w:val="3"/>
            <w:vMerge w:val="continue"/>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Class B common stock, basic</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106,203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112,804</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106,505</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116,460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Net (loss) income attributable to Class B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80" w:type="dxa"/>
            <w:vAlign w:val="bottom"/>
            <w:gridSpan w:val="3"/>
            <w:vMerge w:val="continue"/>
          </w:tcPr>
          <w:p>
            <w:pPr>
              <w:spacing w:after="0"/>
              <w:rPr>
                <w:sz w:val="13"/>
                <w:szCs w:val="13"/>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(3,922)</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(4,175)</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280" w:type="dxa"/>
            <w:vAlign w:val="bottom"/>
            <w:tcBorders>
              <w:top w:val="single" w:sz="8" w:color="CCEEFF"/>
              <w:bottom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per Class B share, diluted</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Class B common stock, diluted</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106,203</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112,804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106,505</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116,460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right="466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For the three and six months ended June 30, 2022 (unaudited)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6480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Class 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0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23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222,621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230,084</w:t>
            </w:r>
          </w:p>
        </w:tc>
        <w:tc>
          <w:tcPr>
            <w:tcW w:w="20" w:type="dxa"/>
            <w:vAlign w:val="bottom"/>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8"/>
                <w:szCs w:val="18"/>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vesting of</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net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0" w:type="dxa"/>
            <w:vAlign w:val="bottom"/>
          </w:tcPr>
          <w:p>
            <w:pPr>
              <w:spacing w:after="0"/>
              <w:rPr>
                <w:sz w:val="20"/>
                <w:szCs w:val="20"/>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and revaluations,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0" w:type="dxa"/>
            <w:vAlign w:val="bottom"/>
          </w:tcPr>
          <w:p>
            <w:pPr>
              <w:spacing w:after="0"/>
              <w:rPr>
                <w:sz w:val="20"/>
                <w:szCs w:val="20"/>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8"/>
                <w:szCs w:val="18"/>
                <w:color w:val="auto"/>
              </w:rPr>
            </w:pPr>
          </w:p>
        </w:tc>
      </w:tr>
      <w:tr>
        <w:trPr>
          <w:trHeight w:val="210"/>
        </w:trPr>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232,831</w:t>
            </w:r>
          </w:p>
        </w:tc>
        <w:tc>
          <w:tcPr>
            <w:tcW w:w="20" w:type="dxa"/>
            <w:vAlign w:val="bottom"/>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vesting of</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 net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0" w:type="dxa"/>
            <w:vAlign w:val="bottom"/>
          </w:tcPr>
          <w:p>
            <w:pPr>
              <w:spacing w:after="0"/>
              <w:rPr>
                <w:sz w:val="20"/>
                <w:szCs w:val="20"/>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connection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ESPP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tcPr>
          <w:p>
            <w:pPr>
              <w:spacing w:after="0"/>
              <w:rPr>
                <w:sz w:val="20"/>
                <w:szCs w:val="20"/>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shares exchanged for</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Class A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and revaluations,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20" w:type="dxa"/>
            <w:vAlign w:val="bottom"/>
          </w:tcPr>
          <w:p>
            <w:pPr>
              <w:spacing w:after="0"/>
              <w:rPr>
                <w:sz w:val="20"/>
                <w:szCs w:val="20"/>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gain from</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net of tax</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20" w:type="dxa"/>
            <w:vAlign w:val="bottom"/>
          </w:tcPr>
          <w:p>
            <w:pPr>
              <w:spacing w:after="0"/>
              <w:rPr>
                <w:sz w:val="18"/>
                <w:szCs w:val="18"/>
                <w:color w:val="auto"/>
              </w:rPr>
            </w:pPr>
          </w:p>
        </w:tc>
      </w:tr>
      <w:tr>
        <w:trPr>
          <w:trHeight w:val="21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2022</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232,850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220,635</w:t>
            </w:r>
          </w:p>
        </w:tc>
        <w:tc>
          <w:tcPr>
            <w:tcW w:w="20" w:type="dxa"/>
            <w:vAlign w:val="bottom"/>
          </w:tcPr>
          <w:p>
            <w:pPr>
              <w:spacing w:after="0"/>
              <w:rPr>
                <w:sz w:val="18"/>
                <w:szCs w:val="18"/>
                <w:color w:val="auto"/>
              </w:rPr>
            </w:pPr>
          </w:p>
        </w:tc>
      </w:tr>
      <w:tr>
        <w:trPr>
          <w:trHeight w:val="20"/>
        </w:trPr>
        <w:tc>
          <w:tcPr>
            <w:tcW w:w="2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right="466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For the three and six months ended June 30, 2021 (unaudited)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6480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9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3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8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23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206,541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229,342</w:t>
            </w:r>
          </w:p>
        </w:tc>
        <w:tc>
          <w:tcPr>
            <w:tcW w:w="20" w:type="dxa"/>
            <w:vAlign w:val="bottom"/>
          </w:tcPr>
          <w:p>
            <w:pPr>
              <w:spacing w:after="0"/>
              <w:rPr>
                <w:sz w:val="18"/>
                <w:szCs w:val="18"/>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ASC 842 transition</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adjustment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20"/>
                <w:szCs w:val="20"/>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20" w:type="dxa"/>
            <w:vAlign w:val="bottom"/>
          </w:tcPr>
          <w:p>
            <w:pPr>
              <w:spacing w:after="0"/>
              <w:rPr>
                <w:sz w:val="18"/>
                <w:szCs w:val="18"/>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vesting of</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net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0"/>
                <w:szCs w:val="20"/>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20" w:type="dxa"/>
            <w:vAlign w:val="bottom"/>
          </w:tcPr>
          <w:p>
            <w:pPr>
              <w:spacing w:after="0"/>
              <w:rPr>
                <w:sz w:val="20"/>
                <w:szCs w:val="20"/>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and revaluations,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 w:type="dxa"/>
            <w:vAlign w:val="bottom"/>
          </w:tcPr>
          <w:p>
            <w:pPr>
              <w:spacing w:after="0"/>
              <w:rPr>
                <w:sz w:val="20"/>
                <w:szCs w:val="20"/>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0" w:type="dxa"/>
            <w:vAlign w:val="bottom"/>
          </w:tcPr>
          <w:p>
            <w:pPr>
              <w:spacing w:after="0"/>
              <w:rPr>
                <w:sz w:val="18"/>
                <w:szCs w:val="18"/>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2021</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26,972</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120,117</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230,432</w:t>
            </w:r>
          </w:p>
        </w:tc>
        <w:tc>
          <w:tcPr>
            <w:tcW w:w="2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0" w:type="dxa"/>
            <w:vAlign w:val="bottom"/>
          </w:tcPr>
          <w:p>
            <w:pPr>
              <w:spacing w:after="0"/>
              <w:rPr>
                <w:sz w:val="18"/>
                <w:szCs w:val="18"/>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vesting of</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 net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connection</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ESPP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20" w:type="dxa"/>
            <w:vAlign w:val="bottom"/>
          </w:tcPr>
          <w:p>
            <w:pPr>
              <w:spacing w:after="0"/>
              <w:rPr>
                <w:sz w:val="20"/>
                <w:szCs w:val="20"/>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0"/>
                <w:szCs w:val="20"/>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shares exchanged for</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shares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and revaluations,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20" w:type="dxa"/>
            <w:vAlign w:val="bottom"/>
          </w:tcPr>
          <w:p>
            <w:pPr>
              <w:spacing w:after="0"/>
              <w:rPr>
                <w:sz w:val="20"/>
                <w:szCs w:val="20"/>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 w:type="dxa"/>
            <w:vAlign w:val="bottom"/>
          </w:tcPr>
          <w:p>
            <w:pPr>
              <w:spacing w:after="0"/>
              <w:rPr>
                <w:sz w:val="18"/>
                <w:szCs w:val="18"/>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108,017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209,629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231,700</w:t>
            </w:r>
          </w:p>
        </w:tc>
        <w:tc>
          <w:tcPr>
            <w:tcW w:w="2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64808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 and 2021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183"/>
        </w:trPr>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700" w:type="dxa"/>
            <w:vAlign w:val="bottom"/>
          </w:tcPr>
          <w:p>
            <w:pPr>
              <w:spacing w:after="0"/>
              <w:rPr>
                <w:sz w:val="15"/>
                <w:szCs w:val="15"/>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(5,854)</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w:t>
            </w: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17,697</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subscription cancellations and non-renewals, net of deferred allowance</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(611)</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Write-off of deferred financing costs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12,828</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r>
      <w:tr>
        <w:trPr>
          <w:trHeight w:val="202"/>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(10,900)</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10,993</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(3,124)</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commissions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(5,707)</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and deferred compensation</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(17,550)</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(8,301)</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(1,868)</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(457)</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196"/>
        </w:trPr>
        <w:tc>
          <w:tcPr>
            <w:tcW w:w="66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14,576</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26,465</w:t>
            </w:r>
          </w:p>
        </w:tc>
      </w:tr>
      <w:tr>
        <w:trPr>
          <w:trHeight w:val="19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8"/>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(474)</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(193,591)</w:t>
            </w: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additions</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(27,827)</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(15,888)</w:t>
            </w: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Capitalized software additions</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(5,926)</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(5,125)</w:t>
            </w: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investment securities, available for sale</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(6,943)</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6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(41,170)</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(214,604)</w:t>
            </w:r>
          </w:p>
        </w:tc>
      </w:tr>
      <w:tr>
        <w:trPr>
          <w:trHeight w:val="19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5"/>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increase (decrease) in customer funds obligations</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(4,571)</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22,227</w:t>
            </w: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term loan</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(313)</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deferred financing costs</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(983)</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purchases of stock under ESPP</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stock-based awards</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(489)</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(10,715)</w:t>
            </w: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under Tax Sharing Agreement</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(536)</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for purchase commitment liabilities</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(255)</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202"/>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of finance lease liabilities</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for deferred purchase commitments</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(10,000)</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34,489</w:t>
            </w:r>
          </w:p>
        </w:tc>
        <w:tc>
          <w:tcPr>
            <w:tcW w:w="1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8,740</w:t>
            </w: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196"/>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(179,620)</w:t>
            </w: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98,206</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312,273</w:t>
            </w:r>
          </w:p>
        </w:tc>
      </w:tr>
      <w:tr>
        <w:trPr>
          <w:trHeight w:val="23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105,489</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132,653</w:t>
            </w:r>
          </w:p>
        </w:tc>
      </w:tr>
      <w:tr>
        <w:trPr>
          <w:trHeight w:val="142"/>
        </w:trPr>
        <w:tc>
          <w:tcPr>
            <w:tcW w:w="66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Reconciliation of cash, cash equivalents and restricted cash to the Consolidated Balance Sheets,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85,554</w:t>
            </w:r>
          </w:p>
        </w:tc>
        <w:tc>
          <w:tcPr>
            <w:tcW w:w="16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101,593</w:t>
            </w: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cash—funds held for customers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19,935</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31,060</w:t>
            </w:r>
          </w:p>
        </w:tc>
      </w:tr>
      <w:tr>
        <w:trPr>
          <w:trHeight w:val="196"/>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105,489</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132,653</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142875</wp:posOffset>
            </wp:positionV>
            <wp:extent cx="5648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80" w:right="3959" w:hanging="330"/>
        <w:spacing w:after="0" w:line="503"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Nature of Business</w:t>
      </w: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Vertex, Inc. (“Vertex”) and its consolidated subsidiaries and variable interest entities (“VIE”)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accounting principles generally accepted in the U.S. (“U.S. GAAP”) and include the accounts of the Company. All intercompany transactions have been eliminated in consolidation.</w:t>
      </w:r>
    </w:p>
    <w:p>
      <w:pPr>
        <w:spacing w:after="0" w:line="1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Company has a 65% equity interest in Systax Sistemas Fiscais LTDA (“Systax”), a provider of Brazilian transaction tax content and software. Systax is considered a VIE given that the equity investors, as a group, lack the characteristics of a controlling financial interest. Vertex includes Systax in the condensed consolidated financial statements as Vertex is the primary beneficiary of the equity interests in Systax and participates significantly in the variability in the fair value of Systax’s net assets.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U.S. GAAP have been condensed or omitted. Accordingly, these interim condensed consolidated financial statements should be read in conjunction with the audited consolidated financial statements and the related notes for the year ended December 31, 2021 included in the Company’s Annual Report on Form 10-K for the year ended December 31, 2021 (the “2021 Annual Report”) filed with the SEC on March 16, 2022. The condensed consolidated balance sheet as of December 31, 2021 has been derived from audited financial statements included in the 2021 Annual Report. The accompanying interim condensed consolidated balance sheet as of June 30, 2022, the interim condensed consolidated statements of comprehensive loss, changes in stockholders’ equity for the three and six months ended June 30, 2022 and 2021, and interim condensed consolidated statements of cash flows for the six months ended June 30, 2022 and 2021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and six months ended June 30, 2022 are not necessarily indicative of the results expected for the full year ending December 31, 2022.</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43" w:lineRule="exact"/>
        <w:rPr>
          <w:sz w:val="20"/>
          <w:szCs w:val="20"/>
          <w:color w:val="auto"/>
        </w:rPr>
      </w:pPr>
    </w:p>
    <w:p>
      <w:pPr>
        <w:jc w:val="both"/>
        <w:ind w:left="100" w:right="119" w:firstLine="292"/>
        <w:spacing w:after="0" w:line="277" w:lineRule="auto"/>
        <w:rPr>
          <w:sz w:val="20"/>
          <w:szCs w:val="20"/>
          <w:color w:val="auto"/>
        </w:rPr>
      </w:pPr>
      <w:r>
        <w:rPr>
          <w:rFonts w:ascii="Times New Roman" w:cs="Times New Roman" w:eastAsia="Times New Roman" w:hAnsi="Times New Roman"/>
          <w:sz w:val="18"/>
          <w:szCs w:val="18"/>
          <w:color w:val="auto"/>
        </w:rPr>
        <w:t>The Company operates its business as one operating segment. For the three and six months ended June 30, 2022, approximately 10% and 8%, respectively, of the Company’s revenues were generated from customers located outside the U.S. For the three and six months ended June 30, 2021, revenues generated from customers located outside the U.S. were approximately 7% and 6%, respectively. As of June 30, 2022 and December 31, 2021, $791 and $699, respectively, of the Company’s property and equipment assets were held outside the 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a measurement date. A three-level fair value hierarchy (the “Fair Value Hierarchy”) prioritizes the inputs used to measure fair value. The Fair Value Hierarchy requires the Company to maximize the use of observable inputs and minimize the use of unobservable inputs. Classification in the Fair Value Hierarchy is based on the lowest of the following levels that is significant to the measurement: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Inputs are unadjusted quoted prices in active markets for identical assets or liabilities.</w:t>
      </w:r>
    </w:p>
    <w:p>
      <w:pPr>
        <w:spacing w:after="0" w:line="225" w:lineRule="exact"/>
        <w:rPr>
          <w:sz w:val="20"/>
          <w:szCs w:val="20"/>
          <w:color w:val="auto"/>
        </w:rPr>
      </w:pPr>
    </w:p>
    <w:p>
      <w:pPr>
        <w:jc w:val="both"/>
        <w:ind w:left="1020" w:right="59"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Inputs are quoted prices for similar assets and liabilities in active markets or quoted prices for identical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instruments in markets that are not active and model-derived valuations in which all significant inputs and significant value drivers are observable in active markets.</w:t>
      </w:r>
    </w:p>
    <w:p>
      <w:pPr>
        <w:spacing w:after="0" w:line="173" w:lineRule="exact"/>
        <w:rPr>
          <w:sz w:val="20"/>
          <w:szCs w:val="20"/>
          <w:color w:val="auto"/>
        </w:rPr>
      </w:pPr>
    </w:p>
    <w:p>
      <w:pPr>
        <w:jc w:val="both"/>
        <w:ind w:left="1020" w:right="59" w:hanging="647"/>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Inputs are unobservable inputs based on the Company’s assumptions and valuation techniques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assets and liabilities at fair value. The inputs require significant management judgment or estimation.</w:t>
      </w:r>
    </w:p>
    <w:p>
      <w:pPr>
        <w:spacing w:after="0" w:line="16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Company’s assessment of the significance of an input to a fair value measurement requires judgment, which may affect the determination of fair value and the measurement’s classification within the Fair Value Hierarchy.</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w:t>
      </w:r>
    </w:p>
    <w:p>
      <w:pPr>
        <w:spacing w:after="0" w:line="3" w:lineRule="exact"/>
        <w:rPr>
          <w:sz w:val="20"/>
          <w:szCs w:val="20"/>
          <w:color w:val="auto"/>
        </w:rPr>
      </w:pPr>
    </w:p>
    <w:p>
      <w:pPr>
        <w:jc w:val="both"/>
        <w:ind w:left="60" w:right="59" w:hanging="10"/>
        <w:spacing w:after="0" w:line="251"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on available for sale securities; (iv) the reserve for self-insurance, (v) assumptions related to achievement of technological feasibility for software developed for sale, (vi) product life cycles, (vii) estimated useful lives and potential impairment of long-lived assets and intangible assets, (viii) potential impairment of goodwill, (ix) determination of the fair value of tangible and intangible assets acquired, liabilities assumed and consideration transferred in acquisitions, (x) amortization period of material rights and deferred commissions (xi) Black-Scholes-Merton option pricing model (“Black-Scholes model”) input assumptions used to determine the fair value of stock-based compensation awards, (xii) measurement of future purchase commitment, contingent consideration liabilities and deferred purchase consideration liabilities associated with acquisitions, and (xiii) the potential outcome of future tax consequences of events that have been recognized in the condensed consolidated financial statements or tax returns. Actual results may differ from these estimates.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follows Accounting Standard Codification (“ASC”) 350-40, </w:t>
      </w:r>
      <w:r>
        <w:rPr>
          <w:rFonts w:ascii="Times New Roman" w:cs="Times New Roman" w:eastAsia="Times New Roman" w:hAnsi="Times New Roman"/>
          <w:sz w:val="18"/>
          <w:szCs w:val="18"/>
          <w:i w:val="1"/>
          <w:iCs w:val="1"/>
          <w:color w:val="auto"/>
        </w:rPr>
        <w:t>Goodwill and Other, 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to account for development costs incurred for the costs of computer software developed or obtained for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ASC 350-40 requires such costs to be capitalized once certain criteria are met. Internal-use software is included in internal-use software developed in property and equipment in the condensed consolidated balance sheets once available for its intended use and is depreciated over periods between 3 to 5 years. Depreciation expense for internal-use software utilized for cloud-based customer solutions and for software for internal systems and tools is included in cost of revenues, software subscriptions and depreciation and amortization expense, respectively, in the condensed consolidated statements of comprehensive loss.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Software Developed for Sale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costs incurred for the development of computer software to be sold, leased, or otherwise marketed are capitalized in accordance with ASC 985-20, </w:t>
      </w:r>
      <w:r>
        <w:rPr>
          <w:rFonts w:ascii="Times New Roman" w:cs="Times New Roman" w:eastAsia="Times New Roman" w:hAnsi="Times New Roman"/>
          <w:sz w:val="18"/>
          <w:szCs w:val="18"/>
          <w:i w:val="1"/>
          <w:iCs w:val="1"/>
          <w:color w:val="auto"/>
        </w:rPr>
        <w:t>Costs of Software to be Sold, Leased or Marketed</w:t>
      </w:r>
      <w:r>
        <w:rPr>
          <w:rFonts w:ascii="Times New Roman" w:cs="Times New Roman" w:eastAsia="Times New Roman" w:hAnsi="Times New Roman"/>
          <w:sz w:val="18"/>
          <w:szCs w:val="18"/>
          <w:color w:val="auto"/>
        </w:rPr>
        <w:t>, when technological feasibility has been established. Amortization of capitalized software development costs begins when the product is available for general release. Amortization is provided on a product-by-product basis using the straight-line method over periods between three to five years and is included in cost of revenues, software subscriptions in the condensed consolidated statements of comprehensive loss. Capitalized software costs are subject to an ongoing assessment of recoverability based on anticipated future revenues and changes in software technologies at least annually at December 31, and whenever events or circumstances make it more likely than not that impairment may have occurred.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condensed consolidated statements of comprehensive loss in the period in which they arise. In addition, if outside of the Measurement Period, any subsequent adjustments to the acquisition date fair values are reflected in the condensed consolidated statements of comprehensive loss in the period in which they arise.</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59" w:firstLine="324"/>
        <w:spacing w:after="0" w:line="224"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intangible assets acquired in a business combination. The Company evaluates goodwill for impairment annually at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and whenever events or circumstances make it more likely than not that impairment may have occurred.</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capitalizes costs related to obtaining, renewing or extending loan agreements and amortizes these costs on a straight-line basis, which approximates the effective interest method, over the life of the loan. Deferred financing costs related to term loans outstanding are reflected as a reduction of current portion of long-term debt and long-term debt net of current portion in the condensed consolidated balance sheets. Deferred financing costs related to undrawn debt are reflected in other assets in the condensed consolidated balance sheets.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stock awards issued under the 2020 Incentive Award Plan (the “2020 Plan”) and the 2020 Employee Stock Purchase Plan (the “ESPP”). The awards are subject to, and the Company applies, the guidance set forth in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for the award of equity-based instruments. The provisions of ASC 718 require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measure the fair value of stock-based compensation as of the grant date of the award. Stock-based compensation expense reflects the cost of employee services received in exchange for the awards. The Company has elected to recognize award forfeitures as they occur.</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227"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(collectively, the “updates and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performance obligations are satisfied over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were higher than standard renewal prices. The excess initial year price over the renewal price (“new sale premium”) is a material right that provides customers with the right to this reduced renewal price. The Company recognizes revenue associated with this material right over the estimated period of benefit to the customer, which is generally three years. Effective January 1, 2022, the Company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estimated period of benefit to the customer.</w:t>
      </w:r>
    </w:p>
    <w:p>
      <w:pPr>
        <w:spacing w:after="0" w:line="20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Cloud-based subscriptions allow customers to use Company-hosted software over the contract period without taking possession of the software. The cloud-based offerings also include related updates and support. Cloud-based contracts consistently provide a benefit to the customer during the subscription period; thus, the associated revenue is recognized ratably over the related subscription period. Revenue recognition begins on the later of the beginning of the subscription period or the date the customer is provided access to the cloud-based solutions.</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Revenue from deliverable-based services is recognized as services are delivered. Revenue from fixed fee services is recognized as services are performed using the percentage of completion input method.</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elected the “right to invoice” practical expedient for revenue related to services that are billed on an hourly basis, which enables revenue to be recognized as the services are performed.</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judgement by management.</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Payment terms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Payment terms and conditions vary by contract, although the Company’s terms generally include a requirement of payment within 30-days.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revenues, software subscriptions includes the direct cost to maintain, host and distribute software products, the direct cost to provide customer support, the direct cost to maintain tax content and depreciation and amortization of costs of capitalized software, acquired intangibles, and internal-use software utilized for cloud-based subscriptions. Cost of revenues, services includes the direct costs of implementation, training, transaction tax returns outsourcing and other tax-related services.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Reimbursable costs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Reimbursable costs passed through and invoiced to customers of the Company are recorded as services revenues with the associated expenses recorded as cost of revenues, services in the condensed consolidated statements of comprehensive loss.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Vertex accounts for income taxes using the asset and liability method. The Company recognizes deferred tax assets and liabilities for future tax consequences of events that have been previously recognized in the Company’s condensed consolidated financial statements and tax returns. The measurement of deferred tax assets and liabilities is based on provisions of the enacted tax law. The effect of a change in tax laws or rates on deferred tax assets and liabilities is recognized in income in the period that includes the enactment date. The effects of future changes in tax laws or rates are not anticipated. A valuation allowance is recorded when it is more likely than not that some or all of the deferred tax assets will not be realized. The Company records uncertain tax positions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on the basis of a two-step process whereby: (i) 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Company records interest related to underpayment of income taxes as interest expense and penalties as other operating expenses in the condensed consolidated statements of comprehensive loss.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impact as a result of the application of ASC 740 is reflected in the condensed consolidated financial statements. The Company assesses its income tax positions and records tax benefits or expense based upon management’s evaluation of the facts, circumstances, and information available at the reporting date. Variations in the actual outcome of these future tax consequences could materially impact the condensed consolidated financial statements. The Company’s effective income tax rate is based on estimated income for the year, the estimated composition of the income/losses in different jurisdictions, and discrete adjustments in the applicable quarterly periods. Potential discrete adjustments generally include tax charges or benefits related to stock-based compensation and changes in tax legislation, among other items.</w:t>
      </w:r>
    </w:p>
    <w:p>
      <w:pPr>
        <w:spacing w:after="0" w:line="189" w:lineRule="exact"/>
        <w:rPr>
          <w:sz w:val="20"/>
          <w:szCs w:val="20"/>
          <w:color w:val="auto"/>
        </w:rPr>
      </w:pPr>
    </w:p>
    <w:p>
      <w:pPr>
        <w:jc w:val="both"/>
        <w:ind w:left="60" w:right="79" w:firstLine="324"/>
        <w:spacing w:after="0" w:line="257" w:lineRule="auto"/>
        <w:rPr>
          <w:sz w:val="20"/>
          <w:szCs w:val="20"/>
          <w:color w:val="auto"/>
        </w:rPr>
      </w:pPr>
      <w:r>
        <w:rPr>
          <w:rFonts w:ascii="Times New Roman" w:cs="Times New Roman" w:eastAsia="Times New Roman" w:hAnsi="Times New Roman"/>
          <w:sz w:val="18"/>
          <w:szCs w:val="18"/>
          <w:color w:val="auto"/>
        </w:rPr>
        <w:t>The Company’s effective income tax rate was (10%) and 175% for the three months ended June 30, 2022, and 2021, respectively. For the three months ended June 30, 2022, the effective income tax rate was lower than the U.S. federal statutory rate primarily due to foreign losses benefited at lower rates, shortfall in tax benefits related to stock-based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compensation, and limitations on deductions of certain employees’ compensation under Internal Revenue Code Section 162(m) (“Section 162(m)”), when compared to losses before income taxes for the three months ended June 30, 2022. For the three months ended June 30, 2021, the effective income tax rate was higher than the U.S. federal statutory rate primarily due to excess tax benefits related to stock-based compensation, offset by limitations on deductions of certain employees’ compensation under Section 162(m), when compared to income before income taxes for the three months ended June 30, 2021.</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Company’s effective income tax rate was (29%) and (478%) for the six months ended June 30, 2022, and 2021, respectively. For the six months ended June 30, 2022, the effective income tax rate was lower than the U.S. federal statutory rate primarily due to foreign losses benefited at lower rates, shortfall in tax benefits related to stock-based compensation, and limitations on deductions of certain employees’ compensation under Section 162(m), when compared to losses before income taxes for the six months ended June 30, 2022. For the six months ended June 30, 2021, the effective income tax rate was lower than the U.S. federal statutory rate primarily due to excess tax benefits related to stock-based compensation, offset by limitations on deductions of certain employees’ compensation under Section 162(m), when compared to income before income taxes for the six months ended June 30, 2021.</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Tax Cuts and Jobs Act of 2017 generally requires taxpayers to capitalize research and experimental expenditures effective for tax years beginning after December 31, 2021, and amortize the capitalized costs over a period of five or 15 years depending on where the research is conducted. The latest versions of the proposed Build Back Better Act delay the effective date on which these expenditures are required to be capitalized. However, it is unclear if this act will pass in its current form or if any other legislation might be enacted to defer or repeal the effective date of capitalization. If the capitalization requirement is not deferred or repealed, the Company expects the capitalization of research and experimental expenditures to increase its current U.S. federal and state income tax expense.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Supplemental Balance Sheet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balance sheet disclosures are as follows for the respective periods:</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40" w:type="dxa"/>
            <w:vAlign w:val="bottom"/>
            <w:vMerge w:val="continue"/>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insurance</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licenses and support</w:t>
            </w:r>
          </w:p>
        </w:tc>
        <w:tc>
          <w:tcPr>
            <w:tcW w:w="2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22,956</w:t>
            </w: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general expenses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contract labor and professional fees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and other taxes</w:t>
            </w:r>
          </w:p>
        </w:tc>
        <w:tc>
          <w:tcPr>
            <w:tcW w:w="2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23,931</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4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71"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cash flow disclosures are as follows for the respective periods: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1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1,922</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1,826</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Purchase commitment and contingent consideration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2,078</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 Board (“FASB”) issued Accounting Standards Update (“ASU”) No.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(“ASU 2021-08”). ASU 2021-08 provides specific guidance on how to recognize and measure contract assets and contract liabilities related to revenue contracts with customers acquired in a business combination. This will align the accounting for these acquired contracts to the accounting for revenue contracts originated by the acquirer and will provide more comparable information to investors and other financial statement users seeking to better understand the financial impact of these acquisitions. ASU 2021-08 will be effective for public entities with fiscal years beginning after December 15, 2022, and for all other entities with fiscal years beginning after December 15, 2023, with early adoption permitted. ASU 2021-08 will be applied prospectively to business combinations occurring on or after the applicable effective date. The Company is currently evaluating the impact this guidance will have on the Company’s condensed consolidated financial statements.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coronavirus disease 2019 (“COVID-19”) to be a pandemic. The COVID-19 pandemic is continuing to have widespread, rapidly evolving and unpredictable impacts on global society, economies, financial markets and business practices. To protect the health and well-being of Company employees and customers, substantial modifications were made to employee travel policies, and our offices were closed, and remained closed through June 30, 2022, with employees directed to work from home. The Company has begun to participate in and/or hold conferences and other marketing events in person and virtual based on the event, beginning in 2022. The COVID-19 pandemic has impacted, and may continue to impact, Company operations, including employees, customers and partners, and there is substantial uncertainty regarding the nature and degree of its continued effects over time.</w:t>
      </w:r>
    </w:p>
    <w:p>
      <w:pPr>
        <w:spacing w:after="0" w:line="18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experience any significant reductions in sales, revenues or collections through June 30, 2022 as a result of COVID-19. The Company believes it has ample liquidity and capital resources to continue to meet its operating needs and to service debt and other financial obligations.</w:t>
      </w:r>
    </w:p>
    <w:p>
      <w:pPr>
        <w:spacing w:after="0" w:line="176"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extent to which the COVID-19 pandemic impacts the business going forward will depend on numerous evolving factors that cannot reliably be predicted, including the ongoing duration and scope of the pandemic; governmental,</w:t>
      </w: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business, and individuals’ actions in response to the pandemic; and the impact on economic activity, including the possibility of recession, inflation or financial market instability. These factors may adversely impact consumer, business and government spending on technology as well as customers’ ability to pay for Company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lives of long-lived assets.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 These reclassifications had no effect on previously reported comprehensive income or loss.</w:t>
      </w:r>
    </w:p>
    <w:p>
      <w:pPr>
        <w:spacing w:after="0" w:line="388" w:lineRule="exact"/>
        <w:rPr>
          <w:sz w:val="20"/>
          <w:szCs w:val="20"/>
          <w:color w:val="auto"/>
        </w:rPr>
      </w:pPr>
    </w:p>
    <w:p>
      <w:pPr>
        <w:ind w:left="420" w:hanging="370"/>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See Note 1, “Summary of Significant Accounting Policies”, for a description of the Company’s revenue recognition accounting policy.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reflects revenue by major source for the following periods: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5"/>
                <w:szCs w:val="15"/>
                <w:color w:val="auto"/>
              </w:rPr>
            </w:pPr>
          </w:p>
        </w:tc>
        <w:tc>
          <w:tcPr>
            <w:tcW w:w="1800" w:type="dxa"/>
            <w:vAlign w:val="bottom"/>
            <w:tcBorders>
              <w:bottom w:val="single" w:sz="8" w:color="auto"/>
            </w:tcBorders>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61"/>
        </w:trPr>
        <w:tc>
          <w:tcPr>
            <w:tcW w:w="3440" w:type="dxa"/>
            <w:vAlign w:val="bottom"/>
            <w:vMerge w:val="continue"/>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licenses</w:t>
            </w:r>
          </w:p>
        </w:tc>
        <w:tc>
          <w:tcPr>
            <w:tcW w:w="19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113,875</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Cloud subscriptions</w:t>
            </w:r>
          </w:p>
        </w:tc>
        <w:tc>
          <w:tcPr>
            <w:tcW w:w="1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59,009</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172,884</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Services</w:t>
            </w:r>
          </w:p>
        </w:tc>
        <w:tc>
          <w:tcPr>
            <w:tcW w:w="1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104,938</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203,174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$8,719 and $9,151 at June 30, 2022 and December 31, 2021, respectively. The allowance for potentially uncollectible accounts represents future expected credit losses over the life of the receivables based on past experience, current information and forward-looking economic considerations.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accounts receivable, net of allowance,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624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ended June 30, 2022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2"/>
        </w:trPr>
        <w:tc>
          <w:tcPr>
            <w:tcW w:w="6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77,159</w:t>
            </w: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88,961</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76,929</w:t>
            </w:r>
          </w:p>
        </w:tc>
      </w:tr>
      <w:tr>
        <w:trPr>
          <w:trHeight w:val="209"/>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net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left="1500"/>
        <w:spacing w:after="0" w:line="261" w:lineRule="auto"/>
        <w:rPr>
          <w:sz w:val="20"/>
          <w:szCs w:val="20"/>
          <w:color w:val="auto"/>
        </w:rPr>
      </w:pPr>
      <w:r>
        <w:rPr>
          <w:rFonts w:ascii="Times New Roman" w:cs="Times New Roman" w:eastAsia="Times New Roman" w:hAnsi="Times New Roman"/>
          <w:sz w:val="18"/>
          <w:szCs w:val="18"/>
          <w:color w:val="auto"/>
        </w:rPr>
        <w:t>A contract liability is recorded as deferred revenue on the condensed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allowance for subscription cancellations (the “deferred allowance”) of $6,700 and $6,537 at June 30, 2022 and December 31, 2021, respectively. The deferred allowance represents the portion of the allowance for subscription cancellations associated with deferred revenue.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and changes to the allowance and the deferred allowance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40" w:type="dxa"/>
            <w:vAlign w:val="bottom"/>
            <w:gridSpan w:val="11"/>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r>
      <w:tr>
        <w:trPr>
          <w:trHeight w:val="142"/>
        </w:trPr>
        <w:tc>
          <w:tcPr>
            <w:tcW w:w="5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4"/>
          </w:tcPr>
          <w:p>
            <w:pPr>
              <w:jc w:val="right"/>
              <w:ind w:right="6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4"/>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180" w:type="dxa"/>
            <w:vAlign w:val="bottom"/>
          </w:tcPr>
          <w:p>
            <w:pPr>
              <w:spacing w:after="0"/>
              <w:rPr>
                <w:sz w:val="12"/>
                <w:szCs w:val="12"/>
                <w:color w:val="auto"/>
              </w:rPr>
            </w:pPr>
          </w:p>
        </w:tc>
      </w:tr>
      <w:tr>
        <w:trPr>
          <w:trHeight w:val="128"/>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balance, April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(8,059)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balance, June 30,</w:t>
            </w:r>
          </w:p>
        </w:tc>
        <w:tc>
          <w:tcPr>
            <w:tcW w:w="100" w:type="dxa"/>
            <w:vAlign w:val="bottom"/>
          </w:tcPr>
          <w:p>
            <w:pPr>
              <w:spacing w:after="0"/>
              <w:rPr>
                <w:sz w:val="18"/>
                <w:szCs w:val="18"/>
                <w:color w:val="auto"/>
              </w:rPr>
            </w:pPr>
          </w:p>
        </w:tc>
        <w:tc>
          <w:tcPr>
            <w:tcW w:w="7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(8,719)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50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allowance</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allowance balance, April 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allowance balance, June 30,</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deferred allowance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w:t>
            </w:r>
          </w:p>
        </w:tc>
      </w:tr>
      <w:tr>
        <w:trPr>
          <w:trHeight w:val="209"/>
        </w:trPr>
        <w:tc>
          <w:tcPr>
            <w:tcW w:w="5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amount charged to revenues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gridSpan w:val="8"/>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96"/>
        </w:trPr>
        <w:tc>
          <w:tcPr>
            <w:tcW w:w="50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180" w:type="dxa"/>
            <w:vAlign w:val="bottom"/>
            <w:shd w:val="clear" w:color="auto" w:fill="CCEEFF"/>
          </w:tcPr>
          <w:p>
            <w:pPr>
              <w:spacing w:after="0"/>
              <w:rPr>
                <w:sz w:val="17"/>
                <w:szCs w:val="17"/>
                <w:color w:val="auto"/>
              </w:rPr>
            </w:pPr>
          </w:p>
        </w:tc>
      </w:tr>
      <w:tr>
        <w:trPr>
          <w:trHeight w:val="196"/>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balance, January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(8,592)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balance, June 30,</w:t>
            </w:r>
          </w:p>
        </w:tc>
        <w:tc>
          <w:tcPr>
            <w:tcW w:w="100" w:type="dxa"/>
            <w:vAlign w:val="bottom"/>
          </w:tcPr>
          <w:p>
            <w:pPr>
              <w:spacing w:after="0"/>
              <w:rPr>
                <w:sz w:val="18"/>
                <w:szCs w:val="18"/>
                <w:color w:val="auto"/>
              </w:rPr>
            </w:pPr>
          </w:p>
        </w:tc>
        <w:tc>
          <w:tcPr>
            <w:tcW w:w="7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(8,719)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allowance</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allowance balance, January 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allowance balance, June 30,</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deferred allowance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8"/>
                <w:szCs w:val="18"/>
                <w:color w:val="auto"/>
              </w:rPr>
            </w:pPr>
          </w:p>
        </w:tc>
      </w:tr>
      <w:tr>
        <w:trPr>
          <w:trHeight w:val="210"/>
        </w:trPr>
        <w:tc>
          <w:tcPr>
            <w:tcW w:w="5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amount charged to revenues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portion of deferred revenue expected to be recognized in revenue beyond one year is included in deferred revenue, net of current portion in the condensed consolidated balance sheets. The tables provide information about the balances of and changes to deferred revenue for the following periods: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gridSpan w:val="10"/>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June 30,   As of December 31,</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deferred revenue</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255,074</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40" w:type="dxa"/>
            <w:vAlign w:val="bottom"/>
          </w:tcPr>
          <w:p>
            <w:pPr>
              <w:spacing w:after="0"/>
              <w:rPr>
                <w:sz w:val="24"/>
                <w:szCs w:val="24"/>
                <w:color w:val="auto"/>
              </w:rPr>
            </w:pPr>
          </w:p>
        </w:tc>
        <w:tc>
          <w:tcPr>
            <w:tcW w:w="24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Pr>
          <w:p>
            <w:pPr>
              <w:spacing w:after="0"/>
              <w:rPr>
                <w:sz w:val="24"/>
                <w:szCs w:val="24"/>
                <w:color w:val="auto"/>
              </w:rPr>
            </w:pPr>
          </w:p>
        </w:tc>
        <w:tc>
          <w:tcPr>
            <w:tcW w:w="218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Changes to deferred revenue:</w:t>
            </w:r>
          </w:p>
        </w:tc>
        <w:tc>
          <w:tcPr>
            <w:tcW w:w="12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240,324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recognized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(119,276)</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(104,938)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(234,260)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255,074</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255,074</w:t>
            </w: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18</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71"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condensed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condensed consolidated statements of comprehensive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to contract cost balances as of and for the following periods are:</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4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commissions:</w:t>
            </w:r>
          </w:p>
        </w:tc>
        <w:tc>
          <w:tcPr>
            <w:tcW w:w="24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2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0" w:type="dxa"/>
            <w:vAlign w:val="bottom"/>
          </w:tcPr>
          <w:p>
            <w:pPr>
              <w:spacing w:after="0"/>
              <w:rPr>
                <w:sz w:val="1"/>
                <w:szCs w:val="1"/>
                <w:color w:val="auto"/>
              </w:rPr>
            </w:pPr>
          </w:p>
        </w:tc>
      </w:tr>
      <w:tr>
        <w:trPr>
          <w:trHeight w:val="216"/>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(2,442)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(5,043)</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0" w:type="dxa"/>
            <w:vAlign w:val="bottom"/>
          </w:tcPr>
          <w:p>
            <w:pPr>
              <w:spacing w:after="0"/>
              <w:rPr>
                <w:sz w:val="1"/>
                <w:szCs w:val="1"/>
                <w:color w:val="auto"/>
              </w:rPr>
            </w:pPr>
          </w:p>
        </w:tc>
      </w:tr>
      <w:tr>
        <w:trPr>
          <w:trHeight w:val="209"/>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right="6299" w:hanging="10"/>
        <w:spacing w:after="0" w:line="503" w:lineRule="auto"/>
        <w:tabs>
          <w:tab w:leader="none" w:pos="37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LCR-Dixon</w:t>
      </w: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executed a stock purchase agreement with LCR-Dixon Corporation (“LCR-Dixon”), a provider of SAP technologies and tax intelligence solutions. LCR-Dixon’s solutions were specifically developed to improve functionality and performance for SAP indirect tax processes and are integrated with the Company’s tax determination software. The LCR-Dixon acquisition was accounted for as a business combination. The transaction costs associated with the acquisition were not significant.</w:t>
      </w:r>
    </w:p>
    <w:p>
      <w:pPr>
        <w:spacing w:after="0" w:line="183" w:lineRule="exact"/>
        <w:rPr>
          <w:sz w:val="20"/>
          <w:szCs w:val="20"/>
          <w:color w:val="auto"/>
        </w:rPr>
      </w:pPr>
    </w:p>
    <w:p>
      <w:pPr>
        <w:jc w:val="both"/>
        <w:ind w:left="100" w:right="119" w:firstLine="298"/>
        <w:spacing w:after="0" w:line="253" w:lineRule="auto"/>
        <w:rPr>
          <w:sz w:val="20"/>
          <w:szCs w:val="20"/>
          <w:color w:val="auto"/>
        </w:rPr>
      </w:pPr>
      <w:r>
        <w:rPr>
          <w:rFonts w:ascii="Times New Roman" w:cs="Times New Roman" w:eastAsia="Times New Roman" w:hAnsi="Times New Roman"/>
          <w:sz w:val="18"/>
          <w:szCs w:val="18"/>
          <w:color w:val="auto"/>
        </w:rPr>
        <w:t>The purchase price was $99,062 consisting of (i) $59,720 of cash paid at closing, partially offset by $1,899 of LCR-Dixon cash received in the acquisition, resulting in net cash consideration at closing of $57,821, (ii) $474 cash paid related to the final determination of LCR-Dixon’s cash and net working capital as of the acquisition date (the “Post-closing Adjustment”) paid in January 2022, (iii) non-interest bearing deferred payments aggregating $40,000 to be paid in four equal installments of $10,000 every six-months beginning March 2022 and ending September 2023, net of a discount of $976 (the “deferred purchase consideration”) and (iv) other adjustments associated with income tax amounts that exceed the estimated amount calculated at closing of $156. Cash paid was funded from available cash on hand. The discount recorded as a reduction of the deferred purchase consideration will be recorded as interest expense over the payment period using the effective interest method. The deferred purchase consideration, net of discount, is included in current liabilities and long-term liabilities in the condensed consolidated balance sheets at (i) $19,955 and $9,586, respectively, at June 30, 2022, and (ii) $19,805 and $19,419, respectively, at December 31, 2021.</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purchase price for LCR-Dixon:</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60,038</w:t>
            </w:r>
          </w:p>
        </w:tc>
      </w:tr>
      <w:tr>
        <w:trPr>
          <w:trHeight w:val="216"/>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deferred purchase consideration</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39,024</w:t>
            </w:r>
          </w:p>
        </w:tc>
      </w:tr>
      <w:tr>
        <w:trPr>
          <w:trHeight w:val="209"/>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99,062</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The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Company expects that goodwill associated with the LCR-Dixon acquisition will not be deductible for tax purposes. The fair values of these amounts on the acquisition date, which are reflected in the table below, have been finalized during the three months ended June 30,2022 and include Measurement Period adjustments resulting in an increase to capitalized software of $7,700, an increase to other intangibles of $6,500 and various other adjustments resulting in a net reduction to goodwill of $11,178. Any subsequent adjustments to these values will be recorded in the consolidated statements of comprehensive loss in the period in which the adjustment is identified.</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and LCR-Dixon had a pre-existing relationship in the form of a royalty agreement at the acquisition date. The Company owed LCR-Dixon royalties in connection with licenses sold by the Company to end users when collected by the Company from end users (the “Royalty Agreement”). The Royalty Agreement terminated upon consummation of the acquisition and the Company wrote-off $252 of royalties payable to LCR-Dixon with an offset to goodwill. The following table presents the allocation of the purchase price to the assets acquired and liabilities assumed as recorded in the Company’s condensed consolidated balance sheet as of the acquisition date:</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86,639</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16"/>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6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98,810</w:t>
            </w: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fair value, valuation methodologies, estimated useful lives, and significant assumptions of the identifiable intangibles acquired in the LCR-Dixon acquisition are summarized in the table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22, 2021</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72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148"/>
        </w:trPr>
        <w:tc>
          <w:tcPr>
            <w:tcW w:w="4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LCR-Dixon Identifiable Intangibles  Balance Sheet Location</w:t>
            </w: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1"/>
        </w:trPr>
        <w:tc>
          <w:tcPr>
            <w:tcW w:w="2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w:t>
            </w:r>
          </w:p>
        </w:tc>
        <w:tc>
          <w:tcPr>
            <w:tcW w:w="40" w:type="dxa"/>
            <w:vAlign w:val="bottom"/>
            <w:tcBorders>
              <w:top w:val="single" w:sz="8" w:color="CCEEFF"/>
            </w:tcBorders>
            <w:vMerge w:val="restart"/>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Relief from royalty</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300" w:type="dxa"/>
            <w:vAlign w:val="bottom"/>
            <w:vMerge w:val="continue"/>
            <w:shd w:val="clear" w:color="auto" w:fill="CCEEFF"/>
          </w:tcPr>
          <w:p>
            <w:pPr>
              <w:spacing w:after="0"/>
              <w:rPr>
                <w:sz w:val="9"/>
                <w:szCs w:val="9"/>
                <w:color w:val="auto"/>
              </w:rPr>
            </w:pPr>
          </w:p>
        </w:tc>
        <w:tc>
          <w:tcPr>
            <w:tcW w:w="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method -</w:t>
            </w: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continue"/>
            <w:shd w:val="clear" w:color="auto" w:fill="CCEEFF"/>
          </w:tcPr>
          <w:p>
            <w:pPr>
              <w:spacing w:after="0"/>
              <w:rPr>
                <w:sz w:val="9"/>
                <w:szCs w:val="9"/>
                <w:color w:val="auto"/>
              </w:rPr>
            </w:pPr>
          </w:p>
        </w:tc>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(Note 8)</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4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0"/>
                <w:szCs w:val="10"/>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income approach</w:t>
            </w:r>
          </w:p>
        </w:tc>
        <w:tc>
          <w:tcPr>
            <w:tcW w:w="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6 months</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108"/>
        </w:trPr>
        <w:tc>
          <w:tcPr>
            <w:tcW w:w="2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Goodwill and other intangible</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Excess earnings method -</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340" w:type="dxa"/>
            <w:vAlign w:val="bottom"/>
            <w:gridSpan w:val="2"/>
            <w:vMerge w:val="continue"/>
          </w:tcPr>
          <w:p>
            <w:pPr>
              <w:spacing w:after="0"/>
              <w:rPr>
                <w:sz w:val="10"/>
                <w:szCs w:val="10"/>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 (Note 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0" w:type="dxa"/>
            <w:vAlign w:val="bottom"/>
          </w:tcPr>
          <w:p>
            <w:pPr>
              <w:spacing w:after="0"/>
              <w:rPr>
                <w:sz w:val="10"/>
                <w:szCs w:val="10"/>
                <w:color w:val="auto"/>
              </w:rPr>
            </w:pPr>
          </w:p>
        </w:tc>
        <w:tc>
          <w:tcPr>
            <w:tcW w:w="2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income approach</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3 years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34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Relief from royalty</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34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method -</w:t>
            </w: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continue"/>
            <w:shd w:val="clear" w:color="auto" w:fill="CCEEFF"/>
          </w:tcPr>
          <w:p>
            <w:pPr>
              <w:spacing w:after="0"/>
              <w:rPr>
                <w:sz w:val="9"/>
                <w:szCs w:val="9"/>
                <w:color w:val="auto"/>
              </w:rPr>
            </w:pPr>
          </w:p>
        </w:tc>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6)</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4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80" w:type="dxa"/>
            <w:vAlign w:val="bottom"/>
            <w:shd w:val="clear" w:color="auto" w:fill="CCEEFF"/>
          </w:tcPr>
          <w:p>
            <w:pPr>
              <w:spacing w:after="0"/>
              <w:rPr>
                <w:sz w:val="10"/>
                <w:szCs w:val="10"/>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income approach</w:t>
            </w:r>
          </w:p>
        </w:tc>
        <w:tc>
          <w:tcPr>
            <w:tcW w:w="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3 years</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108"/>
        </w:trPr>
        <w:tc>
          <w:tcPr>
            <w:tcW w:w="2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Vertex created an investment securities portfolio in June 2022 using excess cash to generate investment income that will be used for general corporate purposes. Our investment securities portfolio consists of the following: Money Market Mutual Funds (“Money Market Funds”) invested in U.S. Treasury Securities, Bank and Corporate issued Commercial Paper (“Commercial Paper”), Corporate Bonds, and U.S. Treasury Securities. The Money Market Funds and a portion of the Commercial Paper are considered cash and cash equivalents due to their short maturity dates. There were no holdings of securities of any one issuer in an amount greater than 10% of shareholders’ equity.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6"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The Money Market Funds qualify as equity securities per ASC 321</w:t>
      </w:r>
      <w:r>
        <w:rPr>
          <w:rFonts w:ascii="Times New Roman" w:cs="Times New Roman" w:eastAsia="Times New Roman" w:hAnsi="Times New Roman"/>
          <w:sz w:val="18"/>
          <w:szCs w:val="18"/>
          <w:i w:val="1"/>
          <w:iCs w:val="1"/>
          <w:color w:val="auto"/>
        </w:rPr>
        <w:t>, Investments - Equity Securities.</w:t>
      </w:r>
      <w:r>
        <w:rPr>
          <w:rFonts w:ascii="Times New Roman" w:cs="Times New Roman" w:eastAsia="Times New Roman" w:hAnsi="Times New Roman"/>
          <w:sz w:val="18"/>
          <w:szCs w:val="18"/>
          <w:color w:val="auto"/>
        </w:rPr>
        <w:t xml:space="preserve"> No net gains or losses were recognized on sales of equity securities during the quarter or year to date and no unrealized gains or losses were recognized on equity securities held as of June 30, 2022 or as of December 31, 2021, respectively.</w:t>
      </w:r>
    </w:p>
    <w:p>
      <w:pPr>
        <w:spacing w:after="0" w:line="17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Commercial Paper, Corporate Bonds, and U.S. Treasury Securities qualify as debt securities per ASC 320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Investments - Debt Securities, </w:t>
      </w:r>
      <w:r>
        <w:rPr>
          <w:rFonts w:ascii="Times New Roman" w:cs="Times New Roman" w:eastAsia="Times New Roman" w:hAnsi="Times New Roman"/>
          <w:sz w:val="18"/>
          <w:szCs w:val="18"/>
          <w:color w:val="auto"/>
        </w:rPr>
        <w:t>and have been classified as available-for-sale as they may be liquidated and used for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purposes. None of the Company’s debt securities are classified as trading or held to maturity. As of June 30, 2022, the Company's debt securities portfolio had unaccreted discounts of $333 and no remaining unamortized premiums.</w:t>
      </w:r>
    </w:p>
    <w:p>
      <w:pPr>
        <w:spacing w:after="0" w:line="18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gross unrealized gains and losses, allowance for credit losses, and fair value aggregated by major security type as of June 30, 2022. Accrued interest receivable of $16 as of June 30, 2022, is not included in the table.</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securities available-for-sale: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0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right="280"/>
              <w:spacing w:after="0" w:line="9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80" w:type="dxa"/>
            <w:vAlign w:val="bottom"/>
          </w:tcPr>
          <w:p>
            <w:pPr>
              <w:spacing w:after="0"/>
              <w:rPr>
                <w:sz w:val="8"/>
                <w:szCs w:val="8"/>
                <w:color w:val="auto"/>
              </w:rPr>
            </w:pPr>
          </w:p>
        </w:tc>
        <w:tc>
          <w:tcPr>
            <w:tcW w:w="92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For Credit</w:t>
            </w: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Gain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securities available for sale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Investment Securities in a Gross Unrealized Loss Position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table below provides the gross unrealized losses and fair value of securities available-for-sale aggregated by major security type and the length of time that individual securities have been in a continuous unrealized loss position as of June 30, 2022. The amounts include securities available-for-sale without an allowance for credit losses. As of June 30, 2022, the Company’s available-for-sale investment securities consisted of 53 securities, one of which was in an immaterial unrealized loss position. As a result, there is no allowance for credit losses recorded for available-for-sale debt securities as of June 30, 2022.</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securities available-for-sale</w:t>
            </w: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Longer</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84"/>
        </w:trPr>
        <w:tc>
          <w:tcPr>
            <w:tcW w:w="3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without an allowance for credit losses: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8"/>
                <w:szCs w:val="8"/>
                <w:color w:val="auto"/>
              </w:rPr>
            </w:pPr>
          </w:p>
        </w:tc>
        <w:tc>
          <w:tcPr>
            <w:tcW w:w="920" w:type="dxa"/>
            <w:vAlign w:val="bottom"/>
            <w:gridSpan w:val="3"/>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gridSpan w:val="3"/>
          </w:tcPr>
          <w:p>
            <w:pPr>
              <w:jc w:val="right"/>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3"/>
          </w:tcPr>
          <w:p>
            <w:pPr>
              <w:jc w:val="right"/>
              <w:ind w:right="80"/>
              <w:spacing w:after="0" w:line="9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0" w:type="dxa"/>
            <w:vAlign w:val="bottom"/>
          </w:tcPr>
          <w:p>
            <w:pPr>
              <w:spacing w:after="0"/>
              <w:rPr>
                <w:sz w:val="1"/>
                <w:szCs w:val="1"/>
                <w:color w:val="auto"/>
              </w:rPr>
            </w:pPr>
          </w:p>
        </w:tc>
      </w:tr>
      <w:tr>
        <w:trPr>
          <w:trHeight w:val="173"/>
        </w:trPr>
        <w:tc>
          <w:tcPr>
            <w:tcW w:w="350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40" w:type="dxa"/>
            <w:vAlign w:val="bottom"/>
            <w:gridSpan w:val="5"/>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securities available for sale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71"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Maturities of Investment Securities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table below summarizes, as of June 30, 2022, the fair value of investment securities by major security type and contractual maturity as well as the total fair value, and amortized cost of investment securities by contractual maturity. Because borrowers may have the right to call or prepay certain obligations, the expected maturities of securities are likely to differ from the scheduled contractual maturities presented below.</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Due in 1 Year</w:t>
            </w: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Due &gt; 1 Year</w:t>
            </w:r>
          </w:p>
        </w:tc>
        <w:tc>
          <w:tcPr>
            <w:tcW w:w="200" w:type="dxa"/>
            <w:vAlign w:val="bottom"/>
          </w:tcPr>
          <w:p>
            <w:pPr>
              <w:spacing w:after="0"/>
              <w:rPr>
                <w:sz w:val="10"/>
                <w:szCs w:val="10"/>
                <w:color w:val="auto"/>
              </w:rPr>
            </w:pPr>
          </w:p>
        </w:tc>
        <w:tc>
          <w:tcPr>
            <w:tcW w:w="108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Due &gt; 5 Years</w:t>
            </w:r>
          </w:p>
        </w:tc>
        <w:tc>
          <w:tcPr>
            <w:tcW w:w="140" w:type="dxa"/>
            <w:vAlign w:val="bottom"/>
          </w:tcPr>
          <w:p>
            <w:pPr>
              <w:spacing w:after="0"/>
              <w:rPr>
                <w:sz w:val="10"/>
                <w:szCs w:val="10"/>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Due &gt; 10</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through 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through 10</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investment securities</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20" w:type="dxa"/>
            <w:vAlign w:val="bottom"/>
          </w:tcPr>
          <w:p>
            <w:pPr>
              <w:spacing w:after="0"/>
              <w:rPr>
                <w:sz w:val="15"/>
                <w:szCs w:val="15"/>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00" w:type="dxa"/>
            <w:vAlign w:val="bottom"/>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(unaudited)</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investment securities available for sale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Amortized cost of investment securities</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2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Net Securities Gains or Losses and Securities Pledged</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2022, the Company had no sales of debt securities categorized as available for sale, resulting in no realized gains or losses, and no securities were pledged.</w:t>
      </w:r>
    </w:p>
    <w:p>
      <w:pPr>
        <w:spacing w:after="0" w:line="374" w:lineRule="exact"/>
        <w:rPr>
          <w:sz w:val="20"/>
          <w:szCs w:val="20"/>
          <w:color w:val="auto"/>
        </w:rPr>
      </w:pPr>
    </w:p>
    <w:p>
      <w:pPr>
        <w:ind w:left="460" w:hanging="410"/>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 MEASUREMENTS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Company’s Fair Value Hierarchy for its financial assets and liabilities measured at fair value on a recurring basis:</w:t>
      </w:r>
    </w:p>
    <w:tbl>
      <w:tblPr>
        <w:tblLayout w:type="fixed"/>
        <w:tblInd w:w="4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in active</w:t>
            </w: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 (unaudited)</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9"/>
        </w:trPr>
        <w:tc>
          <w:tcPr>
            <w:tcW w:w="4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in active</w:t>
            </w: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has investments in money market funds, which are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For the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Commercial Paper, Corporate Bonds and U.S. Treasury securities, the Company believes that Level 2 designation is appropriate under ASC 820-10, as these securities are fixed income securities, none are exchange traded, and all are priced by correlation to observed market data. For these securities the Company obtains fair value measurements from an independent pricing service.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January 2021 Tellutax LLC (“Tellutax”) acquisition, the sellers are entitled to contingent consideration if sales targets are met during a period of time following the acquisition (the “Tellutax Contingent Consideration”).</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earn-out payments specified in the purchase agreement. Earn-out payments have no maximum limit, but if certain targets are not met, there will be no earn-out payment for the applicable measurement period.</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 fair value adjustment of $0 and $700 was recorded in other operating expense (income), net for the three and six months ended June 30, 2022, respectively. At June 30, 2022, the Tellutax Contingent Consideration of $800 and $2,400 is included in purchase commitment and contingent consideration liabilities, current, and purchase commitment and contingent consideration liabilities, net of current portion, respectively, in the condensed consolidated balance sheets. At December 31, 2021, the Tellutax Contingent Consideration of $2,500 is included in purchase commitment and contingent consideration liabilities, net of current portion in the condensed consolidated balance sheets.</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Tellutax Contingent Consideration fair value as of June 30, 2022 and December 31, 2021 and unobservable inputs used for the Monte Carlo Simulation valuation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00" w:type="dxa"/>
            <w:vAlign w:val="bottom"/>
            <w:gridSpan w:val="2"/>
            <w:vMerge w:val="continue"/>
          </w:tcPr>
          <w:p>
            <w:pPr>
              <w:spacing w:after="0"/>
              <w:rPr>
                <w:sz w:val="12"/>
                <w:szCs w:val="12"/>
                <w:color w:val="auto"/>
              </w:rPr>
            </w:pPr>
          </w:p>
        </w:tc>
        <w:tc>
          <w:tcPr>
            <w:tcW w:w="8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20" w:type="dxa"/>
            <w:vAlign w:val="bottom"/>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208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(3,200)</w:t>
            </w: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500" w:type="dxa"/>
            <w:vAlign w:val="bottom"/>
            <w:tcBorders>
              <w:bottom w:val="single" w:sz="8" w:color="auto"/>
            </w:tcBorders>
            <w:gridSpan w:val="3"/>
            <w:shd w:val="clear" w:color="auto" w:fill="CCEEFF"/>
          </w:tcPr>
          <w:p>
            <w:pPr>
              <w:ind w:left="15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4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8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20" w:type="dxa"/>
            <w:vAlign w:val="bottom"/>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208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(2,500)</w:t>
            </w: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Changes in the fair value of Tellutax Contingent Consideration during the six months ended June 30, 2022 were as follows:</w:t>
      </w:r>
    </w:p>
    <w:p>
      <w:pPr>
        <w:jc w:val="center"/>
        <w:ind w:left="6860"/>
        <w:spacing w:after="0" w:line="231" w:lineRule="auto"/>
        <w:rPr>
          <w:sz w:val="20"/>
          <w:szCs w:val="20"/>
          <w:color w:val="auto"/>
        </w:rPr>
      </w:pPr>
      <w:r>
        <w:rPr>
          <w:rFonts w:ascii="Times New Roman" w:cs="Times New Roman" w:eastAsia="Times New Roman" w:hAnsi="Times New Roman"/>
          <w:sz w:val="14"/>
          <w:szCs w:val="14"/>
          <w:b w:val="1"/>
          <w:bCs w:val="1"/>
          <w:color w:val="auto"/>
        </w:rPr>
        <w:t>Tellutax</w:t>
      </w:r>
    </w:p>
    <w:p>
      <w:pPr>
        <w:jc w:val="center"/>
        <w:ind w:left="6860"/>
        <w:spacing w:after="0" w:line="222" w:lineRule="auto"/>
        <w:rPr>
          <w:sz w:val="20"/>
          <w:szCs w:val="20"/>
          <w:color w:val="auto"/>
        </w:rPr>
      </w:pPr>
      <w:r>
        <w:rPr>
          <w:rFonts w:ascii="Times New Roman" w:cs="Times New Roman" w:eastAsia="Times New Roman" w:hAnsi="Times New Roman"/>
          <w:sz w:val="14"/>
          <w:szCs w:val="14"/>
          <w:b w:val="1"/>
          <w:bCs w:val="1"/>
          <w:color w:val="auto"/>
        </w:rPr>
        <w:t>Contingent</w:t>
      </w: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4403090</wp:posOffset>
            </wp:positionH>
            <wp:positionV relativeFrom="paragraph">
              <wp:posOffset>-3175</wp:posOffset>
            </wp:positionV>
            <wp:extent cx="1277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2022</w:t>
            </w:r>
          </w:p>
        </w:tc>
        <w:tc>
          <w:tcPr>
            <w:tcW w:w="78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adjustments</w:t>
            </w:r>
          </w:p>
        </w:tc>
        <w:tc>
          <w:tcPr>
            <w:tcW w:w="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78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0"/>
        </w:trPr>
        <w:tc>
          <w:tcPr>
            <w:tcW w:w="6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Assets and Liabilities for Which Fair Value is Only Disclosed</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and funds held for customers were the same as their respective fair values and are considered Level 1 measurements.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for accounts receivable, accounts payable, and accrued expenses approximate their relative fair values due to their short-term nature and are considered Level 2 measurements.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LCR-Dixon acquisition on September 22, 2021, the acquisition of EVAT and its wholly owned subsidiaries (collectively, “Taxamo”) on May 12, 2021,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Deferred purchase consideration associated with the LCR-Dixon acquisition was $29,541 and $39,224 at June 30, 2022 and December 31, 2021, respectively. See Note 3, “Business Combinations”, for additional information on such amounts.</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Company has a contractual commitment to acquire the remaining equity interest from the original Systax Quotaholders incrementally between 2021 through 2024. Future purchase commitment payments for these incremental acquisition amounts are based on a multiple of Systax revenue and earnings before interest, depreciation, amortization and income taxes (“EBITDA”) performance at the end of 2020, 2022 and 2023, whereby the Company will have full ownership after the final transaction in 2024.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at the acquisition date was finalized to be $12,592. This amount will fluctuate as a result of changes in foreign currency exchange rates and is reflected in purchase commitment and contingent consideration liabilities in the condensed consolidated balance sheets, with such changes in exchange rates being reflected in other comprehensive loss or income in the condensed consolidated statements of comprehensive loss. Adjustments to the settlement date value that arise as a result of remeasurement at future balance sheet dates will be recorded as interest expense related to financing costs in the condensed consolidated statements of comprehensive loss in the period the change is identified. No such adjustments have been recorded through June 30, 2022.</w:t>
      </w:r>
    </w:p>
    <w:p>
      <w:pPr>
        <w:spacing w:after="0" w:line="19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Purchase Commitment Liability included in purchase commitment and contingent consideration liabilities, current and purchase commitment and contingent liabilities, net of current portion in the condensed consolidated balance sheets at June 30, 2022 was $3,816 and $5,088, respectively. The remaining Purchase Commitment Liability is included in purchase commitment and contingent consideration liabilities, net of current portion in the condensed consolidated balance sheets at December 31, 2021 was $8,329.</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amounts of both the LCR-Dixon deferred purchase consideration and the Systax Purchase Commitment Liability amounts discussed above approximated their respective fair values at such dates and are considered Level 3 non-recurring fair value measurements.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16" w:lineRule="exact"/>
        <w:rPr>
          <w:sz w:val="20"/>
          <w:szCs w:val="20"/>
          <w:color w:val="auto"/>
        </w:rPr>
      </w:pPr>
    </w:p>
    <w:p>
      <w:pPr>
        <w:jc w:val="both"/>
        <w:ind w:left="100" w:right="119" w:firstLine="292"/>
        <w:spacing w:after="0" w:line="266" w:lineRule="auto"/>
        <w:rPr>
          <w:sz w:val="20"/>
          <w:szCs w:val="20"/>
          <w:color w:val="auto"/>
        </w:rPr>
      </w:pPr>
      <w:r>
        <w:rPr>
          <w:rFonts w:ascii="Times New Roman" w:cs="Times New Roman" w:eastAsia="Times New Roman" w:hAnsi="Times New Roman"/>
          <w:sz w:val="18"/>
          <w:szCs w:val="18"/>
          <w:color w:val="auto"/>
        </w:rPr>
        <w:t>The Company may periodically enter into derivative contracts to reduce our exposure to foreign currency exchange rates. Historically, the Company has not designated derivative contracts as hedges. Such derivative contracts are typically designed to manage specific risks according to our strategies, which may change from time to time.</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entered into a series of foreign currency forward contracts to reduce our exposure to adverse fluctuations in the Brazilian Real associated with a portion of the Systax Purchase Commitment Liability. Such forward contracts, have not been designated as a hedge, do not qualify for hedge accounting and are not material to our condensed consolidated financial statements. These forward contacts are remeasured at fair value on a recurring basis and are included in other assets in our condensed consolidated balance sheets with changes in their estimated fair value recognized as interest expense in our condensed consolidated statements of comprehensive loss. Our fair value determinations are based on foreign currency exchange rates in active markets, which are considered to be Level 2 measurements within the Fair Value Hierarchy.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major components of property and equipment are as follows: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3"/>
        </w:trPr>
        <w:tc>
          <w:tcPr>
            <w:tcW w:w="2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As of December 31,</w:t>
            </w:r>
          </w:p>
        </w:tc>
      </w:tr>
      <w:tr>
        <w:trPr>
          <w:trHeight w:val="173"/>
        </w:trPr>
        <w:tc>
          <w:tcPr>
            <w:tcW w:w="2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r>
      <w:tr>
        <w:trPr>
          <w:trHeight w:val="142"/>
        </w:trPr>
        <w:tc>
          <w:tcPr>
            <w:tcW w:w="2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4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w:t>
            </w:r>
          </w:p>
        </w:tc>
        <w:tc>
          <w:tcPr>
            <w:tcW w:w="16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41,937</w:t>
            </w:r>
          </w:p>
        </w:tc>
        <w:tc>
          <w:tcPr>
            <w:tcW w:w="16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purchased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16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Cloud-based customer solutions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114,872</w:t>
            </w:r>
          </w:p>
        </w:tc>
        <w:tc>
          <w:tcPr>
            <w:tcW w:w="16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16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60" w:type="dxa"/>
            <w:vAlign w:val="bottom"/>
            <w:shd w:val="clear" w:color="auto" w:fill="CCEEFF"/>
          </w:tcPr>
          <w:p>
            <w:pPr>
              <w:spacing w:after="0"/>
              <w:rPr>
                <w:sz w:val="18"/>
                <w:szCs w:val="18"/>
                <w:color w:val="auto"/>
              </w:rPr>
            </w:pPr>
          </w:p>
        </w:tc>
      </w:tr>
      <w:tr>
        <w:trPr>
          <w:trHeight w:val="216"/>
        </w:trPr>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160" w:type="dxa"/>
            <w:vAlign w:val="bottom"/>
            <w:tcBorders>
              <w:bottom w:val="single" w:sz="8" w:color="CCEEFF"/>
            </w:tcBorders>
          </w:tcPr>
          <w:p>
            <w:pPr>
              <w:spacing w:after="0"/>
              <w:rPr>
                <w:sz w:val="18"/>
                <w:szCs w:val="18"/>
                <w:color w:val="auto"/>
              </w:rPr>
            </w:pPr>
          </w:p>
        </w:tc>
      </w:tr>
      <w:tr>
        <w:trPr>
          <w:trHeight w:val="209"/>
        </w:trPr>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268,279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246,605</w:t>
            </w:r>
          </w:p>
        </w:tc>
        <w:tc>
          <w:tcPr>
            <w:tcW w:w="160" w:type="dxa"/>
            <w:vAlign w:val="bottom"/>
            <w:shd w:val="clear" w:color="auto" w:fill="CCEEFF"/>
          </w:tcPr>
          <w:p>
            <w:pPr>
              <w:spacing w:after="0"/>
              <w:rPr>
                <w:sz w:val="18"/>
                <w:szCs w:val="18"/>
                <w:color w:val="auto"/>
              </w:rPr>
            </w:pPr>
          </w:p>
        </w:tc>
      </w:tr>
      <w:tr>
        <w:trPr>
          <w:trHeight w:val="216"/>
        </w:trPr>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(161,753)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(148,215)</w:t>
            </w:r>
          </w:p>
        </w:tc>
        <w:tc>
          <w:tcPr>
            <w:tcW w:w="160" w:type="dxa"/>
            <w:vAlign w:val="bottom"/>
            <w:tcBorders>
              <w:bottom w:val="single" w:sz="8" w:color="CCEEFF"/>
            </w:tcBorders>
          </w:tcPr>
          <w:p>
            <w:pPr>
              <w:spacing w:after="0"/>
              <w:rPr>
                <w:sz w:val="18"/>
                <w:szCs w:val="18"/>
                <w:color w:val="auto"/>
              </w:rPr>
            </w:pPr>
          </w:p>
        </w:tc>
      </w:tr>
      <w:tr>
        <w:trPr>
          <w:trHeight w:val="210"/>
        </w:trPr>
        <w:tc>
          <w:tcPr>
            <w:tcW w:w="5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106,526</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and equipment, excluding all internal-use software developed and finance leases, was $1,671 and $1,902 for the three months ended June 30, 2022 and 2021, respectively, $3,389 and $3,808 for the six months ended June 30, 2022 and 2021 and is reflected in depreciation and amortization in the condensed consolidated statements of comprehensive loss.</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Finance lease amortization was $535 and $770 for the three and six months ended June 30, 2022, respectively, and depreciation expense for assets held under capital leases was $240 and $464 for the three and six months ended June 30, 2021, respectively. Finance lease amortization and depreciation expense for assets held under capital leases are included in depreciation and amortization expense in the condensed consolidated statements of comprehensive loss. Assets under finance leases of $3,611 and $1,533, net of accumulated amortization of $1,702 and $931, respectively, at June 30, 2022 and December 31, 2021, respectively, are included in property and equipment in the condensed consolidated balance sheets.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internal-use software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As of December 31,</w:t>
            </w:r>
          </w:p>
        </w:tc>
      </w:tr>
      <w:tr>
        <w:trPr>
          <w:trHeight w:val="173"/>
        </w:trPr>
        <w:tc>
          <w:tcPr>
            <w:tcW w:w="5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159,616</w:t>
            </w:r>
          </w:p>
        </w:tc>
        <w:tc>
          <w:tcPr>
            <w:tcW w:w="4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147,280</w:t>
            </w: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(101,668)</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(87,281)</w:t>
            </w:r>
          </w:p>
        </w:tc>
        <w:tc>
          <w:tcPr>
            <w:tcW w:w="160" w:type="dxa"/>
            <w:vAlign w:val="bottom"/>
            <w:tcBorders>
              <w:bottom w:val="single" w:sz="8" w:color="CCEEFF"/>
            </w:tcBorders>
          </w:tcPr>
          <w:p>
            <w:pPr>
              <w:spacing w:after="0"/>
              <w:rPr>
                <w:sz w:val="18"/>
                <w:szCs w:val="18"/>
                <w:color w:val="auto"/>
              </w:rPr>
            </w:pPr>
          </w:p>
        </w:tc>
      </w:tr>
      <w:tr>
        <w:trPr>
          <w:trHeight w:val="209"/>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Internal-use software developed, net of accumulated depreciation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59,999</w:t>
            </w: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160" w:type="dxa"/>
            <w:vAlign w:val="bottom"/>
            <w:tcBorders>
              <w:bottom w:val="single" w:sz="8" w:color="CCEEFF"/>
            </w:tcBorders>
          </w:tcPr>
          <w:p>
            <w:pPr>
              <w:spacing w:after="0"/>
              <w:rPr>
                <w:sz w:val="18"/>
                <w:szCs w:val="18"/>
                <w:color w:val="auto"/>
              </w:rPr>
            </w:pPr>
          </w:p>
        </w:tc>
      </w:tr>
      <w:tr>
        <w:trPr>
          <w:trHeight w:val="209"/>
        </w:trPr>
        <w:tc>
          <w:tcPr>
            <w:tcW w:w="5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Internal-use software developed, net</w:t>
            </w: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85,843</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Amounts included in property and equipment additions related to capitalized internal-use software on the condensed consolidated statements of cash flows are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73"/>
        </w:trPr>
        <w:tc>
          <w:tcPr>
            <w:tcW w:w="4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4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3"/>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1"/>
                <w:szCs w:val="1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Cloud-based customer solutions</w:t>
            </w:r>
          </w:p>
        </w:tc>
        <w:tc>
          <w:tcPr>
            <w:tcW w:w="21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6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w:t>
            </w:r>
          </w:p>
        </w:tc>
      </w:tr>
      <w:tr>
        <w:trPr>
          <w:trHeight w:val="21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1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r>
      <w:tr>
        <w:trPr>
          <w:trHeight w:val="209"/>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26,255</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r>
      <w:tr>
        <w:trPr>
          <w:trHeight w:val="20"/>
        </w:trPr>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In-process internal-use software developed is not depreciated until it is available for its intended use. Depreciation expense for internal-use software developed for cloud-based customer solutions for the three months ended June 30, 2022</w:t>
      </w: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and 2021 was $6,927 and $2,669, respectively, $13,258 and $5,345, for the six months ended June 30, 2022 and 2021, respectively, and is included in cost of revenues, software subscriptions in the condensed consolidated statements of comprehensive loss.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internal-use software developed for internal systems and tools for the three months ended June 30, 2022 and 2021 was $1,018 and $736, respectively, and $2,025 and $1,433 for the six months ended June 30, 2022 and 2021, and is included in depreciation and amortization in the condensed consolidated statements of comprehensive loss.</w:t>
      </w:r>
    </w:p>
    <w:p>
      <w:pPr>
        <w:spacing w:after="0" w:line="392"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SOFTWARE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Capitalized software includes acquired software and direct labor and related expenses for software developed for sale for new products and enhancements to existing products.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capitalized software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As of December 31,</w:t>
            </w:r>
          </w:p>
        </w:tc>
      </w:tr>
      <w:tr>
        <w:trPr>
          <w:trHeight w:val="173"/>
        </w:trPr>
        <w:tc>
          <w:tcPr>
            <w:tcW w:w="5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89,175</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72,512</w:t>
            </w: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(45,179)</w:t>
            </w:r>
          </w:p>
        </w:tc>
        <w:tc>
          <w:tcPr>
            <w:tcW w:w="160" w:type="dxa"/>
            <w:vAlign w:val="bottom"/>
            <w:tcBorders>
              <w:bottom w:val="single" w:sz="8" w:color="CCEEFF"/>
            </w:tcBorders>
          </w:tcPr>
          <w:p>
            <w:pPr>
              <w:spacing w:after="0"/>
              <w:rPr>
                <w:sz w:val="18"/>
                <w:szCs w:val="18"/>
                <w:color w:val="auto"/>
              </w:rPr>
            </w:pPr>
          </w:p>
        </w:tc>
      </w:tr>
      <w:tr>
        <w:trPr>
          <w:trHeight w:val="209"/>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 of accumulated depreciation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w:t>
            </w: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capitalized software</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60" w:type="dxa"/>
            <w:vAlign w:val="bottom"/>
            <w:tcBorders>
              <w:bottom w:val="single" w:sz="8" w:color="CCEEFF"/>
            </w:tcBorders>
          </w:tcPr>
          <w:p>
            <w:pPr>
              <w:spacing w:after="0"/>
              <w:rPr>
                <w:sz w:val="18"/>
                <w:szCs w:val="18"/>
                <w:color w:val="auto"/>
              </w:rPr>
            </w:pPr>
          </w:p>
        </w:tc>
      </w:tr>
      <w:tr>
        <w:trPr>
          <w:trHeight w:val="210"/>
        </w:trPr>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Software development costs capitalized for the three months ended June 30, 2022 and 2021, excluding acquisitions, were $3,014 and $2,904, respectively, and $5,926 and $5,125 for the six months ended June 30, 2022 and 2021, respectively. During the three months ended June 30, 2022, developed technology with an acquisition date fair value of $7,700 acquired in the LCR-Dixon acquisition was recorded to capitalized software.</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Capitalized software amortization expense, including amortization of acquired technology, was $5,405 and $3,182 for the three months ended June 30, 2022 and 2021, respectively, and $8,706 and $6,350 for the six months ended June 30, 2022 and 2021, respectively, and is included in cost of revenues, software subscriptions in the condensed consolidated statements of comprehensive loss. Amortization expense associated with the acquired LCR-Dixon developed technology from the acquisition date through June 30, 2022 was $1,925 and is included in the capitalized software amortization expense for the three and six months ended June 30, 2022. Included in this amount is $642 and $642 of expense that would have been recorded during the year ended December 31, 2021 and the three months ended March 31, 2022, respectively, had the fair value of acquired LCR-Dixon developed technology been available on the acquisition date.</w:t>
      </w:r>
    </w:p>
    <w:p>
      <w:pPr>
        <w:spacing w:after="0" w:line="200" w:lineRule="exact"/>
        <w:rPr>
          <w:sz w:val="20"/>
          <w:szCs w:val="20"/>
          <w:color w:val="auto"/>
        </w:rPr>
      </w:pPr>
    </w:p>
    <w:p>
      <w:pPr>
        <w:spacing w:after="0" w:line="204"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and other intangible assets are as follows for the periods presented: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9"/>
        </w:trPr>
        <w:tc>
          <w:tcPr>
            <w:tcW w:w="31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248,723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255,556</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12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71"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 for the periods presented:</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20" w:type="dxa"/>
            <w:vAlign w:val="bottom"/>
            <w:tcBorders>
              <w:bottom w:val="single" w:sz="8" w:color="auto"/>
            </w:tcBorders>
          </w:tcPr>
          <w:p>
            <w:pPr>
              <w:spacing w:after="0"/>
              <w:rPr>
                <w:sz w:val="15"/>
                <w:szCs w:val="15"/>
                <w:color w:val="auto"/>
              </w:rPr>
            </w:pPr>
          </w:p>
        </w:tc>
      </w:tr>
      <w:tr>
        <w:trPr>
          <w:trHeight w:val="209"/>
        </w:trPr>
        <w:tc>
          <w:tcPr>
            <w:tcW w:w="4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1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270,041</w:t>
            </w:r>
          </w:p>
        </w:tc>
        <w:tc>
          <w:tcPr>
            <w:tcW w:w="5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206,280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gross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218,184</w:t>
            </w: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net</w:t>
            </w:r>
          </w:p>
        </w:tc>
        <w:tc>
          <w:tcPr>
            <w:tcW w:w="16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248,723</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218,184</w:t>
            </w:r>
          </w:p>
        </w:tc>
      </w:tr>
      <w:tr>
        <w:trPr>
          <w:trHeight w:val="20"/>
        </w:trPr>
        <w:tc>
          <w:tcPr>
            <w:tcW w:w="4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39" w:firstLine="324"/>
        <w:spacing w:after="0" w:line="255" w:lineRule="auto"/>
        <w:rPr>
          <w:sz w:val="20"/>
          <w:szCs w:val="20"/>
          <w:color w:val="auto"/>
        </w:rPr>
      </w:pPr>
      <w:r>
        <w:rPr>
          <w:rFonts w:ascii="Times New Roman" w:cs="Times New Roman" w:eastAsia="Times New Roman" w:hAnsi="Times New Roman"/>
          <w:sz w:val="18"/>
          <w:szCs w:val="18"/>
          <w:color w:val="auto"/>
        </w:rPr>
        <w:t>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w:t>
      </w:r>
    </w:p>
    <w:tbl>
      <w:tblPr>
        <w:tblLayout w:type="fixed"/>
        <w:tblInd w:w="40" w:type="dxa"/>
        <w:tblCellMar>
          <w:top w:w="0" w:type="dxa"/>
          <w:left w:w="0" w:type="dxa"/>
          <w:bottom w:w="0" w:type="dxa"/>
          <w:right w:w="0" w:type="dxa"/>
        </w:tblCellMar>
      </w:tblPr>
      <w:tr>
        <w:trPr>
          <w:trHeight w:val="140"/>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280"/>
              <w:spacing w:after="0" w:line="140" w:lineRule="exact"/>
              <w:rPr>
                <w:sz w:val="20"/>
                <w:szCs w:val="20"/>
                <w:color w:val="auto"/>
              </w:rPr>
            </w:pPr>
            <w:r>
              <w:rPr>
                <w:rFonts w:ascii="Times New Roman" w:cs="Times New Roman" w:eastAsia="Times New Roman" w:hAnsi="Times New Roman"/>
                <w:sz w:val="14"/>
                <w:szCs w:val="14"/>
                <w:b w:val="1"/>
                <w:bCs w:val="1"/>
                <w:color w:val="auto"/>
              </w:rPr>
              <w:t>As of June 30,</w:t>
            </w:r>
          </w:p>
        </w:tc>
        <w:tc>
          <w:tcPr>
            <w:tcW w:w="120" w:type="dxa"/>
            <w:vAlign w:val="bottom"/>
          </w:tcPr>
          <w:p>
            <w:pPr>
              <w:spacing w:after="0"/>
              <w:rPr>
                <w:sz w:val="12"/>
                <w:szCs w:val="12"/>
                <w:color w:val="auto"/>
              </w:rPr>
            </w:pPr>
          </w:p>
        </w:tc>
        <w:tc>
          <w:tcPr>
            <w:tcW w:w="1380" w:type="dxa"/>
            <w:vAlign w:val="bottom"/>
          </w:tcPr>
          <w:p>
            <w:pPr>
              <w:jc w:val="center"/>
              <w:ind w:right="56"/>
              <w:spacing w:after="0" w:line="140"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amortization period (years)</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(3,844)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0"/>
        </w:trPr>
        <w:tc>
          <w:tcPr>
            <w:tcW w:w="57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amortization of other intangible assets: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Selling and</w:t>
            </w:r>
          </w:p>
        </w:tc>
        <w:tc>
          <w:tcPr>
            <w:tcW w:w="120" w:type="dxa"/>
            <w:vAlign w:val="bottom"/>
          </w:tcPr>
          <w:p>
            <w:pPr>
              <w:spacing w:after="0"/>
              <w:rPr>
                <w:sz w:val="24"/>
                <w:szCs w:val="24"/>
                <w:color w:val="auto"/>
              </w:rPr>
            </w:pPr>
          </w:p>
        </w:tc>
        <w:tc>
          <w:tcPr>
            <w:tcW w:w="13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73"/>
        </w:trPr>
        <w:tc>
          <w:tcPr>
            <w:tcW w:w="4000" w:type="dxa"/>
            <w:vAlign w:val="bottom"/>
            <w:gridSpan w:val="2"/>
            <w:vMerge w:val="continue"/>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Software Subscriptions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Marketing Expense</w:t>
            </w: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40" w:type="dxa"/>
            <w:vAlign w:val="bottom"/>
          </w:tcPr>
          <w:p>
            <w:pPr>
              <w:spacing w:after="0"/>
              <w:rPr>
                <w:sz w:val="10"/>
                <w:szCs w:val="10"/>
                <w:color w:val="auto"/>
              </w:rPr>
            </w:pPr>
          </w:p>
        </w:tc>
        <w:tc>
          <w:tcPr>
            <w:tcW w:w="158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Cost of Revenues,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Selling and</w:t>
            </w:r>
          </w:p>
        </w:tc>
        <w:tc>
          <w:tcPr>
            <w:tcW w:w="120" w:type="dxa"/>
            <w:vAlign w:val="bottom"/>
          </w:tcPr>
          <w:p>
            <w:pPr>
              <w:spacing w:after="0"/>
              <w:rPr>
                <w:sz w:val="10"/>
                <w:szCs w:val="10"/>
                <w:color w:val="auto"/>
              </w:rPr>
            </w:pPr>
          </w:p>
        </w:tc>
        <w:tc>
          <w:tcPr>
            <w:tcW w:w="13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73"/>
        </w:trPr>
        <w:tc>
          <w:tcPr>
            <w:tcW w:w="4000" w:type="dxa"/>
            <w:vAlign w:val="bottom"/>
            <w:gridSpan w:val="2"/>
            <w:vMerge w:val="continue"/>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Software Subscriptions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Marketing Expense</w:t>
            </w: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Amortization expense associated with the other intangible assets recognized from the LCR-Dixon acquisition from the acquisition date through June 30, 2022 was $1,775 for the three and six months ended June 30, 2022 and is included in the other intangible assets amortization expense in the above schedule. Included in this amount is $625 and $625 of expense that would have been recorded during the year ended December 31, 2021 and the three months ended March 31, 2022, respectively, had the fair value of the acquired LCR-Dixon other intangibles been available on the acquisition date.</w:t>
      </w:r>
    </w:p>
    <w:p>
      <w:pPr>
        <w:spacing w:after="0" w:line="395"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ind w:left="100" w:right="119" w:firstLine="291"/>
        <w:spacing w:after="0" w:line="253" w:lineRule="auto"/>
        <w:rPr>
          <w:sz w:val="20"/>
          <w:szCs w:val="20"/>
          <w:color w:val="auto"/>
        </w:rPr>
      </w:pPr>
      <w:r>
        <w:rPr>
          <w:rFonts w:ascii="Times New Roman" w:cs="Times New Roman" w:eastAsia="Times New Roman" w:hAnsi="Times New Roman"/>
          <w:sz w:val="18"/>
          <w:szCs w:val="18"/>
          <w:color w:val="auto"/>
        </w:rPr>
        <w:t>On March 8, 2022, the Company entered into the Second Amendment to Credit Agreement (the “Second Amendment”), with a banking syndicate, which amended the previous credit agreement entered into in March 2020 (the “Previous Credit Agreement”), providing for, among other modifications, (i) a new term loan in the aggregate amount of $50,000 (the “Term Loan”); (ii) an extension of the maturity date of the revolving facility from March 2025 to March 2027; (iii) an increase in the revolving credit commitment from $100,000 (the “Previous Line of Credit”) to $200,000 (the “Amended Line of Credit”); (iv) the Company’s option to select an applicable interest rate at either the bank base rate plus an applicable margin (the “New Base Rate Option”) or Secured Overnight Financing Rate (“SOFR”) plus an applicable margin (the “SOFR Option”); (v) modifications to the financial covenant performance levels which determine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100" w:right="119"/>
        <w:spacing w:after="0" w:line="266" w:lineRule="auto"/>
        <w:rPr>
          <w:sz w:val="20"/>
          <w:szCs w:val="20"/>
          <w:color w:val="auto"/>
        </w:rPr>
      </w:pPr>
      <w:r>
        <w:rPr>
          <w:rFonts w:ascii="Times New Roman" w:cs="Times New Roman" w:eastAsia="Times New Roman" w:hAnsi="Times New Roman"/>
          <w:sz w:val="18"/>
          <w:szCs w:val="18"/>
          <w:color w:val="auto"/>
        </w:rPr>
        <w:t>applicable margins; and (vi) modifications to certain covenants and events of default. Net proceeds from the Term Loan shall be used to fund ongoing working capital, capital expenditures, permitted distributions, permitted acquisitions and general corporate purposes of the Company and its subsidiaries.</w:t>
      </w:r>
    </w:p>
    <w:p>
      <w:pPr>
        <w:spacing w:after="0" w:line="176" w:lineRule="exact"/>
        <w:rPr>
          <w:sz w:val="20"/>
          <w:szCs w:val="20"/>
          <w:color w:val="auto"/>
        </w:rPr>
      </w:pPr>
    </w:p>
    <w:p>
      <w:pPr>
        <w:jc w:val="both"/>
        <w:ind w:left="100" w:right="119" w:firstLine="291"/>
        <w:spacing w:after="0" w:line="255" w:lineRule="auto"/>
        <w:rPr>
          <w:sz w:val="20"/>
          <w:szCs w:val="20"/>
          <w:color w:val="auto"/>
        </w:rPr>
      </w:pPr>
      <w:r>
        <w:rPr>
          <w:rFonts w:ascii="Times New Roman" w:cs="Times New Roman" w:eastAsia="Times New Roman" w:hAnsi="Times New Roman"/>
          <w:sz w:val="18"/>
          <w:szCs w:val="18"/>
          <w:color w:val="auto"/>
        </w:rPr>
        <w:t>The Company paid $993 in financing costs in connection with the Second Amendment, which will be amortized over the term of the loan. The Company wrote off $370 in deferred financing fees pertaining to the Previous Credit Agreement associated with a bank exiting the Second Amendment. The remaining balance of deferred financing costs pertaining to the remaining bank associated with the Previous Credit Agreement of $277 will be amortized over the term of the Second Amendment. The portion of the deferred financing costs associated with the Amended Line of Credit and the Term Loan are reflected in other assets and as a reduction of the Term Loan, respectively, in the condensed consolidated balance sheet at June 30, 2022.</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Second Amendment is collateralized by certain assets of the Company and contains financial and operating covenants. The Company was in compliance with these covenants at June 30, 2022.</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Term Loan requires quarterly principal payments over five years, with a balloon payment due on March 8, 2027. The interest rate on the Term Loan was 2.63% at June 30, 2022 as the Company selected the SOFR Option. Term Loan outstanding amounts are reported in the current portion of long-term debt and long-term debt, net of current portion, in the condensed consolidated balance sheets.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Amended Line of Credit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Amended Line of Credit expires in March 2027. The Company is required to pay a quarterly fee on the difference between the $200,000 allowed maximum borrowings and the unpaid principal balance outstanding under the line at the applicable rate. At June 30, 2022, the New Base Rate Option and SOFR Option applicable to Amended Line of Credit borrowings were 4.75% and 2.63%, respectively. There were no outstanding borrowings under the Amended Line of Credit at June 30, 2022 or the Previous Line of Credit at December 31, 2021, respectively.</w:t>
      </w:r>
    </w:p>
    <w:p>
      <w:pPr>
        <w:spacing w:after="0" w:line="395" w:lineRule="exact"/>
        <w:rPr>
          <w:sz w:val="20"/>
          <w:szCs w:val="20"/>
          <w:color w:val="auto"/>
        </w:rPr>
      </w:pPr>
    </w:p>
    <w:p>
      <w:pPr>
        <w:ind w:left="380" w:right="6319" w:hanging="330"/>
        <w:spacing w:after="0" w:line="503" w:lineRule="auto"/>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and June 30, 2022, the Company issued 93 and 365 shares of Class A common stock (“Class A”), respectively, related to the exercise of options, net of 23 and 70 shares, respectively, returned to the Company in lieu of payment of the exercise price and taxes due on these exercises.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issued 0 and 3 shares of Class A common stock, respectively, in connection with the vesting of Restricted Stock Units (“RSUs”), net of 0 and 1 share, respectively, returned to the Company in lieu of payment of taxes due on the vesting of these RSUs.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issued 59 shares of Class A common stock in connection with the vesting of Restricted Stock Awards (“RSAs”).</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a stockholder exchanged 5,500 shares of Class B common stock for an equivalent number of shares of Class A common stock.</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and June 30, 2021, the Company issued 462 and 1,102 shares of Class A common stock (“Class A”), respectively, related to the exercise of options, net of 219 and 575 shares, respectively, returned to the Company in lieu of payment of the exercise price and taxes due on these exercises.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2021, the Company issued 0 and 5 shares of Class A, respectively, in connection with the vesting of RSUs, net of 0 and 1 shares, respectively, returned to the Company in lieu of payment of taxes due on the vesting of these RSUs.</w:t>
      </w:r>
    </w:p>
    <w:p>
      <w:pPr>
        <w:sectPr>
          <w:pgSz w:w="11900" w:h="16838" w:orient="portrait"/>
          <w:cols w:equalWidth="0" w:num="1">
            <w:col w:w="9019"/>
          </w:cols>
          <w:pgMar w:left="1440" w:top="671" w:right="1440"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2021, the Company issued 234 shares of Class A common stock in connection with the vesting of RSAs.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Tax Sharing Agreement Payments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termination of the Company’s S-Corporation status effective July 27, 2020, the Company entered into a Tax Sharing Agreement with the former S-Corporation shareholders. All obligations of the Company under the Tax Sharing Agreement are satisfied by adjustments of additional paid in capital.</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distributed $0 and $536 to the former S-Corporation shareholders under the Tax Sharing Agreement to settle the Company’s obligation for income taxes related to the allocation of taxable income to the S-Corporation short tax period ended July 26, 2020.</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2021, the Company distributed $2,700 to the former S-Corporation shareholders under the Tax Sharing Agreement to settle the Company’s obligation for income taxes related to the allocation of taxable income to the S-Corporation short tax period ended July 26, 2020.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4" w:lineRule="exact"/>
        <w:rPr>
          <w:sz w:val="20"/>
          <w:szCs w:val="20"/>
          <w:color w:val="auto"/>
        </w:rPr>
      </w:pPr>
    </w:p>
    <w:p>
      <w:pPr>
        <w:ind w:left="440" w:hanging="390"/>
        <w:spacing w:after="0"/>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tables below illustrate the calculation of basic and diluted net (loss) income per common share for the Class A common and Class B common for the periods reflected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6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3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96"/>
        </w:trPr>
        <w:tc>
          <w:tcPr>
            <w:tcW w:w="3920" w:type="dxa"/>
            <w:vAlign w:val="bottom"/>
            <w:gridSpan w:val="2"/>
            <w:vMerge w:val="continue"/>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basic:</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 income attributable to all stockholders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(5,520)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(5,854)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stock as a percentage of total shares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basic</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28.96 %</w:t>
            </w: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23.54 %</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28.67 %</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20.80 %</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Class A</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20" w:type="dxa"/>
            <w:vAlign w:val="bottom"/>
            <w:gridSpan w:val="2"/>
            <w:vMerge w:val="continue"/>
          </w:tcPr>
          <w:p>
            <w:pPr>
              <w:spacing w:after="0"/>
              <w:rPr>
                <w:sz w:val="15"/>
                <w:szCs w:val="15"/>
                <w:color w:val="auto"/>
              </w:rPr>
            </w:pPr>
          </w:p>
        </w:tc>
        <w:tc>
          <w:tcPr>
            <w:tcW w:w="24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(1,598)</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15"/>
                <w:szCs w:val="15"/>
                <w:color w:val="auto"/>
              </w:rPr>
            </w:pPr>
          </w:p>
        </w:tc>
        <w:tc>
          <w:tcPr>
            <w:tcW w:w="2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(1,679)</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stockholders, basic</w:t>
            </w:r>
          </w:p>
        </w:tc>
        <w:tc>
          <w:tcPr>
            <w:tcW w:w="24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 diluted: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 attributable to all stockholders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(5,854)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stock as a percentage of total shares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outstanding, diluted</w:t>
            </w: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28.96 %</w:t>
            </w:r>
          </w:p>
        </w:tc>
        <w:tc>
          <w:tcPr>
            <w:tcW w:w="3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28.37 %</w:t>
            </w: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28.67 %</w:t>
            </w:r>
          </w:p>
        </w:tc>
        <w:tc>
          <w:tcPr>
            <w:tcW w:w="3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26.20 %</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Class A</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20" w:type="dxa"/>
            <w:vAlign w:val="bottom"/>
            <w:gridSpan w:val="2"/>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(1,598)</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(1,679)</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stockholders, diluted</w:t>
            </w:r>
          </w:p>
        </w:tc>
        <w:tc>
          <w:tcPr>
            <w:tcW w:w="24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basic and diluted: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 average Class A common stock, basic</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Dilutive effect of common stock equivalents</w:t>
            </w:r>
            <w:r>
              <w:rPr>
                <w:rFonts w:ascii="Times New Roman" w:cs="Times New Roman" w:eastAsia="Times New Roman" w:hAnsi="Times New Roman"/>
                <w:sz w:val="25"/>
                <w:szCs w:val="25"/>
                <w:color w:val="auto"/>
                <w:vertAlign w:val="superscript"/>
              </w:rPr>
              <w:t>(1)(2)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Weighted average Class A common stock, diluted</w:t>
            </w: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43,286</w:t>
            </w: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44,711</w:t>
            </w:r>
          </w:p>
        </w:tc>
        <w:tc>
          <w:tcPr>
            <w:tcW w:w="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42,818</w:t>
            </w: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41,357</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per Class A share, basic</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Class A share, diluted</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80" w:right="99" w:hanging="322"/>
        <w:spacing w:after="0" w:line="271" w:lineRule="auto"/>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June 30, 2022, the following weighted-average outstanding shares of common stock equivalents by award type were excluded from the computation of diluted net loss per share attributable to Class A stockholders as the impact of including them would have been anti-dilutive: 9,024 options (including 763 out-of-the-money options), 306 RSAs, 2,417 RSUs and 49 shares under the ESPP. For the three months ended June 30, 2021, 251 out-of-the-money options were excluded from the computation of diluted net income per share attributable to Class A stockholders as the impact of including them would have been anti-dilutive.</w:t>
      </w:r>
    </w:p>
    <w:p>
      <w:pPr>
        <w:spacing w:after="0" w:line="170" w:lineRule="exact"/>
        <w:rPr>
          <w:rFonts w:ascii="Times New Roman" w:cs="Times New Roman" w:eastAsia="Times New Roman" w:hAnsi="Times New Roman"/>
          <w:sz w:val="16"/>
          <w:szCs w:val="16"/>
          <w:color w:val="auto"/>
        </w:rPr>
      </w:pPr>
    </w:p>
    <w:p>
      <w:pPr>
        <w:ind w:left="480" w:right="99" w:hanging="322"/>
        <w:spacing w:after="0" w:line="271" w:lineRule="auto"/>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June 30, 2022, the following weighted-average outstanding shares of common stock equivalents by award type were excluded from the computation of diluted net income per share attributable to Class A stockholders as the impact of including them would have been anti-dilutive: 9,226 options (including 765 out-of-the-money options), 316 RSAs, 1,984 RSUs and 45 shares under the ESPP. For the six months ended June 30, 2021, 167 out-of-the-money options were excluded from the computation of diluted net income per share attributable to Class A stockholders as the impact of including them would have been anti-dilutive.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25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3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96"/>
        </w:trPr>
        <w:tc>
          <w:tcPr>
            <w:tcW w:w="3960" w:type="dxa"/>
            <w:vAlign w:val="bottom"/>
            <w:vMerge w:val="continue"/>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basic:</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 attributable to all stockholders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(5,520)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(5,854)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stock as a percentage of total shares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basic</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71.04 %</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76.46 %</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71.33 %</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79.20 %</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Class B</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60" w:type="dxa"/>
            <w:vAlign w:val="bottom"/>
            <w:vMerge w:val="continue"/>
          </w:tcPr>
          <w:p>
            <w:pPr>
              <w:spacing w:after="0"/>
              <w:rPr>
                <w:sz w:val="15"/>
                <w:szCs w:val="15"/>
                <w:color w:val="auto"/>
              </w:rPr>
            </w:pPr>
          </w:p>
        </w:tc>
        <w:tc>
          <w:tcPr>
            <w:tcW w:w="2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(3,922)</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tcPr>
          <w:p>
            <w:pPr>
              <w:spacing w:after="0"/>
              <w:rPr>
                <w:sz w:val="15"/>
                <w:szCs w:val="15"/>
                <w:color w:val="auto"/>
              </w:rPr>
            </w:pPr>
          </w:p>
        </w:tc>
        <w:tc>
          <w:tcPr>
            <w:tcW w:w="2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(4,175)</w:t>
            </w: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 basic</w:t>
            </w:r>
          </w:p>
        </w:tc>
        <w:tc>
          <w:tcPr>
            <w:tcW w:w="24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diluted: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income attributable to all stockholders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(5,520)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(5,854)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stock as a percentage of total shares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diluted</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71.04 %</w:t>
            </w:r>
          </w:p>
        </w:tc>
        <w:tc>
          <w:tcPr>
            <w:tcW w:w="3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71.63 %</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71.33 %</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73.80 %</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Class B</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6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(3,922)</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(4,175)</w:t>
            </w:r>
          </w:p>
        </w:tc>
        <w:tc>
          <w:tcPr>
            <w:tcW w:w="28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stockholders, diluted</w:t>
            </w:r>
          </w:p>
        </w:tc>
        <w:tc>
          <w:tcPr>
            <w:tcW w:w="24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basic and diluted: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Class B common stock, basic</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Class B common stock, diluted</w:t>
            </w: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106,203</w:t>
            </w:r>
          </w:p>
        </w:tc>
        <w:tc>
          <w:tcPr>
            <w:tcW w:w="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112,804</w:t>
            </w:r>
          </w:p>
        </w:tc>
        <w:tc>
          <w:tcPr>
            <w:tcW w:w="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106,505</w:t>
            </w: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116,460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Class B share, basic</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per Class B share, diluted</w:t>
            </w:r>
          </w:p>
        </w:tc>
        <w:tc>
          <w:tcPr>
            <w:tcW w:w="240" w:type="dxa"/>
            <w:vAlign w:val="bottom"/>
            <w:tcBorders>
              <w:top w:val="single" w:sz="8" w:color="auto"/>
              <w:bottom w:val="single" w:sz="8" w:color="auto"/>
            </w:tcBorders>
            <w:shd w:val="clear" w:color="auto" w:fill="CCEEFF"/>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STOCK-BASED AWARD PLANS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2020 Plan provides the ability to grant cash and equity-based incentive awards to eligible employees, directors and service providers in order to attract, retain and motivate those that make important contributions to the Company. The Company issued stock options, RSAs, and RSUs under the 2020 Plan. As of June 30, 2022, 10,757 shares of Class A common were available for issuance under the 2020 Plan.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options outstanding under the 2020 Plan for the six months ended June 30, 2022:</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2020 Plan Option Activity</w:t>
            </w:r>
          </w:p>
        </w:tc>
        <w:tc>
          <w:tcPr>
            <w:tcW w:w="1360" w:type="dxa"/>
            <w:vAlign w:val="bottom"/>
          </w:tcPr>
          <w:p>
            <w:pPr>
              <w:spacing w:after="0"/>
              <w:rPr>
                <w:sz w:val="12"/>
                <w:szCs w:val="12"/>
                <w:color w:val="auto"/>
              </w:rPr>
            </w:pPr>
          </w:p>
        </w:tc>
        <w:tc>
          <w:tcPr>
            <w:tcW w:w="9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3920" w:type="dxa"/>
            <w:vAlign w:val="bottom"/>
            <w:gridSpan w:val="3"/>
            <w:vMerge w:val="continue"/>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Life (Years)</w:t>
            </w:r>
          </w:p>
        </w:tc>
        <w:tc>
          <w:tcPr>
            <w:tcW w:w="8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2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2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2020 Plan options outstanding at June 30, 2022</w:t>
            </w:r>
          </w:p>
        </w:tc>
        <w:tc>
          <w:tcPr>
            <w:tcW w:w="136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2020 Plan options excercisable at June 30, 2022</w:t>
            </w:r>
          </w:p>
        </w:tc>
        <w:tc>
          <w:tcPr>
            <w:tcW w:w="13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6,512</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2.77</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55,730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71"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detail of options outstanding, vested and exercisable under the 2020 Plan as of June 30, 2022 is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40" w:type="dxa"/>
            <w:vAlign w:val="bottom"/>
            <w:vMerge w:val="restart"/>
          </w:tcPr>
          <w:p>
            <w:pPr>
              <w:spacing w:after="0"/>
              <w:rPr>
                <w:sz w:val="12"/>
                <w:szCs w:val="12"/>
                <w:color w:val="auto"/>
              </w:rPr>
            </w:pPr>
          </w:p>
        </w:tc>
        <w:tc>
          <w:tcPr>
            <w:tcW w:w="8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7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3"/>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$0.15 to $0.71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$18.47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$18.96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$32.16</w:t>
            </w: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loss over the period during which the participant is required to perform the requisite services. The vesting period is generally one to four years. The grant date fair value of options is estimated using the Black-Scholes model.</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There were no options issued under the 2020 Plan during the three or six months ended June 30, 2022. The Company issued 12 options and 263 options under the 2020 Plan during the three months and six months ended June 30, 2021, respectively. The assumptions used in the Black-Scholes model to determine the value of the options issued during these periods are as follows: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Option Valuation Period</w:t>
            </w:r>
          </w:p>
        </w:tc>
        <w:tc>
          <w:tcPr>
            <w:tcW w:w="340" w:type="dxa"/>
            <w:vAlign w:val="bottom"/>
          </w:tcPr>
          <w:p>
            <w:pPr>
              <w:spacing w:after="0"/>
              <w:rPr>
                <w:sz w:val="14"/>
                <w:szCs w:val="14"/>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Q2 2021</w:t>
            </w:r>
          </w:p>
        </w:tc>
        <w:tc>
          <w:tcPr>
            <w:tcW w:w="340" w:type="dxa"/>
            <w:vAlign w:val="bottom"/>
            <w:tcBorders>
              <w:bottom w:val="single" w:sz="8" w:color="CCEEFF"/>
            </w:tcBorders>
          </w:tcPr>
          <w:p>
            <w:pPr>
              <w:spacing w:after="0"/>
              <w:rPr>
                <w:sz w:val="12"/>
                <w:szCs w:val="12"/>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340" w:type="dxa"/>
            <w:vAlign w:val="bottom"/>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 w:type="dxa"/>
            <w:vAlign w:val="bottom"/>
          </w:tcPr>
          <w:p>
            <w:pPr>
              <w:spacing w:after="0"/>
              <w:rPr>
                <w:sz w:val="18"/>
                <w:szCs w:val="18"/>
                <w:color w:val="auto"/>
              </w:rPr>
            </w:pPr>
          </w:p>
        </w:tc>
        <w:tc>
          <w:tcPr>
            <w:tcW w:w="2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fair market value of common stock reflects the market closing price on NASDAQ on the respective option grant date. As of the valuation date, the Company lacked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the options are expected to be exercised over, which differs from the term of the option grants which is ten years. The Company does not expect to pay dividends. The risk-free interest rate was based on the rate for a U.S. Treasury zero-coupon issue with a term that closely approximates the expected term of the option grants.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At June 30, 2022, $13,927 of unrecognized compensation expense associated with options is expected to be recognized over a weighted average period of approximately 2.4 years.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RSU activity for the six months ended June 30, 2022:</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4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2"/>
                <w:szCs w:val="12"/>
                <w:color w:val="auto"/>
              </w:rPr>
            </w:pPr>
          </w:p>
        </w:tc>
        <w:tc>
          <w:tcPr>
            <w:tcW w:w="18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Stock-based compensation cost for RSUs is measured based on the fair value of the Company’s underlying common stock on the date of grant and is recognized on a straight-line basis in the condensed consolidated statements of comprehensive loss over the period during which the participant is required to perform services in exchange for the award, which is generally one to four years. Vested RSUs are settled by issuing Class A shares or the equivalent value in cash at the Board’s discretion. At June 30, 2022, $32,362 of unrecognized compensation cost for RSUs is expected to be recognized over a weighted average period of approximately 3.3 years.</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Taxamo acquisition, certain continuing employees of Taxamo received RSUs with service and performance conditions (“PSUs”). At June 30, 2022, there are 895 shares of our Class A common stock with an aggregate grant date fair value of $15,803 that will be accounted for as post-acquisition compensation expense over the vesting period if targets are achieved. The performance-based condition will be satisfied upon meeting certain performance targets for the year ended 2023. As of June 30, 2022, it is not probable that these targets will be met, thus no compensation expense has been recorded to date related to these PSUs.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Awards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RSA activity for the six months ended June 30, 2022:</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Stock-based compensation cost for RSAs is measured based on the fair value of the Company’s underlying common stock on the date of grant and is recognized on a straight-line basis in the condensed consolidated statements of comprehensive loss over the period during which the participants are required to perform services in exchange for the award, which is generally one to four years. At June 30, 2022, $3,601 of unrecognized compensation cost for RSAs is expected to be recognized over a weighted average period of approximately 1.4 years.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ESPP provides eligible employees with rights during each six-month ESPP offering period to purchase shares of the Company’s Class A common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reflected in accrued salaries and benefits in the condensed consolidated balance sheets until such shares are purchased. Amounts withheld from participants for the offering period ending November 30, 2022 aggregated $153 as of June 30, 2022. As of June 30, 2022, 3,666 shares of Class A common stock were available for issuance under the ESPP.</w:t>
      </w:r>
    </w:p>
    <w:p>
      <w:pPr>
        <w:sectPr>
          <w:pgSz w:w="11900" w:h="16838" w:orient="portrait"/>
          <w:cols w:equalWidth="0" w:num="1">
            <w:col w:w="9019"/>
          </w:cols>
          <w:pgMar w:left="1440" w:top="671" w:right="1440"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there was approximately $248 of unrecognized ESPP stock-based compensation cost expected to be recognized on a straight-line basis over the remaining term of the six-month offering period ending November 30, 2022.</w:t>
      </w:r>
    </w:p>
    <w:p>
      <w:pPr>
        <w:spacing w:after="0" w:line="16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At June 30, 2022 and 2021, there were two ESPP offering periods open that end November 30, 2022 and 2021, respectively. The fair value of ESPP purchase rights for the offering periods is comprised of the value of the 15% ESPP discount and the value associated with the call or put over the respective ESPP offering period. The value of the call or put was estimated using the Black-Scholes model with the following assumptions: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Offering Period Ending</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11/30/2022</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11/30/2021</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18"/>
                <w:szCs w:val="18"/>
                <w:color w:val="auto"/>
              </w:rPr>
            </w:pPr>
          </w:p>
        </w:tc>
        <w:tc>
          <w:tcPr>
            <w:tcW w:w="14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Selected volatility is representative of expected future volatility and was based on the historical and implied volatility of comparable publicly traded companies over a similar expected term. The expected term represents the term of the six month ESPP offering period. The Company does not expect to pay dividends. The risk-free interest rate was based on the rate for a U.S. Treasury zero-coupon issue with a term that closely approximates the expected term of the award at the date nearest the offering term.</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total stock-based compensation cost related to incentive awards, net of forfeitures, as follows: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5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3"/>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cost in the condensed consolidated statements of comprehensive loss as follows: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5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3"/>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10"/>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LEGAL PROCEEDINGS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ectPr>
          <w:pgSz w:w="11900" w:h="16838" w:orient="portrait"/>
          <w:cols w:equalWidth="0" w:num="1">
            <w:col w:w="9019"/>
          </w:cols>
          <w:pgMar w:left="1440" w:top="671" w:right="1440" w:bottom="1440" w:gutter="0" w:footer="0" w:header="0"/>
        </w:sectPr>
      </w:pP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700" w:right="239"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March 16, 2022 (the “2021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2021 Annual Report and as may be subsequently updated by our other SEC filings.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1,300 professionals and serves companies across the globe.</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significantly faster rate than on-premise software subscription sales, which is a trend that we expect to continue over time. We generated 40% and 36% of software subscription revenue from cloud-based subscriptions during the three months ended June 30, 2022 and 2021, respectively, and 40% and 34% for the six months ended June 30, 2022 and 2021, respectively. While our on-premise software subscription revenue comprised 60% and 64% of our software subscription revenues during the three months ended June 30, 2022 and 2021, respectively, and 60% and 66% for the six months ended June 30, 2022 and 2021,respectively, it continues to decrease as a percentage of total software subscriptions revenues as cloud-based subscriptions accelerate.</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partner ecosystem is a differentiating, competitive strength in both our software development and our sales and marketing activities. We integrate with key technology partners that span Enterprise Resoure Planning (“ERP”), Customer Relationship Management (“CRM”), procurement, billing, Point of Sale (“POS”) and e-commerce. These partners include Adobe/Magento, Coupa, Microsoft Dynamics, NetSuite, Oracle, Salesforce, SAP, SAP Ariba, Workday and Zuora. We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also collaborate with numerous accounting firms who have built implementation practices around our software to serve their customer base.</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that global commerce and the compliance environment provides durable and accelerating growth opportunities for our business. We generated revenue of $119.3 million and $104.9 million for the three months ended June 30, 2022 and 2021, respectively. We had a net loss of $(5.5) million and net income of $0.8 million for the three months ended June 30, 2022 and 2021, respectively. We had a net loss of $(5.9) million and a net income of $3.1 million for the six months ended June 30, 2022 and 2021, respectively. These amounts are presented in accordance with United States (“ U.S.”) generally accepted accounting principles (“GAAP”).</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loss or income before interest, taxes, depreciation, and amortization, as adjusted to exclude charges for asset impairments, stock-based compensation expense, severance expense, acquisition contingent consideration and transaction costs. Adjusted EBITDA was $17.8 million and $19.3 million for the three months ended June 30, 2022 and 2021, respectively. Adjusted EBITDA was $36.9 million and $37.4 million for the six months ended June 30, 2022 and 2021,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2022, the COVID-19 pandemic had minimal impact on our revenues and results of operations, as we continue to derive the significant majority of our revenues from our existing software subscriptions. As we principally price our solutions based on our customers’ revenues within certain revenue bands, elongated declines in our existing customers’ revenues may impact our ability to grow our existing customer revenues. We did not experience an abnormal number of non-renewals in 2021 or for the six months ended June 30, 2022, nor any material declines in revenues associated with declines in our customers’ revenues, and we currently expect our existing customer base to remain largely stable, as it did through the recession in 2008 and 2009. However, significant increases in non-renewals or concessions to renewal customers would have a material impact on our revenues and cash flows. We expect that the uncertainty caused by the COVID-19 pandemic could impact our billings to new customers as the pandemic continues to generate economic uncertainty. In addition, it may also negatively impact our efforts to maintain or expand revenues from our existing customers as they continue to evaluate certain long-term projects and budget constraints. However, we do not anticipate that overall demand for our software and solutions, our ability to deliver such software and solutions, or our growth strategies will be materially impacted by the COVID-19 pandemic, as companies continue to rely on us for their indirect tax solutions.</w:t>
      </w:r>
    </w:p>
    <w:p>
      <w:pPr>
        <w:spacing w:after="0" w:line="19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continue to expect that we will be able to collect amounts due under subscription contracts from customers experiencing issues as a result of the COVID-19 pandemic, and we have not recorded additional credit losses associated with the allowance for doubtful accounts in connection with any delays. Given that customers cannot forgo our monthly content updates, which are necessary to remain compliant with the most current regulations, we believe customers will continue to pay our renewal invoices in a timely, even if slightly elongated, manner. 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generate revenue from software subscriptions and services.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in an amount that reflects the consideration expected to be received in exchange for those products or services. We enter into contracts that include</w:t>
      </w:r>
    </w:p>
    <w:p>
      <w:pPr>
        <w:sectPr>
          <w:pgSz w:w="11900" w:h="16838" w:orient="portrait"/>
          <w:cols w:equalWidth="0" w:num="1">
            <w:col w:w="9019"/>
          </w:cols>
          <w:pgMar w:left="1440" w:top="513" w:right="1440" w:bottom="1440" w:gutter="0" w:footer="0" w:header="0"/>
        </w:sectPr>
      </w:pP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(collectively, the “updates and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performance obligations are satisfied over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are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 Effective January 1, 2022, we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estimated period of benefit to the customer.</w:t>
      </w:r>
    </w:p>
    <w:p>
      <w:pPr>
        <w:spacing w:after="0" w:line="19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cloud-based subscriptions allow customers to use Vertex-hosted software over the contract period without taking possession of the software. The contracts are generally for one to three years and billed annually in advance of the subscription period. Our cloud-based offerings also include related updates and support. All services within the cloud-based contracts consistently provide a benefit to the customer during the subscription period, thus the associated revenue is recognized ratably over the subscription period. Revenue recognition begins on the later of the beginning of the subscription period or the date the customer is provided access to the cloud-based solutions.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 Revenue</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8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 services in excess of 60%. In addition, our managed services offering has continued to experience increased revenues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associated with returns processing volume increases attributable to regulatory changes, as customers expanded their tax filings into more jurisdictions.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revenue in absolute dollars.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 Easing up of the travel restrictions due to COVID-19 are resulting in increases in travel and external marketing event expenses, which were significantly lower in 2021. These costs will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increase as travel and conference restrictions continue to be lifted, which has begun to occur in 2022, although it is uncertain whether they will return to historical levels experienced pre-COVID-19.</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and other internal support costs.</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as we continue to expand our operations, hire additional personnel, integrate future acquisitions, invest in our systems and tools to support improvements in future operating leverage, and incur additional costs associated with being a publicly listed company. As a public company, we expect to incur increased expenses related to accounting, tax and auditing activities, legal, insurance, SEC compliance and internal control compliance, including the design, implementation and testing of increasingly formalized systems of internal control over financial reporting.</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 (income), net consists primarily of transactions costs associated with merger and acquisition activities, quarterly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(Income) Expense,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Interest (income) expense, net reflects the amount of our interest expense that exceeds interest income over the same period.</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Interest expense consists primarily of interest payments and other financing costs on our bank credit facility.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Sistemas Fiscais LTDA (“Systax”) acquisition and amortization of the discount on deferred purchase consideration associated with the LCR-Dixon Corporation (“LCR-Dixon”) acquisition will be recorded as interest expense.</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income reflects earnings on investments of our cash on hand, our investment securities, and on our funds held for customers related to our managed outsourcing services. Interest income will vary as a result of fluctuations in the future level of funds available for investment and the rate of return available in the market on such funds.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29" w:lineRule="exact"/>
        <w:rPr>
          <w:sz w:val="20"/>
          <w:szCs w:val="20"/>
          <w:color w:val="auto"/>
        </w:rPr>
      </w:pPr>
    </w:p>
    <w:p>
      <w:pPr>
        <w:jc w:val="center"/>
        <w:ind w:left="60" w:right="59"/>
        <w:spacing w:after="0" w:line="263" w:lineRule="auto"/>
        <w:rPr>
          <w:sz w:val="20"/>
          <w:szCs w:val="20"/>
          <w:color w:val="auto"/>
        </w:rPr>
      </w:pPr>
      <w:r>
        <w:rPr>
          <w:rFonts w:ascii="Times New Roman" w:cs="Times New Roman" w:eastAsia="Times New Roman" w:hAnsi="Times New Roman"/>
          <w:sz w:val="18"/>
          <w:szCs w:val="18"/>
          <w:color w:val="auto"/>
        </w:rPr>
        <w:t>Income tax expense (benefit) consists primarily of federal, state, and local taxes on our income or loss. In determining our annualized effective income tax rates, net deferred tax assets and valuation allowances, and cash paid for income taxes, management is required to make judgments and estimates about domestic and foreign profitability, the timing and usage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of net operating loss carryforwards, applicable tax rates, and transfer pricing methodologies. Judgments and estimates related to our projections and assumptions are inherently uncertain; therefore, actual results could materially differ from our projections.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Tax Cuts and Jobs Act of 2017 generally requires taxpayers to capitalize research and experimental expenditures effective for tax years beginning after December 31, 2021, and amortize the capitalized costs over a period of five or 15 years depending on where the research is conducted. The latest versions of the proposed Build Back Better Act delay the effective date on which these expenditures are required to be capitalized. However, it is unclear if this act will pass in its current form or if any other legislation might be enacted to defer or repeal the effective date of capitalization. If the capitalization requirement is not deferred or repealed, we expect the capitalization of research and experimental expenditures to increase our current U.S. federal and state income tax expense.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2021 Annual Report. The period-to-period comparison of financial results is not necessarily indicative of financial results to be achieved in future periods. The following table sets forth our consolidated statements of comprehensive loss for the periods indicated.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Period-Over-</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9"/>
                <w:szCs w:val="9"/>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540" w:type="dxa"/>
            <w:vAlign w:val="bottom"/>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Period Change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4"/>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4"/>
          </w:tcPr>
          <w:p>
            <w:pPr>
              <w:jc w:val="right"/>
              <w:ind w:right="36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 subscriptions</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101,088</w:t>
            </w:r>
          </w:p>
        </w:tc>
        <w:tc>
          <w:tcPr>
            <w:tcW w:w="14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89,604</w:t>
            </w:r>
          </w:p>
        </w:tc>
        <w:tc>
          <w:tcPr>
            <w:tcW w:w="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11,484</w:t>
            </w:r>
          </w:p>
        </w:tc>
        <w:tc>
          <w:tcPr>
            <w:tcW w:w="6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198,219</w:t>
            </w:r>
          </w:p>
        </w:tc>
        <w:tc>
          <w:tcPr>
            <w:tcW w:w="14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172,884</w:t>
            </w:r>
          </w:p>
        </w:tc>
        <w:tc>
          <w:tcPr>
            <w:tcW w:w="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25,335</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18,188</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15,334</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36,041</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30,290</w:t>
            </w: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5,751</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119,276</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104,938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14,338</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13.7</w:t>
            </w:r>
          </w:p>
        </w:tc>
        <w:tc>
          <w:tcPr>
            <w:tcW w:w="240" w:type="dxa"/>
            <w:vAlign w:val="bottom"/>
            <w:tcBorders>
              <w:bottom w:val="single" w:sz="8" w:color="CCEEF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234,260</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203,174</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31,086</w:t>
            </w:r>
          </w:p>
        </w:tc>
        <w:tc>
          <w:tcPr>
            <w:tcW w:w="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w:t>
            </w:r>
          </w:p>
        </w:tc>
        <w:tc>
          <w:tcPr>
            <w:tcW w:w="18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5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Cost of revenues: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2"/>
                <w:szCs w:val="12"/>
                <w:color w:val="auto"/>
              </w:rPr>
              <w:t>Software subscriptions</w:t>
            </w:r>
            <w:r>
              <w:rPr>
                <w:rFonts w:ascii="Times New Roman" w:cs="Times New Roman" w:eastAsia="Times New Roman" w:hAnsi="Times New Roman"/>
                <w:sz w:val="17"/>
                <w:szCs w:val="17"/>
                <w:color w:val="auto"/>
                <w:vertAlign w:val="superscript"/>
              </w:rPr>
              <w:t>(1)</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9,380</w:t>
            </w:r>
          </w:p>
        </w:tc>
        <w:tc>
          <w:tcPr>
            <w:tcW w:w="6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69,122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16,703</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Services</w:t>
            </w:r>
            <w:r>
              <w:rPr>
                <w:rFonts w:ascii="Times New Roman" w:cs="Times New Roman" w:eastAsia="Times New Roman" w:hAnsi="Times New Roman"/>
                <w:sz w:val="17"/>
                <w:szCs w:val="17"/>
                <w:color w:val="auto"/>
                <w:vertAlign w:val="superscript"/>
              </w:rPr>
              <w:t>(1)</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11,920</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1,370</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23,873</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21,893</w:t>
            </w: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cost of revenues</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48,129</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37,379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10,750</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28.8</w:t>
            </w:r>
          </w:p>
        </w:tc>
        <w:tc>
          <w:tcPr>
            <w:tcW w:w="240" w:type="dxa"/>
            <w:vAlign w:val="bottom"/>
            <w:tcBorders>
              <w:bottom w:val="single" w:sz="8" w:color="CCEEF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92,995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74,312</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18,683</w:t>
            </w:r>
          </w:p>
        </w:tc>
        <w:tc>
          <w:tcPr>
            <w:tcW w:w="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25.1</w:t>
            </w:r>
          </w:p>
        </w:tc>
        <w:tc>
          <w:tcPr>
            <w:tcW w:w="18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54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71,147</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67,559</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3,588</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2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141,265</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128,862</w:t>
            </w: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12,403</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Research and development</w:t>
            </w:r>
            <w:r>
              <w:rPr>
                <w:rFonts w:ascii="Times New Roman" w:cs="Times New Roman" w:eastAsia="Times New Roman" w:hAnsi="Times New Roman"/>
                <w:sz w:val="17"/>
                <w:szCs w:val="17"/>
                <w:color w:val="auto"/>
                <w:vertAlign w:val="superscript"/>
              </w:rPr>
              <w:t>(1)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(1,616)</w:t>
            </w: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23,385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(3,442)</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49"/>
        </w:trPr>
        <w:tc>
          <w:tcPr>
            <w:tcW w:w="25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2"/>
                <w:szCs w:val="12"/>
                <w:color w:val="auto"/>
              </w:rPr>
              <w:t>Selling and marketing</w:t>
            </w:r>
            <w:r>
              <w:rPr>
                <w:rFonts w:ascii="Times New Roman" w:cs="Times New Roman" w:eastAsia="Times New Roman" w:hAnsi="Times New Roman"/>
                <w:sz w:val="17"/>
                <w:szCs w:val="17"/>
                <w:color w:val="auto"/>
                <w:vertAlign w:val="superscript"/>
              </w:rPr>
              <w:t>(1)</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31,979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7,114</w:t>
            </w:r>
          </w:p>
        </w:tc>
        <w:tc>
          <w:tcPr>
            <w:tcW w:w="6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59,431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14,416</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General and administrative</w:t>
            </w:r>
            <w:r>
              <w:rPr>
                <w:rFonts w:ascii="Times New Roman" w:cs="Times New Roman" w:eastAsia="Times New Roman" w:hAnsi="Times New Roman"/>
                <w:sz w:val="17"/>
                <w:szCs w:val="17"/>
                <w:color w:val="auto"/>
                <w:vertAlign w:val="superscript"/>
              </w:rPr>
              <w:t>(1)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30,084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5,219</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2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58,841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9,124</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346</w:t>
            </w:r>
          </w:p>
        </w:tc>
        <w:tc>
          <w:tcPr>
            <w:tcW w:w="6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operating (income) expense, net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(4,637)</w:t>
            </w: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(3,660)</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75,443</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69,017</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6,426</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240" w:type="dxa"/>
            <w:vAlign w:val="bottom"/>
            <w:tcBorders>
              <w:bottom w:val="single" w:sz="8" w:color="CCEEF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145,093</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128,176</w:t>
            </w: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16,917</w:t>
            </w:r>
          </w:p>
        </w:tc>
        <w:tc>
          <w:tcPr>
            <w:tcW w:w="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w:t>
            </w:r>
          </w:p>
        </w:tc>
        <w:tc>
          <w:tcPr>
            <w:tcW w:w="18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54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(Loss) income from operations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(4,296)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(2,838)</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194.7</w:t>
            </w:r>
          </w:p>
        </w:tc>
        <w:tc>
          <w:tcPr>
            <w:tcW w:w="2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(3,828)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(4,514)</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(658.0)%</w:t>
            </w:r>
          </w:p>
        </w:tc>
        <w:tc>
          <w:tcPr>
            <w:tcW w:w="0" w:type="dxa"/>
            <w:vAlign w:val="bottom"/>
          </w:tcPr>
          <w:p>
            <w:pPr>
              <w:spacing w:after="0"/>
              <w:rPr>
                <w:sz w:val="1"/>
                <w:szCs w:val="1"/>
                <w:color w:val="auto"/>
              </w:rPr>
            </w:pPr>
          </w:p>
        </w:tc>
      </w:tr>
      <w:tr>
        <w:trPr>
          <w:trHeight w:val="149"/>
        </w:trPr>
        <w:tc>
          <w:tcPr>
            <w:tcW w:w="2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 (income), net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6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(288.1)%</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568</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378.7</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(Loss) income before income taxes</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(5,020)</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(3,947)</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367.8</w:t>
            </w:r>
          </w:p>
        </w:tc>
        <w:tc>
          <w:tcPr>
            <w:tcW w:w="24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(4,546)</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(5,082)</w:t>
            </w: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(948.1)%</w:t>
            </w:r>
          </w:p>
        </w:tc>
        <w:tc>
          <w:tcPr>
            <w:tcW w:w="0" w:type="dxa"/>
            <w:vAlign w:val="bottom"/>
          </w:tcPr>
          <w:p>
            <w:pPr>
              <w:spacing w:after="0"/>
              <w:rPr>
                <w:sz w:val="1"/>
                <w:szCs w:val="1"/>
                <w:color w:val="auto"/>
              </w:rPr>
            </w:pPr>
          </w:p>
        </w:tc>
      </w:tr>
      <w:tr>
        <w:trPr>
          <w:trHeight w:val="148"/>
        </w:trPr>
        <w:tc>
          <w:tcPr>
            <w:tcW w:w="2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(1,881)</w:t>
            </w:r>
          </w:p>
        </w:tc>
        <w:tc>
          <w:tcPr>
            <w:tcW w:w="10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2,381</w:t>
            </w:r>
          </w:p>
        </w:tc>
        <w:tc>
          <w:tcPr>
            <w:tcW w:w="6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(126.6)%</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3,868</w:t>
            </w:r>
          </w:p>
        </w:tc>
        <w:tc>
          <w:tcPr>
            <w:tcW w:w="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w:t>
            </w: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(loss) income</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(5,520)</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808</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(6,328)</w:t>
            </w:r>
          </w:p>
        </w:tc>
        <w:tc>
          <w:tcPr>
            <w:tcW w:w="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(783.2)%</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(5,854)</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3,096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(8,950)</w:t>
            </w: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(289.1)%</w:t>
            </w:r>
          </w:p>
        </w:tc>
        <w:tc>
          <w:tcPr>
            <w:tcW w:w="0" w:type="dxa"/>
            <w:vAlign w:val="bottom"/>
          </w:tcPr>
          <w:p>
            <w:pPr>
              <w:spacing w:after="0"/>
              <w:rPr>
                <w:sz w:val="1"/>
                <w:szCs w:val="1"/>
                <w:color w:val="auto"/>
              </w:rPr>
            </w:pPr>
          </w:p>
        </w:tc>
      </w:tr>
      <w:tr>
        <w:trPr>
          <w:trHeight w:val="148"/>
        </w:trPr>
        <w:tc>
          <w:tcPr>
            <w:tcW w:w="254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 net of tax</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11,775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3,359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8,416</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250.6</w:t>
            </w:r>
          </w:p>
        </w:tc>
        <w:tc>
          <w:tcPr>
            <w:tcW w:w="240" w:type="dxa"/>
            <w:vAlign w:val="bottom"/>
            <w:tcBorders>
              <w:bottom w:val="single" w:sz="8" w:color="CCEEFF"/>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13,824</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4,336</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9,488</w:t>
            </w:r>
          </w:p>
        </w:tc>
        <w:tc>
          <w:tcPr>
            <w:tcW w:w="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w:t>
            </w:r>
          </w:p>
        </w:tc>
        <w:tc>
          <w:tcPr>
            <w:tcW w:w="18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comprehensive loss</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(17,295)</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(14,744)</w:t>
            </w: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578.0</w:t>
            </w:r>
          </w:p>
        </w:tc>
        <w:tc>
          <w:tcPr>
            <w:tcW w:w="240" w:type="dxa"/>
            <w:vAlign w:val="bottom"/>
            <w:tcBorders>
              <w:bottom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(19,678)</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97"/>
              </w:rPr>
              <w:t>(1,240)</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(18,438)</w:t>
            </w:r>
          </w:p>
        </w:tc>
        <w:tc>
          <w:tcPr>
            <w:tcW w:w="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1,486.9</w:t>
            </w:r>
          </w:p>
        </w:tc>
        <w:tc>
          <w:tcPr>
            <w:tcW w:w="18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stock-based compensation expenses as shown on the following table.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5"/>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3"/>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99"/>
        </w:trPr>
        <w:tc>
          <w:tcPr>
            <w:tcW w:w="40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11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services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10"/>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our total revenues for the periods presented.</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460" w:type="dxa"/>
            <w:vAlign w:val="bottom"/>
            <w:gridSpan w:val="5"/>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gridSpan w:val="3"/>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1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84.8 %</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84.6 %</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15.2 %</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15.4 %</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30.4 %</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29.5 %</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10.2 %</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8.6 %</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8.5 %</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26.8 %</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25.4 %</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25.2 %</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25.1 %</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2.7 %</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0.3 %</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0.6 %</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0.3 %</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0.4 %</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0.6 %</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vMerge w:val="continue"/>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9.9 %</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5.9 %</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00" w:type="dxa"/>
            <w:vAlign w:val="bottom"/>
          </w:tcPr>
          <w:p>
            <w:pPr>
              <w:spacing w:after="0"/>
              <w:rPr>
                <w:sz w:val="24"/>
                <w:szCs w:val="24"/>
                <w:color w:val="auto"/>
              </w:rPr>
            </w:pPr>
          </w:p>
        </w:tc>
        <w:tc>
          <w:tcPr>
            <w:tcW w:w="10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137"/>
        </w:trPr>
        <w:tc>
          <w:tcPr>
            <w:tcW w:w="34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740" w:type="dxa"/>
            <w:vAlign w:val="bottom"/>
            <w:tcBorders>
              <w:top w:val="single" w:sz="8" w:color="auto"/>
            </w:tcBorders>
            <w:gridSpan w:val="4"/>
          </w:tcPr>
          <w:p>
            <w:pPr>
              <w:jc w:val="right"/>
              <w:ind w:right="155"/>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80" w:type="dxa"/>
            <w:vAlign w:val="bottom"/>
          </w:tcPr>
          <w:p>
            <w:pPr>
              <w:spacing w:after="0"/>
              <w:rPr>
                <w:sz w:val="15"/>
                <w:szCs w:val="15"/>
                <w:color w:val="auto"/>
              </w:rPr>
            </w:pPr>
          </w:p>
        </w:tc>
        <w:tc>
          <w:tcPr>
            <w:tcW w:w="174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800" w:type="dxa"/>
            <w:vAlign w:val="bottom"/>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7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$ 101,088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89,604</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$ 119,276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Revenues increased $14.3 million, or 13.7%, to $119.3 million for the three months ended June 30, 2022 compared to $104.9 million for the three months ended June 30, 2021. The increase in software subscriptions revenues of $11.5 million, or 12.8%, was primarily driven by increases from our existing customers. Software subscriptions revenues derived from new customers averaged 8.9% and 7.0% of total software subscriptions revenues in 2022 and 2021, respectively.</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$2.9 million increase in services revenues was primarily driven by an increase of $1.8 million in software subscription related services associated with the growth in subscription revenues, which includes new customers implementing our solutions and existing customers upgrading to newer versions of our solutions. In addition, our managed services offering experienced a $1.1 million increase in recurring services revenues over the prior year due to returns processing volume increases related to regulatory changes as customers expanded their tax filings into more jurisdictions.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Software Subscriptions Revenues</w:t>
      </w:r>
    </w:p>
    <w:p>
      <w:pPr>
        <w:spacing w:after="0" w:line="263" w:lineRule="exact"/>
        <w:rPr>
          <w:sz w:val="20"/>
          <w:szCs w:val="20"/>
          <w:color w:val="auto"/>
        </w:rPr>
      </w:pPr>
    </w:p>
    <w:p>
      <w:pPr>
        <w:jc w:val="center"/>
        <w:ind w:left="2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-94615</wp:posOffset>
            </wp:positionV>
            <wp:extent cx="27432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jc w:val="center"/>
        <w:ind w:left="22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3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3"/>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software subscription revenues</w:t>
            </w:r>
          </w:p>
        </w:tc>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9,380</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1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revenues increased $9.4 million, or 35.0%, to $36.2 million for the three months ended June 30, 2022 compared to $26.8 million for the three months ended June 30, 2021. This included a $3.0 million increase in costs of personnel supporting period over period growth of sales and customers and ongoing infrastructure investments and support costs to enable the continued expansion of customer transaction volumes for our cloud-based subscription customers. In addition, this included an increase in depreciation and amortization of $6.4 million associated with our ongoing investments in internal-use software for cloud-based subscription solutions, software developed for sale for new products and enhancements to existing products, and acquired intangible assets. As a percentage of software subscriptions revenues, the cost of software subscriptions revenues increased to 35.8% in 2022 compared to 29.9% for the same period in 2021.</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Services Revenues</w:t>
      </w:r>
    </w:p>
    <w:p>
      <w:pPr>
        <w:spacing w:after="0" w:line="34"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-94615</wp:posOffset>
            </wp:positionV>
            <wp:extent cx="26403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jc w:val="center"/>
        <w:ind w:left="22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3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3"/>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1,370</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services revenues increased $1.4 million, or 13.0%, to $11.9 million for the three months ended June 30, 2022 compared to $10.6 million for the three months ended June 30, 2021. This increase was primarily driven by an increase in costs of service delivery personnel to support revenue growth in software subscription-related services and our managed services offering. As a percentage of services revenues, cost of services revenues decreased to 65.5% in 2022 compared to 68.8% for the same period in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63"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-94615</wp:posOffset>
            </wp:positionV>
            <wp:extent cx="26657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jc w:val="center"/>
        <w:ind w:left="24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47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200" w:type="dxa"/>
            <w:vAlign w:val="bottom"/>
            <w:tcBorders>
              <w:bottom w:val="single" w:sz="8" w:color="CCEEFF"/>
            </w:tcBorders>
          </w:tcPr>
          <w:p>
            <w:pPr>
              <w:spacing w:after="0"/>
              <w:rPr>
                <w:sz w:val="12"/>
                <w:szCs w:val="12"/>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(1,616)</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decreased $1.6 million, or 13.6%, to $10.3 million for the three months ended June 30, 2022 compared to $11.9 million for the three months ended June 30, 2021. The $1.6 million decrease in research and development expenses is primarily due to an increase in development work capitalized associated with new solutions to address end-to-end data analysis and compliance needs of our customers, and continued expansion of connectors and application program interfaces (“APIs”) to customer ERP and other software platforms. As a percentage of total revenues, research and development expenses decreased to 8.6% in 2022 compared to 11.4% for the same period in 2021. Research and development expense excludes those costs that have been capitalized for solutions that have met our capitalization policy.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263"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-94615</wp:posOffset>
            </wp:positionV>
            <wp:extent cx="29057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jc w:val="center"/>
        <w:ind w:left="18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3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7,114</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Selling and marketing expenses increased $7.1 million, or 28.6%, to $32.0 million for the three months ended June 30, 2022 compared to $24.9 million for the same period in 2021. This increase was primarily driven by a $3.0 million increase in payroll and related expenses associated with the growth in period over period subscription sales and services revenues and expansion of our partner and channel management programs. In addition, there was an increase of $2.2 million in advertising and promotional spending and expanded brand awareness efforts. Lastly, there was an increase of $1.9 million in amortization of acquired intangible assets associated with prior acquisitions. As a percentage of total revenues, selling and marketing expenses increased to 26.8% in 2022 compared to 23.7% for the same period in 2021.</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63" w:lineRule="exact"/>
        <w:rPr>
          <w:sz w:val="20"/>
          <w:szCs w:val="20"/>
          <w:color w:val="auto"/>
        </w:rPr>
      </w:pPr>
    </w:p>
    <w:p>
      <w:pPr>
        <w:jc w:val="center"/>
        <w:ind w:left="2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-94615</wp:posOffset>
            </wp:positionV>
            <wp:extent cx="27089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jc w:val="center"/>
        <w:ind w:left="23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3"/>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5,219</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$5.2 million, or 21.0%, to $30.1 million for the three months ended June 30, 2022 compared to $24.9 million for the same period in 2021. General and administrative expenses increased $6.7 million primarily due to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This increase is offset by a decline in stock-based compensation of $1.5 million for the three months ended June 30, 2022 over the same period in 2021. As a percentage of total revenues, general and administrative expenses increased to 25.2% in 2022 compared to 23.7% for the same period in 2021.</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(Income) Expense, Net</w:t>
      </w:r>
    </w:p>
    <w:p>
      <w:pPr>
        <w:spacing w:after="0" w:line="250"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-94615</wp:posOffset>
            </wp:positionV>
            <wp:extent cx="27603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180" w:type="dxa"/>
            <w:vAlign w:val="bottom"/>
            <w:tcBorders>
              <w:bottom w:val="single" w:sz="8" w:color="CCEEFF"/>
            </w:tcBorders>
          </w:tcPr>
          <w:p>
            <w:pPr>
              <w:spacing w:after="0"/>
              <w:rPr>
                <w:sz w:val="15"/>
                <w:szCs w:val="15"/>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(4,637)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(103.4)%</w:t>
            </w:r>
          </w:p>
        </w:tc>
      </w:tr>
    </w:tbl>
    <w:p>
      <w:pPr>
        <w:spacing w:after="0" w:line="198" w:lineRule="exact"/>
        <w:rPr>
          <w:sz w:val="20"/>
          <w:szCs w:val="20"/>
          <w:color w:val="auto"/>
        </w:rPr>
      </w:pPr>
    </w:p>
    <w:p>
      <w:pPr>
        <w:jc w:val="center"/>
        <w:ind w:left="1500"/>
        <w:spacing w:after="0" w:line="263" w:lineRule="auto"/>
        <w:rPr>
          <w:sz w:val="20"/>
          <w:szCs w:val="20"/>
          <w:color w:val="auto"/>
        </w:rPr>
      </w:pPr>
      <w:r>
        <w:rPr>
          <w:rFonts w:ascii="Times New Roman" w:cs="Times New Roman" w:eastAsia="Times New Roman" w:hAnsi="Times New Roman"/>
          <w:sz w:val="18"/>
          <w:szCs w:val="18"/>
          <w:color w:val="auto"/>
        </w:rPr>
        <w:t>Other operating (income) expense, net, decreased $4.6 million, or 103.4%, to $0.2 million of income for the three months ended June 30, 2022 compared to $4.5 million of expense for the same period in 2021. This decrease was primarily due to $4.5 million in transaction costs associated with the Taxamo acquisition for the three months ended June 30, 2021.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 a percentage of total revenues, other operating expense (income), net decreased to (0.1)% in 2022 compared to 4.3% in 2021.</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250"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-94615</wp:posOffset>
            </wp:positionV>
            <wp:extent cx="27603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180" w:type="dxa"/>
            <w:vAlign w:val="bottom"/>
            <w:tcBorders>
              <w:bottom w:val="single" w:sz="8" w:color="CCEEFF"/>
            </w:tcBorders>
          </w:tcPr>
          <w:p>
            <w:pPr>
              <w:spacing w:after="0"/>
              <w:rPr>
                <w:sz w:val="15"/>
                <w:szCs w:val="15"/>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1,109</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(288.1)%</w:t>
            </w:r>
          </w:p>
        </w:tc>
      </w:tr>
    </w:tbl>
    <w:p>
      <w:pPr>
        <w:spacing w:after="0" w:line="198"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Interest expense (income) changed by $1.1 million, or 288.1%, to expense of $0.7 million for the three months ended June 30, 2022, from income of $0.4 million for the same period in 2021. Interest expense related to bank debt and the discount recorded related to the LCR-Dixon deferred purchase consideration increased $0.3 million and $0.1 million, respectively, during the three months ended June 30, 2022. In addition, interest expense increased $0.8 million due to a decrease in the valuation of our foreign currency forward contracts related to the Systax future purchase commitment liability.</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63"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-94615</wp:posOffset>
            </wp:positionV>
            <wp:extent cx="2837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-3175</wp:posOffset>
            </wp:positionV>
            <wp:extent cx="13373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160" w:type="dxa"/>
            <w:vAlign w:val="bottom"/>
            <w:tcBorders>
              <w:bottom w:val="single" w:sz="8" w:color="CCEEFF"/>
            </w:tcBorders>
          </w:tcPr>
          <w:p>
            <w:pPr>
              <w:spacing w:after="0"/>
              <w:rPr>
                <w:sz w:val="15"/>
                <w:szCs w:val="15"/>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2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2,381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bl>
    <w:p>
      <w:pPr>
        <w:spacing w:after="0" w:line="21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(benefit) changed by $2.4 million, or 126.6%, to a $0.5 million expense for the three months ended June 30, 2022 compared to a $1.9 million benefit for the same period in 2021. This increase in expense was primarily driven by decreases in tax benefits on exercises and vestings of stock awards partially offset by the unfavorable impact of limitations on deductions of certain employees’ compensation under Internal Revenue Code Section 162(m) (“Section 162(m)”).</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9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9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540" w:type="dxa"/>
            <w:vAlign w:val="bottom"/>
            <w:tcBorders>
              <w:bottom w:val="single" w:sz="8" w:color="auto"/>
            </w:tcBorders>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subscriptions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$ 198,219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$ 172,884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36,041</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$ 234,260</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$ 203,174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31,086</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Revenues increased $31.1 million, or 15.3%, to $234.3 million for the six months ended June 30, 2022 compared to $203.2 million for the six months ended June 30, 2021. The increase in software subscriptions revenues of $25.3 million, or 14.7%, was primarily driven by increases from our existing customers. Software subscriptions revenues derived from new customers averaged 8.2% of total software subscriptions revenues in both 2022 and 2021.</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$5.8 million increase in services revenues was primarily driven by an increase of $3.7 million in software subscription-related services associated with the growth in subscription revenues, which includes new customers implementing our solutions, existing customers upgrading to newer versions of our solutions, our premium support services and due to acquisitions. In addition, our managed services offering experienced a $2.1 million increase in recurring services revenues over the prior year due to returns processing volume increases related to regulatory changes as customers expanded their tax filings into more jurisdictions.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Software Subscriptions Revenues</w:t>
      </w:r>
    </w:p>
    <w:p>
      <w:pPr>
        <w:spacing w:after="0" w:line="250" w:lineRule="exact"/>
        <w:rPr>
          <w:sz w:val="20"/>
          <w:szCs w:val="20"/>
          <w:color w:val="auto"/>
        </w:rPr>
      </w:pPr>
    </w:p>
    <w:p>
      <w:pPr>
        <w:jc w:val="center"/>
        <w:ind w:left="22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software subscriptions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16,703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revenues increased $16.7 million, or 31.9%, to $69.1 million for the six months ended June 30, 2022 compared to $52.4 million for the six months ended June 30, 2021. This included a $6.5 million increase in costs of personnel supporting period-over-period growth of sales and customers and ongoing infrastructure investments and support costs to enable the continued expansion of customer transaction volumes for our cloud-based subscription customers. In addition, this included an increase in depreciation and amortization of $10.2 million associated with our ongoing investments in internal-use software for cloud-based subscription solutions, software developed for sale for new products and enhancements to existing products, and acquired intangible assets. As a percentage of software subscriptions revenues, the cost of software subscriptions revenues increased to 34.9% in 2022 compared to 30.3% for the same period in 2021.</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Services Revenues</w:t>
      </w:r>
    </w:p>
    <w:p>
      <w:pPr>
        <w:spacing w:after="0" w:line="26"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2200"/>
        <w:spacing w:after="0" w:line="231" w:lineRule="auto"/>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1,980</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services revenues increased $2.0 million, or 9.0%, to $23.9 million for the six months ended June 30, 2022 compared to $21.9 million for the six months ended June 30, 2021. This increase was primarily driven by an increase in costs of service delivery personnel to support revenue growth in software subscription-related services and our managed services offering. As a percentage of services revenues, cost of services revenues decreased to 66.2% in 2022 compared to 72.3% for the same period in 2021.</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0"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23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7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19,943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23,385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(3,442)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$3.4 million, or 14.7%, to $19.9 million for the six months ended June 30, 2022 compared to $23.4 million for the six months ended June 30, 2021. The $3.4 million decrease in research and development expenses is primarily due to an increase in development work capitalized associated with new solutions to address end-to-end data analysis and compliance needs of our customers and continued expansion of connectors and APIs to customer ERP and other software platforms. As a percentage of total revenues, research and development expenses decreased to 8.5% in 2022 compared to 11.5% for the same period in 2021. Research and development expense excludes those costs that have been capitalized for solutions that have met our capitalization policy.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250"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18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3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3"/>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59,431</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14,416</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Selling and marketing expenses increased $14.4 million, or 32.0%, to $59.4 million for the six months ended June 30, 2022 compared to $45.0 million for the same period in 2021. This increase was primarily driven by a $8.7 million increase in payroll and related expenses associated with the growth in period-over-period subscription sales and services revenues and expansion of our partner and channel management programs. In addition, there was an increase of $3.6 million in advertising and promotional spending and expanded brand awareness efforts as well as an increase of $2.1 million associated with amortization of acquired intangible assets associated with prior acquisitions. As a percentage of total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revenues, selling and marketing expenses increased to 25.4% for the three months ended June 30, 2022 compared to 22.2% for the same period in 2021.</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50" w:lineRule="exact"/>
        <w:rPr>
          <w:sz w:val="20"/>
          <w:szCs w:val="20"/>
          <w:color w:val="auto"/>
        </w:rPr>
      </w:pPr>
    </w:p>
    <w:p>
      <w:pPr>
        <w:jc w:val="center"/>
        <w:ind w:left="23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22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6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9,124</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1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$9.1 million, or 18.4%, to $58.8 million for the six months ended June 30, 2022 compared to $49.7 million for the same period in 2021. General and administrative expenses increased $11.8 million primarily driven by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This increase is offset by a decline in stock-based compensation of $2.7 million for the six months ended June 30, 2022 over the same period in 2021. As a percentage of total revenues, general and administrative expenses increased to 25.1% in 2022 compared to 24.5% for the same period in 2021.</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Net</w:t>
      </w:r>
    </w:p>
    <w:p>
      <w:pPr>
        <w:spacing w:after="0" w:line="23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5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(3,660)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(84.1)%</w:t>
            </w: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Other operating expense, net, decreased $3.7 million, or 84.1%, to $0.7 million for the six months ended June 30, 2022 compared to $4.4 million for the same period in 2021. This decrease was primarily due to $4.5 million in transaction costs associated with the Taxamo acquisition in 2021, offset by a $0.7 million increase in acquisition contingent consideration liability in 2022. As a percentage of total revenues, other operating expense, net decreased to 0.3% in 2022 compared to 2.1% in 2021.</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3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568</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Interest expense, net increased $0.6 million, or 378.7%, for the six months ended June 30, 2022 to $0.7 million from $0.2 million for the comparable period in 2021. Interest expense related to bank debt and the discount recorded associated with the LCR-Dixon deferred purchase consideration increased $0.3 million and $0.3 million, respectively. Interest expense during the period also included $0.4 million in increased deferred financing costs associated with the Second Amendment to the Credit Agreement (the “Second Amendment”) which was consummated during 2022.</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50"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19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4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3,868</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(151.1)%</w:t>
            </w:r>
          </w:p>
        </w:tc>
      </w:tr>
    </w:tbl>
    <w:p>
      <w:pPr>
        <w:spacing w:after="0" w:line="21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(benefit) increased to expense of $1.3 million from a benefit of $2.6 million, resulting in a change of 151.1%, for the six months ended June 30, 2022 compared to the same period in 2021. This expense increase was primarily driven by decreases in tax benefits on exercises and vestings of stock awards partially offset by the unfavorable impact of limitations on deductions of certain employees’ compensation under Section 162(m).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jc w:val="both"/>
        <w:ind w:left="100" w:right="139" w:firstLine="292"/>
        <w:spacing w:after="0" w:line="270" w:lineRule="auto"/>
        <w:rPr>
          <w:sz w:val="20"/>
          <w:szCs w:val="20"/>
          <w:color w:val="auto"/>
        </w:rPr>
      </w:pPr>
      <w:r>
        <w:rPr>
          <w:rFonts w:ascii="Times New Roman" w:cs="Times New Roman" w:eastAsia="Times New Roman" w:hAnsi="Times New Roman"/>
          <w:sz w:val="18"/>
          <w:szCs w:val="18"/>
          <w:color w:val="auto"/>
        </w:rPr>
        <w:t>As of June 30, 2022, we had unrestricted cash and cash equivalents of $85.6 million and retained earnings of $19.0 million. In addition, we had $6.9 million in investment securities with a maturity date exceeding three months as of June 30, 2022 not included in unrestricted cash and cash equivalents. Our primary sources of capital to date have been from sales of our solutions, proceeds from bank lending facilities and the initial public offering of our Class A common stock in July 2020 (the “Offering”). On March 8, 2022, we entered into the Second Amendment which increased our existing $100.0 million credit facility to a $250.0 million facility consisting of a $50.0 million term loan (the “Term Loan”) and a $200.0 million line of credit (the “Line of Credit”). The proceeds from the Term Loan will be used for working capital, capital expenditures, permitted acquisitions and general corporate purposes. We have no outstanding borrowings under the Line of Credit at June 30, 2022.</w:t>
      </w:r>
    </w:p>
    <w:p>
      <w:pPr>
        <w:spacing w:after="0" w:line="18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resources and our bank line of credit will be sufficient to meet our capital requirements and fund our operations for at least the next 12 months. However, if these sources are insufficient to satisfy our liquidity requirements, we may seek to sell additional equity or debt securities. If we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37"/>
        </w:trPr>
        <w:tc>
          <w:tcPr>
            <w:tcW w:w="4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4"/>
          </w:tcPr>
          <w:p>
            <w:pPr>
              <w:jc w:val="right"/>
              <w:ind w:right="133"/>
              <w:spacing w:after="0" w:line="137" w:lineRule="exact"/>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176.9 %</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(179,620)</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186,903</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2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 w:right="5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$14.6 million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compared to net cash provided by operating activities of $26.5 million for the same period in 2021, a decrease of $11.9 million. The decrease in cash provided by operating activities in 2022 was driven primarily by the net decrease in changes in operating assets and liabilities of $15.1 million period over period.</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$41.2 million for the six months ended June 30,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$214.6 million for the same period in 2021, a decrease in use of funds for investing activities of $173.4 million. This decrease was primarily due to a net decrease in cash paid for acquisitions of $193.1 million. During the six months ended June 30, 2021, we acquired Taxamo for approximately $187.5 million in cash, net of $2.6 million of Taxamo’s cash received in the acquisition, and Tellutax, LLC (“Tellutax”) for cash paid of $6.1 million. Investments in property and equipment for the six months ended June 30. 2022 increased $11.9 million over 2021 due to increased investments in commercial cloud-based customer solutions and internal infrastructure systems and tools. During the six months ended June 30, 2022, we also purchased $6.9 million of investment securities.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$34.5 million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compared to $8.7 million for the same period in 2021, an increase in cash of $25.7 million. Net cash provided by financing activities was primarily driven by cash received in connection with borrowings under the Term Loan of $50.0 million associated with the Second Amendment, offset by $10.0 million in payments for acquisition purchase commitment liabilities. Net cash provided by financing activities of $8.7 million for the six months ended June 30, 2021 was primarily driven by the increase in customer funds obligations of $22.2 million due primarily to timing differences between receipt of funds from customers and taxing jurisdiction withdrawls of these funds, partially offset by $10.7 million in payments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taxes in connection with the exercise of stock options whereby the award holders returned shares to us to satisfy their tax obligations.</w:t>
      </w:r>
    </w:p>
    <w:p>
      <w:pPr>
        <w:spacing w:after="0" w:line="158" w:lineRule="exact"/>
        <w:rPr>
          <w:sz w:val="20"/>
          <w:szCs w:val="20"/>
          <w:color w:val="auto"/>
        </w:rPr>
      </w:pPr>
    </w:p>
    <w:p>
      <w:pPr>
        <w:jc w:val="both"/>
        <w:ind w:left="60" w:right="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 As of June 30, 2022, we had a $200.0 million Line of Credit with no outstanding borrowings and a $50.0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Loan in connection with the Second Amendment. Interest on outstanding borrowings accrue at a base rate plus an applicable margin (4.75% as of June 30, 2022) or the Secured Overnight Financing Rate (“SOFR”) plus an applicable margin (2.63% as of June 30, 2022). We have $49.5 million in bank debt outstanding at June 30, 2022 associated with the Term Loan.</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Funds Held for Customers and Customer Funds Obligations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maintain trust accounts with financial institutions, which allows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Other than the borrowings under the Second Amendment in June 30, 2022, there have been no material updates or changes to our contractual obligations and commitments compared to contractual obligations and commitments described in our 2021 Annual Report.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metrics identified below to evaluate growth trends, measure our performance, formulate financial projections and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 and Average Annual Revenue Per Customer (“AARPC”).</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AARPC represents average annual revenue per customer and is calculated by dividing ARR by the number of software subscription customers at the end of the respective period.</w:t>
      </w:r>
    </w:p>
    <w:p>
      <w:pPr>
        <w:spacing w:after="0" w:line="101"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2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Recurring Revenue</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61.9</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ARR increased by $61.9 million, or 18.4%, at June 30, 2022, as compared to June 30, 2021. The increase was primarily driven by $34.6 million of growth in revenues from existing customers through their expanded use of our solutions as well as price increases, and $27.3 million in growth of subscriptions of our tax solutions to new customers.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number of customers and AARPC increased to 4,242 customers and approximately $93,850, respectively, at June 30, 2022, from 4,175 and approximately $80,500, respectively, at June 30, 2021. The increase in customers and AARPC was primarily due to expansion of usage by existing customers and adding new customers through organic growth.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Rate.</w:t>
      </w:r>
    </w:p>
    <w:p>
      <w:pPr>
        <w:spacing w:after="0" w:line="229" w:lineRule="exact"/>
        <w:rPr>
          <w:sz w:val="20"/>
          <w:szCs w:val="20"/>
          <w:color w:val="auto"/>
        </w:rPr>
      </w:pPr>
    </w:p>
    <w:p>
      <w:pPr>
        <w:jc w:val="both"/>
        <w:ind w:left="60" w:right="59" w:firstLine="342"/>
        <w:spacing w:after="0" w:line="255" w:lineRule="auto"/>
        <w:rPr>
          <w:sz w:val="20"/>
          <w:szCs w:val="20"/>
          <w:color w:val="auto"/>
        </w:rPr>
      </w:pPr>
      <w:r>
        <w:rPr>
          <w:rFonts w:ascii="Times New Roman" w:cs="Times New Roman" w:eastAsia="Times New Roman" w:hAnsi="Times New Roman"/>
          <w:sz w:val="18"/>
          <w:szCs w:val="18"/>
          <w:color w:val="auto"/>
        </w:rPr>
        <w:t>We believe that our Net Revenue Retention Rate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w:t>
      </w:r>
    </w:p>
    <w:p>
      <w:pPr>
        <w:spacing w:after="0" w:line="1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7620</wp:posOffset>
            </wp:positionV>
            <wp:extent cx="10369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ind w:left="6380"/>
        <w:spacing w:after="0"/>
        <w:tabs>
          <w:tab w:leader="none" w:pos="73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Revenue Retention Rate</w:t>
            </w:r>
          </w:p>
        </w:tc>
        <w:tc>
          <w:tcPr>
            <w:tcW w:w="96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110 %</w:t>
            </w:r>
          </w:p>
        </w:tc>
        <w:tc>
          <w:tcPr>
            <w:tcW w:w="9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106 %</w:t>
            </w: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400 basis point increase in NRR to 110% at June 30, 2022 from 106% for the same period in 2021 was primarily attributable to an increase in sales growth to existing customers as compared to the prior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Revenue Retention Rate (“GRR”)</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spacing w:after="0" w:line="1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7620</wp:posOffset>
            </wp:positionV>
            <wp:extent cx="1028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ind w:left="6340"/>
        <w:spacing w:after="0"/>
        <w:tabs>
          <w:tab w:leader="none" w:pos="72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p>
    <w:tbl>
      <w:tblPr>
        <w:tblLayout w:type="fixed"/>
        <w:tblInd w:w="980" w:type="dxa"/>
        <w:tblCellMar>
          <w:top w:w="0" w:type="dxa"/>
          <w:left w:w="0" w:type="dxa"/>
          <w:bottom w:w="0" w:type="dxa"/>
          <w:right w:w="0" w:type="dxa"/>
        </w:tblCellMar>
      </w:tblPr>
      <w:tr>
        <w:trPr>
          <w:trHeight w:val="20"/>
        </w:trPr>
        <w:tc>
          <w:tcPr>
            <w:tcW w:w="5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90"/>
        </w:trPr>
        <w:tc>
          <w:tcPr>
            <w:tcW w:w="5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Gross Revenue Retention Rate</w:t>
            </w:r>
          </w:p>
        </w:tc>
        <w:tc>
          <w:tcPr>
            <w:tcW w:w="96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96 %</w:t>
            </w:r>
          </w:p>
        </w:tc>
        <w:tc>
          <w:tcPr>
            <w:tcW w:w="92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94 %</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taxes, depreciation, and amortization, as adjusted to exclude charges for asset impairments, stock-based compensation expense, severance expense, acquisition contingent consideration and transaction costs. Adjusted EBITDA margin represents Adjusted EBITDA divided by total revenues for the same period. For purposes of comparison, our net (loss) income was $(5.5) million and $0.8 million for the three months ended June 30, 2022 and 2021, respectively, while our net (loss) income margin was (4.6)% and 0.8% over the same periods, respectively. Additionally, our net (loss) income was $(5.9) million and $3.1 million for the six</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months ended June 30, 2022 and 2021, respectively, while our net (loss) income margin was (2.5)% and 1.5% over the same periods, respectively.</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060" w:type="dxa"/>
            <w:vAlign w:val="bottom"/>
            <w:gridSpan w:val="7"/>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188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property and equipment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capitalized software and</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intangible assets - cost of subscription revenues</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 selling and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expense</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contingent consideration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119,276</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104,938</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234,260</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203,174</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88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decrease in Adjusted EBITDA for the three months ended June 30, 2022 of $1.4 million over the comparable period in 2021 was primarily driven by an increase in non-GAAP gross profit, offset by an increase in operating expenses including additional sales and marketing and general and administrative expenses. Adjusted EBITDA margin decreased to 14.9% for the three months ended June 30, 2022 compared to 18.3% for the comparable period in 2021 primarily due to increased investments in 2022 in sales and marketing to drive future revenue growth opportunities and infrastructure modernization investments to support future productivity improvements and scale.</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decrease in Adjusted EBITDA for the six months ended June 30, 2022 of $0.4 million over the comparable period in 2021 was primarily driven by an increase in non-GAAP in gross profit, offset by an increase in operating expenses including additional sales and marketing and research and development investments. Adjusted EBITDA margin declined to 15.8% for the six months ended June 30, 2022 compared to 18.4% for the comparable period in 2021 primarily due to increased investments in 2022 in sales and marketing to drive future revenue growth opportunities and infrastructure modernization investments to support future productivity improvements and scale.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use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define free cash flow margin as free cash flow divided by total revenues for the same period. Our net cash provided by operating activities was $12.0 million and $29.4 million for the three months ended June 30, 2022 and 2021, respectively, while our operating cash flow margin was 10.0% and 28.0% over the same periods, respectively. Our net cash provided by operating activities was $14.6 million and $26.5 million for the six months ended June 30, 2022 and 2021, respectively, while our operating cash flow margin was 6.2% and 13.0% over the same periods, respectively.</w:t>
      </w:r>
    </w:p>
    <w:p>
      <w:pPr>
        <w:spacing w:after="0" w:line="17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gridSpan w:val="7"/>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6"/>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4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Cash provided by operating</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29,430</w:t>
            </w:r>
          </w:p>
        </w:tc>
        <w:tc>
          <w:tcPr>
            <w:tcW w:w="1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2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26,465</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Capitalized software additions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104,938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234,260</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203,174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Free cash flow decreased by $21.8 million for the three months ended June 30, 2022, as compared to the same period in 2021. This decrease was primarily driven by a decrease in cash provided by operating activities of $17.4 million, combined with increased investments of $4.4 million in commercial and internal use software for our cloud-based solutions included in property and equipment and on-premise customer solutions included in capitalized software additions. Free cash flow margin decreased to (4.2)% for the three months ended June 30, 2022, compared to 16.0% for the same period in 2021.</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Free cash flow decreased by $24.6 million for the six months ended June 30, 2022 as compared to the same period in 2021. This decrease was primarily driven by a decrease in net cash provided by operating activities of $11.9 million, combined with an increase of $12.7 million in investments in property and equipment additions to support our internal infrastructure investments. Free cash flow margin decreased to (8.2)% for the six months ended June 30, 2022, compared to 2.7% for the same period in 2021.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Non-GAAP Financial Measures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76" w:lineRule="exact"/>
        <w:rPr>
          <w:sz w:val="20"/>
          <w:szCs w:val="20"/>
          <w:color w:val="auto"/>
        </w:rPr>
      </w:pPr>
    </w:p>
    <w:p>
      <w:pPr>
        <w:jc w:val="both"/>
        <w:ind w:left="1040" w:right="7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79"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services is determined by adding back to GAAP cost of revenues, services, the stock-based compensation expense included in cost of revenues, services for the respective periods.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is determined by dividing non-GAAP gross profit by total revenues for the respective periods.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research and development expense is determined by adding back to GAAP research and development expense the stock-based compensation expense included in research and development expense for the respective periods.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general and administrative expense is determined by adding back to GAAP general and administrative expense the stock-based compensation expense and severance expense included in general and administrative expense for the respective periods.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severance expense, acquisition contingent consideration, and transaction costs included in GAAP loss or income from operations for the respective periods.</w:t>
      </w:r>
    </w:p>
    <w:p>
      <w:pPr>
        <w:spacing w:after="0" w:line="183" w:lineRule="exact"/>
        <w:rPr>
          <w:rFonts w:ascii="Times New Roman" w:cs="Times New Roman" w:eastAsia="Times New Roman" w:hAnsi="Times New Roman"/>
          <w:sz w:val="18"/>
          <w:szCs w:val="18"/>
          <w:color w:val="auto"/>
        </w:rPr>
      </w:pPr>
    </w:p>
    <w:p>
      <w:pPr>
        <w:jc w:val="both"/>
        <w:ind w:left="1040" w:right="79" w:hanging="315"/>
        <w:spacing w:after="0" w:line="254"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is determined by adding back to GAAP net loss or income the income tax benefit or expense, stock-based compensation expense, depreciation and amortization of capitalized software and acquired intangible assets included in cost of subscription revenues, amortization of acquired intangible assets included in selling and marketing expense, severance expense, acquisition contingent consideration and transaction costs included in GAAP net loss or income for the respective periods to determine non-GAAP loss or income before income taxes. Non-GAAP income before income taxes is then adjusted for income taxes calculated using the respective statutory tax rates for applicable jurisdictions, which for purposes of this determination were assumed to be 25.5%.</w:t>
      </w:r>
    </w:p>
    <w:p>
      <w:pPr>
        <w:spacing w:after="0" w:line="192" w:lineRule="exact"/>
        <w:rPr>
          <w:sz w:val="20"/>
          <w:szCs w:val="20"/>
          <w:color w:val="auto"/>
        </w:rPr>
      </w:pPr>
    </w:p>
    <w:p>
      <w:pPr>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schedules reflect our additional non-GAAP financial measures and reconcile our additional non-GAAP financial measures to the related GAAP financial measures.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5"/>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92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cost of revenues, software subscriptions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39,465</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cost of revenues, services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23,192</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84,287</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143,032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180" w:type="dxa"/>
            <w:vAlign w:val="bottom"/>
          </w:tcPr>
          <w:p>
            <w:pPr>
              <w:spacing w:after="0"/>
              <w:rPr>
                <w:sz w:val="18"/>
                <w:szCs w:val="18"/>
                <w:color w:val="auto"/>
              </w:rPr>
            </w:pP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70.7 %</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20" w:type="dxa"/>
            <w:vAlign w:val="bottom"/>
          </w:tcPr>
          <w:p>
            <w:pPr>
              <w:spacing w:after="0"/>
              <w:rPr>
                <w:sz w:val="18"/>
                <w:szCs w:val="18"/>
                <w:color w:val="auto"/>
              </w:rPr>
            </w:pPr>
          </w:p>
        </w:tc>
        <w:tc>
          <w:tcPr>
            <w:tcW w:w="9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70.4 %</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 expense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selling and marketing expense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28,559</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54,190</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general and administrative expense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41,601</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30,738</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23,479</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5"/>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92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Cost of Revenues, Software Subscriptions: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Cost of revenues, software subscriptions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36,209</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52,419</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Pr>
          <w:p>
            <w:pPr>
              <w:spacing w:after="0"/>
              <w:rPr>
                <w:sz w:val="18"/>
                <w:szCs w:val="18"/>
                <w:color w:val="auto"/>
              </w:rPr>
            </w:pPr>
          </w:p>
        </w:tc>
        <w:tc>
          <w:tcPr>
            <w:tcW w:w="8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(479)</w:t>
            </w:r>
          </w:p>
        </w:tc>
        <w:tc>
          <w:tcPr>
            <w:tcW w:w="180" w:type="dxa"/>
            <w:vAlign w:val="bottom"/>
          </w:tcPr>
          <w:p>
            <w:pPr>
              <w:spacing w:after="0"/>
              <w:rPr>
                <w:sz w:val="18"/>
                <w:szCs w:val="18"/>
                <w:color w:val="auto"/>
              </w:rPr>
            </w:pPr>
          </w:p>
        </w:tc>
        <w:tc>
          <w:tcPr>
            <w:tcW w:w="84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18"/>
                <w:szCs w:val="18"/>
                <w:color w:val="auto"/>
              </w:rPr>
            </w:pPr>
          </w:p>
        </w:tc>
        <w:tc>
          <w:tcPr>
            <w:tcW w:w="920" w:type="dxa"/>
            <w:vAlign w:val="bottom"/>
            <w:gridSpan w:val="2"/>
          </w:tcPr>
          <w:p>
            <w:pPr>
              <w:jc w:val="right"/>
              <w:ind w:right="173"/>
              <w:spacing w:after="0"/>
              <w:rPr>
                <w:sz w:val="20"/>
                <w:szCs w:val="20"/>
                <w:color w:val="auto"/>
              </w:rPr>
            </w:pPr>
            <w:r>
              <w:rPr>
                <w:rFonts w:ascii="Times New Roman" w:cs="Times New Roman" w:eastAsia="Times New Roman" w:hAnsi="Times New Roman"/>
                <w:sz w:val="16"/>
                <w:szCs w:val="16"/>
                <w:color w:val="auto"/>
              </w:rPr>
              <w:t>(925)</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(1,132)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 – cost of subscription revenues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(12,386)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6"/>
                <w:szCs w:val="16"/>
                <w:color w:val="auto"/>
              </w:rPr>
              <w:t>(5,917)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6"/>
                <w:szCs w:val="16"/>
                <w:color w:val="auto"/>
              </w:rPr>
              <w:t>(22,083)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6"/>
                <w:szCs w:val="16"/>
                <w:color w:val="auto"/>
              </w:rPr>
              <w:t>(11,822)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cost of revenues, software subscriptions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23,344</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20,340</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46,114</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Cost of Revenues, Services: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Cost of revenues, services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11,920</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21,893</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Pr>
          <w:p>
            <w:pPr>
              <w:spacing w:after="0"/>
              <w:rPr>
                <w:sz w:val="18"/>
                <w:szCs w:val="18"/>
                <w:color w:val="auto"/>
              </w:rPr>
            </w:pPr>
          </w:p>
        </w:tc>
        <w:tc>
          <w:tcPr>
            <w:tcW w:w="8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(275)</w:t>
            </w:r>
          </w:p>
        </w:tc>
        <w:tc>
          <w:tcPr>
            <w:tcW w:w="180" w:type="dxa"/>
            <w:vAlign w:val="bottom"/>
          </w:tcPr>
          <w:p>
            <w:pPr>
              <w:spacing w:after="0"/>
              <w:rPr>
                <w:sz w:val="18"/>
                <w:szCs w:val="18"/>
                <w:color w:val="auto"/>
              </w:rPr>
            </w:pPr>
          </w:p>
        </w:tc>
        <w:tc>
          <w:tcPr>
            <w:tcW w:w="84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18"/>
                <w:szCs w:val="18"/>
                <w:color w:val="auto"/>
              </w:rPr>
            </w:pPr>
          </w:p>
        </w:tc>
        <w:tc>
          <w:tcPr>
            <w:tcW w:w="920" w:type="dxa"/>
            <w:vAlign w:val="bottom"/>
            <w:gridSpan w:val="2"/>
          </w:tcPr>
          <w:p>
            <w:pPr>
              <w:jc w:val="right"/>
              <w:ind w:right="173"/>
              <w:spacing w:after="0"/>
              <w:rPr>
                <w:sz w:val="20"/>
                <w:szCs w:val="20"/>
                <w:color w:val="auto"/>
              </w:rPr>
            </w:pPr>
            <w:r>
              <w:rPr>
                <w:rFonts w:ascii="Times New Roman" w:cs="Times New Roman" w:eastAsia="Times New Roman" w:hAnsi="Times New Roman"/>
                <w:sz w:val="16"/>
                <w:szCs w:val="16"/>
                <w:color w:val="auto"/>
              </w:rPr>
              <w:t>(681)</w:t>
            </w:r>
          </w:p>
        </w:tc>
        <w:tc>
          <w:tcPr>
            <w:tcW w:w="140" w:type="dxa"/>
            <w:vAlign w:val="bottom"/>
          </w:tcPr>
          <w:p>
            <w:pPr>
              <w:spacing w:after="0"/>
              <w:rPr>
                <w:sz w:val="18"/>
                <w:szCs w:val="18"/>
                <w:color w:val="auto"/>
              </w:rPr>
            </w:pPr>
          </w:p>
        </w:tc>
        <w:tc>
          <w:tcPr>
            <w:tcW w:w="84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(1,216)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8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cost of revenues, services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71,147</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67,559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141,265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128,862</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 - cost of subscription revenues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12,386</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22,083</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84,287</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74,670</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164,954</w:t>
            </w:r>
          </w:p>
        </w:tc>
        <w:tc>
          <w:tcPr>
            <w:tcW w:w="2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119,276</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234,260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203,174</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w w:val="73"/>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Research and Development Expense:</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Research and development expense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10,310</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23,385</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Pr>
          <w:p>
            <w:pPr>
              <w:spacing w:after="0"/>
              <w:rPr>
                <w:sz w:val="18"/>
                <w:szCs w:val="18"/>
                <w:color w:val="auto"/>
              </w:rPr>
            </w:pPr>
          </w:p>
        </w:tc>
        <w:tc>
          <w:tcPr>
            <w:tcW w:w="8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(498)</w:t>
            </w:r>
          </w:p>
        </w:tc>
        <w:tc>
          <w:tcPr>
            <w:tcW w:w="180" w:type="dxa"/>
            <w:vAlign w:val="bottom"/>
          </w:tcPr>
          <w:p>
            <w:pPr>
              <w:spacing w:after="0"/>
              <w:rPr>
                <w:sz w:val="18"/>
                <w:szCs w:val="18"/>
                <w:color w:val="auto"/>
              </w:rPr>
            </w:pPr>
          </w:p>
        </w:tc>
        <w:tc>
          <w:tcPr>
            <w:tcW w:w="84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8"/>
                <w:szCs w:val="18"/>
                <w:color w:val="auto"/>
              </w:rPr>
            </w:pPr>
          </w:p>
        </w:tc>
        <w:tc>
          <w:tcPr>
            <w:tcW w:w="920" w:type="dxa"/>
            <w:vAlign w:val="bottom"/>
            <w:gridSpan w:val="2"/>
          </w:tcPr>
          <w:p>
            <w:pPr>
              <w:jc w:val="right"/>
              <w:ind w:right="173"/>
              <w:spacing w:after="0"/>
              <w:rPr>
                <w:sz w:val="20"/>
                <w:szCs w:val="20"/>
                <w:color w:val="auto"/>
              </w:rPr>
            </w:pPr>
            <w:r>
              <w:rPr>
                <w:rFonts w:ascii="Times New Roman" w:cs="Times New Roman" w:eastAsia="Times New Roman" w:hAnsi="Times New Roman"/>
                <w:sz w:val="16"/>
                <w:szCs w:val="16"/>
                <w:color w:val="auto"/>
              </w:rPr>
              <w:t>(612)</w:t>
            </w:r>
          </w:p>
        </w:tc>
        <w:tc>
          <w:tcPr>
            <w:tcW w:w="140" w:type="dxa"/>
            <w:vAlign w:val="bottom"/>
          </w:tcPr>
          <w:p>
            <w:pPr>
              <w:spacing w:after="0"/>
              <w:rPr>
                <w:sz w:val="18"/>
                <w:szCs w:val="18"/>
                <w:color w:val="auto"/>
              </w:rPr>
            </w:pPr>
          </w:p>
        </w:tc>
        <w:tc>
          <w:tcPr>
            <w:tcW w:w="84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(1,132)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8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research and development expense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Selling and Marketing Expense:</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Selling and marketing expense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31,979</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59,431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45,015</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Pr>
          <w:p>
            <w:pPr>
              <w:spacing w:after="0"/>
              <w:rPr>
                <w:sz w:val="17"/>
                <w:szCs w:val="17"/>
                <w:color w:val="auto"/>
              </w:rPr>
            </w:pPr>
          </w:p>
        </w:tc>
        <w:tc>
          <w:tcPr>
            <w:tcW w:w="8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(1,401)</w:t>
            </w:r>
          </w:p>
        </w:tc>
        <w:tc>
          <w:tcPr>
            <w:tcW w:w="180" w:type="dxa"/>
            <w:vAlign w:val="bottom"/>
          </w:tcPr>
          <w:p>
            <w:pPr>
              <w:spacing w:after="0"/>
              <w:rPr>
                <w:sz w:val="17"/>
                <w:szCs w:val="17"/>
                <w:color w:val="auto"/>
              </w:rPr>
            </w:pPr>
          </w:p>
        </w:tc>
        <w:tc>
          <w:tcPr>
            <w:tcW w:w="84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(1,433)</w:t>
            </w:r>
          </w:p>
        </w:tc>
        <w:tc>
          <w:tcPr>
            <w:tcW w:w="120" w:type="dxa"/>
            <w:vAlign w:val="bottom"/>
          </w:tcPr>
          <w:p>
            <w:pPr>
              <w:spacing w:after="0"/>
              <w:rPr>
                <w:sz w:val="17"/>
                <w:szCs w:val="17"/>
                <w:color w:val="auto"/>
              </w:rPr>
            </w:pPr>
          </w:p>
        </w:tc>
        <w:tc>
          <w:tcPr>
            <w:tcW w:w="920" w:type="dxa"/>
            <w:vAlign w:val="bottom"/>
            <w:gridSpan w:val="2"/>
          </w:tcPr>
          <w:p>
            <w:pPr>
              <w:jc w:val="right"/>
              <w:ind w:right="173"/>
              <w:spacing w:after="0"/>
              <w:rPr>
                <w:sz w:val="20"/>
                <w:szCs w:val="20"/>
                <w:color w:val="auto"/>
              </w:rPr>
            </w:pPr>
            <w:r>
              <w:rPr>
                <w:rFonts w:ascii="Times New Roman" w:cs="Times New Roman" w:eastAsia="Times New Roman" w:hAnsi="Times New Roman"/>
                <w:sz w:val="16"/>
                <w:szCs w:val="16"/>
                <w:color w:val="auto"/>
              </w:rPr>
              <w:t>(2,973)</w:t>
            </w:r>
          </w:p>
        </w:tc>
        <w:tc>
          <w:tcPr>
            <w:tcW w:w="140" w:type="dxa"/>
            <w:vAlign w:val="bottom"/>
          </w:tcPr>
          <w:p>
            <w:pPr>
              <w:spacing w:after="0"/>
              <w:rPr>
                <w:sz w:val="17"/>
                <w:szCs w:val="17"/>
                <w:color w:val="auto"/>
              </w:rPr>
            </w:pPr>
          </w:p>
        </w:tc>
        <w:tc>
          <w:tcPr>
            <w:tcW w:w="84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(2,720)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(2,019)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6"/>
                <w:szCs w:val="16"/>
                <w:color w:val="auto"/>
              </w:rPr>
              <w:t>(2,268)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6"/>
                <w:szCs w:val="16"/>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selling and marketing expense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28,559</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23,346</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54,190</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General and Administrative Expense (1):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General and administrative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(1,541)</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(3,087)</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(3,936)</w:t>
            </w:r>
          </w:p>
        </w:tc>
        <w:tc>
          <w:tcPr>
            <w:tcW w:w="2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(6,628)</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(258)</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(381)</w:t>
            </w: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general and administrative expense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28,285</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54,524</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-7620</wp:posOffset>
            </wp:positionV>
            <wp:extent cx="21863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ind w:left="60" w:right="139" w:hanging="10"/>
        <w:spacing w:after="0" w:line="272" w:lineRule="auto"/>
        <w:tabs>
          <w:tab w:leader="none" w:pos="28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six month period ended June 30, 2021 includes $150 of transaction costs previously presented as a component of general and administrative expenses that was reclassified to other operating expense, net, in the condensed consolidated statement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-387985</wp:posOffset>
            </wp:positionV>
            <wp:extent cx="21863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86305" cy="8890"/>
                    </a:xfrm>
                    <a:prstGeom prst="rect">
                      <a:avLst/>
                    </a:prstGeom>
                    <a:noFill/>
                  </pic:spPr>
                </pic:pic>
              </a:graphicData>
            </a:graphic>
          </wp:anchor>
        </w:drawing>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(4,296)</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(3,828)</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assets - cost of subscription revenues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 expense</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contingent consideration</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Transaction costs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14,561</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30,738</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(5,520)</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(5,854)</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(1,881)</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(2,560)</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 cost of subscription revenues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 expense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contingent consideration</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 costs</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Non-GAAP income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30,020</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adjustment at statutory rate</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(3,528)</w:t>
            </w: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(4,257)</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(7,655)</w:t>
            </w:r>
          </w:p>
        </w:tc>
        <w:tc>
          <w:tcPr>
            <w:tcW w:w="2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(8,037)</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critical accounting policies that reflect our more significant judgments and estimates used in the preparation of our condensed consolidated financial statements include software development costs, business combinations, goodwill, accounting for stock-based compensation, revenue recognition, and income taxes, which are described in Note 1, “Summary of Significant Accounting Policies” to the condensed consolidated financial statements included in this Quarterly Report on Form 10-Q.</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updates or changes to our critical accounting estimates compared to the critical accounting estimates described in our 2021 Annual Report.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further information on recent accounting pronouncements, refer to Note 1, “Summary of Significant Accounting Policies” to the condensed consolidated financial statements included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had unrestricted cash and cash equivalents of $85.6 million and had $49.5 million in outstanding bank debt related to Term Loans as of June 30, 2022.</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our investment portfolio as a result of changes in interest rates. Increases or declines in interest rates would be expected to augment or reduce future interest income by an insignificant amount.</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are exposed to risk related to changes in interest rates. Borrowings under the Second Amendment bear interest at rates that are variable. Increases in the bank prime or SOFR rates would increase the interest rate on any future outstanding borrowings. Any debt we incur in the future may also bear interest at variable rates. For each 100 basis point increase in the bank prime or SOFR rates, this would result in a projected increase in interest expense of $0.5 million annually.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six months ended June 30, 2022 and 2021, approximately 4% and 2%, respectively, of our revenues were denominated in currencies other than U.S. dollars.</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loss or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 liabilities associated with this acquisition are expected to increase our exposure to fluctuations of the Brazilian Real over time. At June 30, 2022, outstanding foreign currency forward contracts hedge approximately 50% of our exposure to adverse fluctuations in the Brazilian Real associated with these future purchase commitment liabilities.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Historically, we do not believe that inflation has had a material effect on our business, financial condition or results of operations. If our costs were to become subject to significant inflationary pressures, we may not be able to fully offset</w:t>
      </w: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such higher costs through price increases. Our inability or failure to do so could harm our business, financial condition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 13a-15(b) of the Securities Exchange Act of 1934, as amended (the “Exchange Act”).</w:t>
      </w:r>
    </w:p>
    <w:p>
      <w:pPr>
        <w:spacing w:after="0" w:line="17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principal executive officer and principal financial officer concluded that, as of June 30, 2022, our disclosure controls and procedures were effective at a reasonable assurance level.</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interfering in our contractual relations and to prohibit them from using or disclosing in any way our confidential, proprietary, and/or trade secret information. We are also seeking monetary damages, including punitive damages, and attorneys’ fees. On February 7, 2022, Avalara filed a motion to dismiss the complaint for lack of personal jurisdiction. Avalara withdrew that motion on February 17, 2022, and filed a renewed motion to dismiss the amended complaint for lack of personal matter jurisdiction on March 2, 2022. Vertex’s opposition to the motion to dismiss was filed on March 23, 2022. On March 30, 2022, Avalara filed a motion for leave to file a reply brief in support of its motion to dismiss, and on April 6, 2022, Vertex filed a motion for leave to file a sur-reply brief. We believe that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This document incorporates by reference various risk factors discussed in the Company’s 2021 Annual Report, under the heading “Risk Factors,” and the Company’s Quarterly Report on Form 10-Q for the three months ended March 31, 2022, under the heading “Risk Factors.” There are no material changes to the risk factors discussed in theses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320" w:type="dxa"/>
            <w:vAlign w:val="bottom"/>
            <w:gridSpan w:val="10"/>
          </w:tcPr>
          <w:p>
            <w:pPr>
              <w:ind w:left="4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482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File No.   Exhibit   Filing Date   Filed Herewith   Furnished Herewith</w:t>
            </w:r>
          </w:p>
        </w:tc>
      </w:tr>
      <w:tr>
        <w:trPr>
          <w:trHeight w:val="155"/>
        </w:trPr>
        <w:tc>
          <w:tcPr>
            <w:tcW w:w="100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1</w:t>
            </w:r>
          </w:p>
        </w:tc>
        <w:tc>
          <w:tcPr>
            <w:tcW w:w="200" w:type="dxa"/>
            <w:vAlign w:val="bottom"/>
          </w:tcPr>
          <w:p>
            <w:pPr>
              <w:spacing w:after="0"/>
              <w:rPr>
                <w:sz w:val="13"/>
                <w:szCs w:val="13"/>
                <w:color w:val="auto"/>
              </w:rPr>
            </w:pPr>
          </w:p>
        </w:tc>
        <w:tc>
          <w:tcPr>
            <w:tcW w:w="2180" w:type="dxa"/>
            <w:vAlign w:val="bottom"/>
            <w:tcBorders>
              <w:top w:val="single" w:sz="8" w:color="auto"/>
            </w:tcBorders>
            <w:gridSpan w:val="9"/>
          </w:tcPr>
          <w:p>
            <w:pPr>
              <w:spacing w:after="0" w:line="155" w:lineRule="exact"/>
              <w:rPr>
                <w:sz w:val="20"/>
                <w:szCs w:val="20"/>
                <w:color w:val="auto"/>
              </w:rPr>
            </w:pPr>
            <w:r>
              <w:rPr>
                <w:rFonts w:ascii="Times New Roman" w:cs="Times New Roman" w:eastAsia="Times New Roman" w:hAnsi="Times New Roman"/>
                <w:sz w:val="16"/>
                <w:szCs w:val="16"/>
                <w:color w:val="0000EE"/>
              </w:rPr>
              <w:t>Certification of Principal</w:t>
            </w:r>
          </w:p>
        </w:tc>
        <w:tc>
          <w:tcPr>
            <w:tcW w:w="1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Borders>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Executive Officer Pursuant to</w:t>
            </w:r>
          </w:p>
        </w:tc>
        <w:tc>
          <w:tcPr>
            <w:tcW w:w="380" w:type="dxa"/>
            <w:vAlign w:val="bottom"/>
            <w:gridSpan w:val="7"/>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Rules 13a-14(a) and 15d-14(a)</w:t>
            </w:r>
          </w:p>
        </w:tc>
        <w:tc>
          <w:tcPr>
            <w:tcW w:w="32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under the Securities Exchange</w:t>
            </w:r>
          </w:p>
        </w:tc>
        <w:tc>
          <w:tcPr>
            <w:tcW w:w="340" w:type="dxa"/>
            <w:vAlign w:val="bottom"/>
            <w:gridSpan w:val="5"/>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rPr>
              <w:t>Act of 1934, as Adopted</w:t>
            </w:r>
          </w:p>
        </w:tc>
        <w:tc>
          <w:tcPr>
            <w:tcW w:w="700" w:type="dxa"/>
            <w:vAlign w:val="bottom"/>
            <w:gridSpan w:val="9"/>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3"/>
          </w:tcPr>
          <w:p>
            <w:pPr>
              <w:ind w:left="42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2</w:t>
            </w: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Financial Officer Pursuant to</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Rules 13a-14(a) and 15d-14(a)</w:t>
            </w:r>
          </w:p>
        </w:tc>
        <w:tc>
          <w:tcPr>
            <w:tcW w:w="32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under the Securities Exchange</w:t>
            </w:r>
          </w:p>
        </w:tc>
        <w:tc>
          <w:tcPr>
            <w:tcW w:w="340" w:type="dxa"/>
            <w:vAlign w:val="bottom"/>
            <w:gridSpan w:val="5"/>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rPr>
              <w:t>Act of 1934, as Adopted</w:t>
            </w:r>
          </w:p>
        </w:tc>
        <w:tc>
          <w:tcPr>
            <w:tcW w:w="700" w:type="dxa"/>
            <w:vAlign w:val="bottom"/>
            <w:gridSpan w:val="9"/>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3"/>
          </w:tcPr>
          <w:p>
            <w:pPr>
              <w:ind w:left="42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1</w:t>
            </w: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Executive Officer Pursuant to 18</w:t>
            </w:r>
          </w:p>
        </w:tc>
        <w:tc>
          <w:tcPr>
            <w:tcW w:w="18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U.S.C. Section 1350, as Adopted</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top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906 of the</w:t>
            </w:r>
          </w:p>
        </w:tc>
        <w:tc>
          <w:tcPr>
            <w:tcW w:w="18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ind w:left="60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2</w:t>
            </w: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Financial Officer Pursuant to 18</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U.S.C. Section 1350, as Adopted</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top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906 of the</w:t>
            </w:r>
          </w:p>
        </w:tc>
        <w:tc>
          <w:tcPr>
            <w:tcW w:w="18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ind w:left="60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209"/>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101.INS</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Extension Schema 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101.CAL</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Extension Calculation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Extension Definition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101.LAB</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Extension Label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Extension Presentation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ind w:left="1240" w:right="5659" w:hanging="1198"/>
        <w:spacing w:after="0" w:line="276" w:lineRule="auto"/>
        <w:tabs>
          <w:tab w:leader="none" w:pos="12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Vertex, Inc.</w:t>
            </w:r>
          </w:p>
        </w:tc>
      </w:tr>
      <w:tr>
        <w:trPr>
          <w:trHeight w:val="43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2022</w:t>
            </w:r>
          </w:p>
        </w:tc>
        <w:tc>
          <w:tcPr>
            <w:tcW w:w="59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By:/s/ David DeStefano</w:t>
            </w:r>
          </w:p>
        </w:tc>
      </w:tr>
      <w:tr>
        <w:trPr>
          <w:trHeight w:val="189"/>
        </w:trPr>
        <w:tc>
          <w:tcPr>
            <w:tcW w:w="2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2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David DeStefano</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Chairperson</w:t>
            </w:r>
          </w:p>
        </w:tc>
      </w:tr>
      <w:tr>
        <w:trPr>
          <w:trHeight w:val="236"/>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2022</w:t>
            </w:r>
          </w:p>
        </w:tc>
        <w:tc>
          <w:tcPr>
            <w:tcW w:w="59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By:/s/ John Schwab</w:t>
            </w:r>
          </w:p>
        </w:tc>
      </w:tr>
      <w:tr>
        <w:trPr>
          <w:trHeight w:val="189"/>
        </w:trPr>
        <w:tc>
          <w:tcPr>
            <w:tcW w:w="2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2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John Schwab</w:t>
            </w:r>
          </w:p>
        </w:tc>
      </w:tr>
      <w:tr>
        <w:trPr>
          <w:trHeight w:val="236"/>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tc>
      </w:tr>
      <w:tr>
        <w:trPr>
          <w:trHeight w:val="445"/>
        </w:trPr>
        <w:tc>
          <w:tcPr>
            <w:tcW w:w="2960" w:type="dxa"/>
            <w:vAlign w:val="bottom"/>
          </w:tcPr>
          <w:p>
            <w:pPr>
              <w:spacing w:after="0"/>
              <w:rPr>
                <w:sz w:val="24"/>
                <w:szCs w:val="24"/>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4200" w:type="dxa"/>
            <w:vAlign w:val="bottom"/>
          </w:tcPr>
          <w:p>
            <w:pPr>
              <w:spacing w:after="0"/>
              <w:rPr>
                <w:sz w:val="24"/>
                <w:szCs w:val="24"/>
                <w:color w:val="auto"/>
              </w:rPr>
            </w:pPr>
          </w:p>
        </w:tc>
      </w:tr>
      <w:tr>
        <w:trPr>
          <w:trHeight w:val="547"/>
        </w:trPr>
        <w:tc>
          <w:tcPr>
            <w:tcW w:w="29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9" w:name="page60"/>
    <w:bookmarkEnd w:id="59"/>
    <w:p>
      <w:pPr>
        <w:ind w:left="90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DeStefano,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Vertex,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David DeStefano</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Vertex, Inc.;</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John Schwab</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Vertex, Inc. (the “Company”) for the period ended June 30, 2022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66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David DeStefano</w:t>
            </w:r>
          </w:p>
        </w:tc>
      </w:tr>
      <w:tr>
        <w:trPr>
          <w:trHeight w:val="178"/>
        </w:trPr>
        <w:tc>
          <w:tcPr>
            <w:tcW w:w="3240" w:type="dxa"/>
            <w:vAlign w:val="bottom"/>
          </w:tcPr>
          <w:p>
            <w:pPr>
              <w:spacing w:after="0"/>
              <w:rPr>
                <w:sz w:val="15"/>
                <w:szCs w:val="15"/>
                <w:color w:val="auto"/>
              </w:rPr>
            </w:pPr>
          </w:p>
        </w:tc>
        <w:tc>
          <w:tcPr>
            <w:tcW w:w="2040" w:type="dxa"/>
            <w:vAlign w:val="bottom"/>
          </w:tcPr>
          <w:p>
            <w:pPr>
              <w:ind w:left="1680"/>
              <w:spacing w:after="0" w:line="177" w:lineRule="exact"/>
              <w:rPr>
                <w:sz w:val="20"/>
                <w:szCs w:val="20"/>
                <w:color w:val="auto"/>
              </w:rPr>
            </w:pPr>
            <w:r>
              <w:rPr>
                <w:rFonts w:ascii="Times New Roman" w:cs="Times New Roman" w:eastAsia="Times New Roman" w:hAnsi="Times New Roman"/>
                <w:sz w:val="18"/>
                <w:szCs w:val="18"/>
                <w:color w:val="auto"/>
                <w:w w:val="77"/>
              </w:rPr>
              <w:t>David</w:t>
            </w:r>
          </w:p>
        </w:tc>
        <w:tc>
          <w:tcPr>
            <w:tcW w:w="4640" w:type="dxa"/>
            <w:vAlign w:val="bottom"/>
            <w:tcBorders>
              <w:top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DeStefano</w:t>
            </w:r>
          </w:p>
        </w:tc>
      </w:tr>
      <w:tr>
        <w:trPr>
          <w:trHeight w:val="214"/>
        </w:trPr>
        <w:tc>
          <w:tcPr>
            <w:tcW w:w="3240" w:type="dxa"/>
            <w:vAlign w:val="bottom"/>
          </w:tcPr>
          <w:p>
            <w:pPr>
              <w:spacing w:after="0"/>
              <w:rPr>
                <w:sz w:val="18"/>
                <w:szCs w:val="18"/>
                <w:color w:val="auto"/>
              </w:rPr>
            </w:pPr>
          </w:p>
        </w:tc>
        <w:tc>
          <w:tcPr>
            <w:tcW w:w="66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240" w:type="dxa"/>
            <w:vAlign w:val="bottom"/>
          </w:tcPr>
          <w:p>
            <w:pPr>
              <w:spacing w:after="0"/>
              <w:rPr>
                <w:sz w:val="20"/>
                <w:szCs w:val="20"/>
                <w:color w:val="auto"/>
              </w:rPr>
            </w:pPr>
          </w:p>
        </w:tc>
        <w:tc>
          <w:tcPr>
            <w:tcW w:w="6680" w:type="dxa"/>
            <w:vAlign w:val="bottom"/>
            <w:gridSpan w:val="2"/>
          </w:tcPr>
          <w:p>
            <w:pPr>
              <w:ind w:left="1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6"/>
        </w:trPr>
        <w:tc>
          <w:tcPr>
            <w:tcW w:w="3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Vertex, Inc. (the “Company”) for the period ended June 30, 2022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John Schwab</w:t>
            </w:r>
          </w:p>
        </w:tc>
      </w:tr>
      <w:tr>
        <w:trPr>
          <w:trHeight w:val="178"/>
        </w:trPr>
        <w:tc>
          <w:tcPr>
            <w:tcW w:w="3260" w:type="dxa"/>
            <w:vAlign w:val="bottom"/>
          </w:tcPr>
          <w:p>
            <w:pPr>
              <w:spacing w:after="0"/>
              <w:rPr>
                <w:sz w:val="15"/>
                <w:szCs w:val="15"/>
                <w:color w:val="auto"/>
              </w:rPr>
            </w:pPr>
          </w:p>
        </w:tc>
        <w:tc>
          <w:tcPr>
            <w:tcW w:w="2020" w:type="dxa"/>
            <w:vAlign w:val="bottom"/>
          </w:tcPr>
          <w:p>
            <w:pPr>
              <w:ind w:left="1720"/>
              <w:spacing w:after="0" w:line="177" w:lineRule="exact"/>
              <w:rPr>
                <w:sz w:val="20"/>
                <w:szCs w:val="20"/>
                <w:color w:val="auto"/>
              </w:rPr>
            </w:pPr>
            <w:r>
              <w:rPr>
                <w:rFonts w:ascii="Times New Roman" w:cs="Times New Roman" w:eastAsia="Times New Roman" w:hAnsi="Times New Roman"/>
                <w:sz w:val="18"/>
                <w:szCs w:val="18"/>
                <w:color w:val="auto"/>
                <w:w w:val="82"/>
              </w:rPr>
              <w:t>John</w:t>
            </w:r>
          </w:p>
        </w:tc>
        <w:tc>
          <w:tcPr>
            <w:tcW w:w="464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Schwab</w:t>
            </w:r>
          </w:p>
        </w:tc>
      </w:tr>
      <w:tr>
        <w:trPr>
          <w:trHeight w:val="214"/>
        </w:trPr>
        <w:tc>
          <w:tcPr>
            <w:tcW w:w="3260" w:type="dxa"/>
            <w:vAlign w:val="bottom"/>
          </w:tcPr>
          <w:p>
            <w:pPr>
              <w:spacing w:after="0"/>
              <w:rPr>
                <w:sz w:val="18"/>
                <w:szCs w:val="18"/>
                <w:color w:val="auto"/>
              </w:rPr>
            </w:pP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260" w:type="dxa"/>
            <w:vAlign w:val="bottom"/>
          </w:tcPr>
          <w:p>
            <w:pPr>
              <w:spacing w:after="0"/>
              <w:rPr>
                <w:sz w:val="20"/>
                <w:szCs w:val="20"/>
                <w:color w:val="auto"/>
              </w:rPr>
            </w:pP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6"/>
        </w:trPr>
        <w:tc>
          <w:tcPr>
            <w:tcW w:w="3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lowerRoman"/>
      <w:start w:val="3"/>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2022-08-09T20:02:31Z</dcterms:created>
  <dcterms:modified xsi:type="dcterms:W3CDTF">2022-08-09T20:02:31Z</dcterms:modified>
</cp:coreProperties>
</file>