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650113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1130"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65011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11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91"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87630"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630" cy="8826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2020</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1" w:lineRule="exact"/>
        <w:rPr>
          <w:sz w:val="24"/>
          <w:szCs w:val="24"/>
          <w:color w:val="auto"/>
        </w:rPr>
      </w:pPr>
    </w:p>
    <w:p>
      <w:pPr>
        <w:ind w:left="500" w:hanging="470"/>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-93980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b w:val="1"/>
                <w:bCs w:val="1"/>
                <w:color w:val="auto"/>
                <w:w w:val="98"/>
              </w:rPr>
              <w:t>For the transition period from to</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40" w:type="dxa"/>
            <w:vAlign w:val="bottom"/>
            <w:gridSpan w:val="3"/>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w w:val="98"/>
              </w:rPr>
              <w:t>Commission File Number: 333-239644</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3"/>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jc w:val="center"/>
              <w:ind w:right="600"/>
              <w:spacing w:after="0"/>
              <w:rPr>
                <w:sz w:val="20"/>
                <w:szCs w:val="20"/>
                <w:color w:val="auto"/>
              </w:rPr>
            </w:pPr>
            <w:r>
              <w:rPr>
                <w:rFonts w:ascii="Times New Roman" w:cs="Times New Roman" w:eastAsia="Times New Roman" w:hAnsi="Times New Roman"/>
                <w:sz w:val="38"/>
                <w:szCs w:val="38"/>
                <w:b w:val="1"/>
                <w:bCs w:val="1"/>
                <w:color w:val="auto"/>
                <w:w w:val="99"/>
              </w:rPr>
              <w:t>VERTEX, INC.</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4140" w:type="dxa"/>
            <w:vAlign w:val="bottom"/>
            <w:gridSpan w:val="4"/>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(Exact Name of Registrant as Specified in its Charter)</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2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40" w:type="dxa"/>
            <w:vAlign w:val="bottom"/>
          </w:tcPr>
          <w:p>
            <w:pPr>
              <w:jc w:val="center"/>
              <w:ind w:right="335"/>
              <w:spacing w:after="0"/>
              <w:rPr>
                <w:sz w:val="20"/>
                <w:szCs w:val="20"/>
                <w:color w:val="auto"/>
              </w:rPr>
            </w:pPr>
            <w:r>
              <w:rPr>
                <w:rFonts w:ascii="Times New Roman" w:cs="Times New Roman" w:eastAsia="Times New Roman" w:hAnsi="Times New Roman"/>
                <w:sz w:val="15"/>
                <w:szCs w:val="15"/>
                <w:b w:val="1"/>
                <w:bCs w:val="1"/>
                <w:color w:val="auto"/>
                <w:w w:val="99"/>
              </w:rPr>
              <w:t>23-2081753</w:t>
            </w:r>
          </w:p>
        </w:tc>
        <w:tc>
          <w:tcPr>
            <w:tcW w:w="0" w:type="dxa"/>
            <w:vAlign w:val="bottom"/>
          </w:tcPr>
          <w:p>
            <w:pPr>
              <w:spacing w:after="0"/>
              <w:rPr>
                <w:sz w:val="1"/>
                <w:szCs w:val="1"/>
                <w:color w:val="auto"/>
              </w:rPr>
            </w:pPr>
          </w:p>
        </w:tc>
      </w:tr>
      <w:tr>
        <w:trPr>
          <w:trHeight w:val="123"/>
        </w:trPr>
        <w:tc>
          <w:tcPr>
            <w:tcW w:w="32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5"/>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40" w:type="dxa"/>
            <w:vAlign w:val="bottom"/>
          </w:tcPr>
          <w:p>
            <w:pPr>
              <w:jc w:val="center"/>
              <w:ind w:right="355"/>
              <w:spacing w:after="0" w:line="124" w:lineRule="exact"/>
              <w:rPr>
                <w:sz w:val="20"/>
                <w:szCs w:val="20"/>
                <w:color w:val="auto"/>
              </w:rPr>
            </w:pPr>
            <w:r>
              <w:rPr>
                <w:rFonts w:ascii="Times New Roman" w:cs="Times New Roman" w:eastAsia="Times New Roman" w:hAnsi="Times New Roman"/>
                <w:sz w:val="12"/>
                <w:szCs w:val="12"/>
                <w:b w:val="1"/>
                <w:bCs w:val="1"/>
                <w:color w:val="auto"/>
                <w:w w:val="94"/>
              </w:rPr>
              <w:t>(I.R.S. Employer</w:t>
            </w:r>
          </w:p>
        </w:tc>
        <w:tc>
          <w:tcPr>
            <w:tcW w:w="0" w:type="dxa"/>
            <w:vAlign w:val="bottom"/>
          </w:tcPr>
          <w:p>
            <w:pPr>
              <w:spacing w:after="0"/>
              <w:rPr>
                <w:sz w:val="1"/>
                <w:szCs w:val="1"/>
                <w:color w:val="auto"/>
              </w:rPr>
            </w:pPr>
          </w:p>
        </w:tc>
      </w:tr>
      <w:tr>
        <w:trPr>
          <w:trHeight w:val="151"/>
        </w:trPr>
        <w:tc>
          <w:tcPr>
            <w:tcW w:w="3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incorporation or organization)</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Pr>
          <w:p>
            <w:pPr>
              <w:jc w:val="center"/>
              <w:ind w:right="355"/>
              <w:spacing w:after="0"/>
              <w:rPr>
                <w:sz w:val="20"/>
                <w:szCs w:val="20"/>
                <w:color w:val="auto"/>
              </w:rPr>
            </w:pPr>
            <w:r>
              <w:rPr>
                <w:rFonts w:ascii="Times New Roman" w:cs="Times New Roman" w:eastAsia="Times New Roman" w:hAnsi="Times New Roman"/>
                <w:sz w:val="12"/>
                <w:szCs w:val="12"/>
                <w:b w:val="1"/>
                <w:bCs w:val="1"/>
                <w:color w:val="auto"/>
                <w:w w:val="95"/>
              </w:rPr>
              <w:t>Identification No.)</w:t>
            </w:r>
          </w:p>
        </w:tc>
        <w:tc>
          <w:tcPr>
            <w:tcW w:w="0" w:type="dxa"/>
            <w:vAlign w:val="bottom"/>
          </w:tcPr>
          <w:p>
            <w:pPr>
              <w:spacing w:after="0"/>
              <w:rPr>
                <w:sz w:val="1"/>
                <w:szCs w:val="1"/>
                <w:color w:val="auto"/>
              </w:rPr>
            </w:pPr>
          </w:p>
        </w:tc>
      </w:tr>
      <w:tr>
        <w:trPr>
          <w:trHeight w:val="345"/>
        </w:trPr>
        <w:tc>
          <w:tcPr>
            <w:tcW w:w="3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jc w:val="center"/>
              <w:ind w:right="395"/>
              <w:spacing w:after="0"/>
              <w:rPr>
                <w:sz w:val="20"/>
                <w:szCs w:val="20"/>
                <w:color w:val="auto"/>
              </w:rPr>
            </w:pPr>
            <w:r>
              <w:rPr>
                <w:rFonts w:ascii="Times New Roman" w:cs="Times New Roman" w:eastAsia="Times New Roman" w:hAnsi="Times New Roman"/>
                <w:sz w:val="15"/>
                <w:szCs w:val="15"/>
                <w:b w:val="1"/>
                <w:bCs w:val="1"/>
                <w:color w:val="auto"/>
              </w:rPr>
              <w:t>19406</w:t>
            </w:r>
          </w:p>
        </w:tc>
        <w:tc>
          <w:tcPr>
            <w:tcW w:w="0" w:type="dxa"/>
            <w:vAlign w:val="bottom"/>
          </w:tcPr>
          <w:p>
            <w:pPr>
              <w:spacing w:after="0"/>
              <w:rPr>
                <w:sz w:val="1"/>
                <w:szCs w:val="1"/>
                <w:color w:val="auto"/>
              </w:rPr>
            </w:pPr>
          </w:p>
        </w:tc>
      </w:tr>
      <w:tr>
        <w:trPr>
          <w:trHeight w:val="184"/>
        </w:trPr>
        <w:tc>
          <w:tcPr>
            <w:tcW w:w="3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King of Prussia, Pennsylvania</w:t>
            </w:r>
          </w:p>
        </w:tc>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(Address of principal executive offices)</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Pr>
          <w:p>
            <w:pPr>
              <w:jc w:val="center"/>
              <w:ind w:right="355"/>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306"/>
        </w:trPr>
        <w:tc>
          <w:tcPr>
            <w:tcW w:w="7400" w:type="dxa"/>
            <w:vAlign w:val="bottom"/>
            <w:gridSpan w:val="5"/>
          </w:tcPr>
          <w:p>
            <w:pPr>
              <w:jc w:val="center"/>
              <w:ind w:left="2792"/>
              <w:spacing w:after="0"/>
              <w:rPr>
                <w:sz w:val="20"/>
                <w:szCs w:val="20"/>
                <w:color w:val="auto"/>
              </w:rPr>
            </w:pPr>
            <w:r>
              <w:rPr>
                <w:rFonts w:ascii="Times New Roman" w:cs="Times New Roman" w:eastAsia="Times New Roman" w:hAnsi="Times New Roman"/>
                <w:sz w:val="15"/>
                <w:szCs w:val="15"/>
                <w:b w:val="1"/>
                <w:bCs w:val="1"/>
                <w:color w:val="auto"/>
                <w:w w:val="98"/>
              </w:rPr>
              <w:t>Registrant’s telephone number, including area code: (800) 355-3500</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60" w:type="dxa"/>
            <w:vAlign w:val="bottom"/>
          </w:tcPr>
          <w:p>
            <w:pPr>
              <w:spacing w:after="0"/>
              <w:rPr>
                <w:sz w:val="22"/>
                <w:szCs w:val="22"/>
                <w:color w:val="auto"/>
              </w:rPr>
            </w:pPr>
          </w:p>
        </w:tc>
        <w:tc>
          <w:tcPr>
            <w:tcW w:w="4140" w:type="dxa"/>
            <w:vAlign w:val="bottom"/>
            <w:gridSpan w:val="4"/>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8"/>
              </w:rPr>
              <w:t>Securities registered pursuant to Section 12(b) of the Act:</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Title of each class</w:t>
            </w:r>
          </w:p>
        </w:tc>
        <w:tc>
          <w:tcPr>
            <w:tcW w:w="200" w:type="dxa"/>
            <w:vAlign w:val="bottom"/>
          </w:tcPr>
          <w:p>
            <w:pPr>
              <w:spacing w:after="0"/>
              <w:rPr>
                <w:sz w:val="19"/>
                <w:szCs w:val="19"/>
                <w:color w:val="auto"/>
              </w:rPr>
            </w:pPr>
          </w:p>
        </w:tc>
        <w:tc>
          <w:tcPr>
            <w:tcW w:w="3940" w:type="dxa"/>
            <w:vAlign w:val="bottom"/>
            <w:gridSpan w:val="3"/>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5"/>
              </w:rPr>
              <w:t>Trading symbol</w:t>
            </w:r>
          </w:p>
        </w:tc>
        <w:tc>
          <w:tcPr>
            <w:tcW w:w="2840" w:type="dxa"/>
            <w:vAlign w:val="bottom"/>
          </w:tcPr>
          <w:p>
            <w:pPr>
              <w:jc w:val="center"/>
              <w:ind w:right="355"/>
              <w:spacing w:after="0"/>
              <w:rPr>
                <w:sz w:val="20"/>
                <w:szCs w:val="20"/>
                <w:color w:val="auto"/>
              </w:rPr>
            </w:pPr>
            <w:r>
              <w:rPr>
                <w:rFonts w:ascii="Times New Roman" w:cs="Times New Roman" w:eastAsia="Times New Roman" w:hAnsi="Times New Roman"/>
                <w:sz w:val="12"/>
                <w:szCs w:val="12"/>
                <w:b w:val="1"/>
                <w:bCs w:val="1"/>
                <w:color w:val="auto"/>
                <w:w w:val="95"/>
              </w:rPr>
              <w:t>Name of each exchange on which registered</w:t>
            </w:r>
          </w:p>
        </w:tc>
        <w:tc>
          <w:tcPr>
            <w:tcW w:w="0" w:type="dxa"/>
            <w:vAlign w:val="bottom"/>
          </w:tcPr>
          <w:p>
            <w:pPr>
              <w:spacing w:after="0"/>
              <w:rPr>
                <w:sz w:val="1"/>
                <w:szCs w:val="1"/>
                <w:color w:val="auto"/>
              </w:rPr>
            </w:pPr>
          </w:p>
        </w:tc>
      </w:tr>
      <w:tr>
        <w:trPr>
          <w:trHeight w:val="52"/>
        </w:trPr>
        <w:tc>
          <w:tcPr>
            <w:tcW w:w="326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26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8"/>
              </w:rPr>
              <w:t>Class A Common Stock, Par Value $0.001 Per</w:t>
            </w:r>
          </w:p>
        </w:tc>
        <w:tc>
          <w:tcPr>
            <w:tcW w:w="200" w:type="dxa"/>
            <w:vAlign w:val="bottom"/>
            <w:vMerge w:val="continue"/>
          </w:tcPr>
          <w:p>
            <w:pPr>
              <w:spacing w:after="0"/>
              <w:rPr>
                <w:sz w:val="14"/>
                <w:szCs w:val="14"/>
                <w:color w:val="auto"/>
              </w:rPr>
            </w:pPr>
          </w:p>
        </w:tc>
        <w:tc>
          <w:tcPr>
            <w:tcW w:w="33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8"/>
              </w:rPr>
              <w:t>VERX</w:t>
            </w:r>
          </w:p>
        </w:tc>
        <w:tc>
          <w:tcPr>
            <w:tcW w:w="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jc w:val="center"/>
              <w:ind w:right="335"/>
              <w:spacing w:after="0" w:line="161" w:lineRule="exact"/>
              <w:rPr>
                <w:sz w:val="20"/>
                <w:szCs w:val="20"/>
                <w:color w:val="auto"/>
              </w:rPr>
            </w:pPr>
            <w:r>
              <w:rPr>
                <w:rFonts w:ascii="Times New Roman" w:cs="Times New Roman" w:eastAsia="Times New Roman" w:hAnsi="Times New Roman"/>
                <w:sz w:val="15"/>
                <w:szCs w:val="15"/>
                <w:b w:val="1"/>
                <w:bCs w:val="1"/>
                <w:color w:val="auto"/>
              </w:rPr>
              <w:t>NASDAQ</w:t>
            </w:r>
          </w:p>
        </w:tc>
        <w:tc>
          <w:tcPr>
            <w:tcW w:w="0" w:type="dxa"/>
            <w:vAlign w:val="bottom"/>
          </w:tcPr>
          <w:p>
            <w:pPr>
              <w:spacing w:after="0"/>
              <w:rPr>
                <w:sz w:val="1"/>
                <w:szCs w:val="1"/>
                <w:color w:val="auto"/>
              </w:rPr>
            </w:pPr>
          </w:p>
        </w:tc>
      </w:tr>
      <w:tr>
        <w:trPr>
          <w:trHeight w:val="196"/>
        </w:trPr>
        <w:tc>
          <w:tcPr>
            <w:tcW w:w="3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Share</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31"/>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0" w:lineRule="exact"/>
        <w:rPr>
          <w:sz w:val="24"/>
          <w:szCs w:val="24"/>
          <w:color w:val="auto"/>
        </w:rPr>
      </w:pPr>
    </w:p>
    <w:p>
      <w:pPr>
        <w:jc w:val="both"/>
        <w:ind w:firstLine="431"/>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0" w:lineRule="exact"/>
        <w:rPr>
          <w:sz w:val="24"/>
          <w:szCs w:val="24"/>
          <w:color w:val="auto"/>
        </w:rPr>
      </w:pPr>
    </w:p>
    <w:p>
      <w:pPr>
        <w:jc w:val="both"/>
        <w:ind w:firstLine="426"/>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0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rPr>
              <w:t>☐</w:t>
            </w:r>
          </w:p>
        </w:tc>
        <w:tc>
          <w:tcPr>
            <w:tcW w:w="33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Accelerated filer</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5"/>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0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rPr>
              <w:t>☒</w:t>
            </w:r>
          </w:p>
        </w:tc>
        <w:tc>
          <w:tcPr>
            <w:tcW w:w="33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Small reporting company</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3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Emerging growth company</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1" w:lineRule="exact"/>
        <w:rPr>
          <w:sz w:val="24"/>
          <w:szCs w:val="24"/>
          <w:color w:val="auto"/>
        </w:rPr>
      </w:pPr>
    </w:p>
    <w:p>
      <w:pPr>
        <w:ind w:firstLine="426"/>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ind w:left="440"/>
        <w:spacing w:after="0" w:line="173" w:lineRule="exact"/>
        <w:tabs>
          <w:tab w:leader="none" w:pos="782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98" w:lineRule="exact"/>
        <w:rPr>
          <w:sz w:val="24"/>
          <w:szCs w:val="24"/>
          <w:color w:val="auto"/>
        </w:rPr>
      </w:pPr>
    </w:p>
    <w:p>
      <w:pPr>
        <w:ind w:firstLine="426"/>
        <w:spacing w:after="0" w:line="284" w:lineRule="auto"/>
        <w:rPr>
          <w:sz w:val="20"/>
          <w:szCs w:val="20"/>
          <w:color w:val="auto"/>
        </w:rPr>
      </w:pPr>
      <w:r>
        <w:rPr>
          <w:rFonts w:ascii="Times New Roman" w:cs="Times New Roman" w:eastAsia="Times New Roman" w:hAnsi="Times New Roman"/>
          <w:sz w:val="15"/>
          <w:szCs w:val="15"/>
          <w:color w:val="auto"/>
        </w:rPr>
        <w:t>As of November 10, 2020, the registrant had 25,687,503 shares of Class A common stock, $0.001 par value per share, and 120,417,000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650113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1130" cy="158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wp:posOffset>
            </wp:positionV>
            <wp:extent cx="65011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113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650113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1130" cy="31115"/>
                    </a:xfrm>
                    <a:prstGeom prst="rect">
                      <a:avLst/>
                    </a:prstGeom>
                    <a:noFill/>
                  </pic:spPr>
                </pic:pic>
              </a:graphicData>
            </a:graphic>
          </wp:anchor>
        </w:drawing>
      </w:r>
    </w:p>
    <w:p>
      <w:pPr>
        <w:sectPr>
          <w:pgSz w:w="11900" w:h="16838" w:orient="portrait"/>
          <w:cols w:equalWidth="0" w:num="1">
            <w:col w:w="10240"/>
          </w:cols>
          <w:pgMar w:left="820" w:top="617" w:right="839" w:bottom="1440" w:gutter="0" w:footer="0" w:header="0"/>
        </w:sectPr>
      </w:pPr>
    </w:p>
    <w:bookmarkStart w:id="1" w:name="page2"/>
    <w:bookmarkEnd w:id="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80" w:type="dxa"/>
            <w:vAlign w:val="bottom"/>
            <w:gridSpan w:val="4"/>
          </w:tcPr>
          <w:p>
            <w:pPr>
              <w:ind w:left="12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61"/>
        </w:trPr>
        <w:tc>
          <w:tcPr>
            <w:tcW w:w="1260" w:type="dxa"/>
            <w:vAlign w:val="bottom"/>
          </w:tcPr>
          <w:p>
            <w:pPr>
              <w:spacing w:after="0"/>
              <w:rPr>
                <w:sz w:val="5"/>
                <w:szCs w:val="5"/>
                <w:color w:val="auto"/>
              </w:rPr>
            </w:pPr>
          </w:p>
        </w:tc>
        <w:tc>
          <w:tcPr>
            <w:tcW w:w="7000" w:type="dxa"/>
            <w:vAlign w:val="bottom"/>
            <w:gridSpan w:val="5"/>
            <w:vMerge w:val="restart"/>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Part I - Financial Information</w:t>
              </w:r>
            </w:hyperlink>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000" w:type="dxa"/>
            <w:vAlign w:val="bottom"/>
            <w:gridSpan w:val="5"/>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Item 1.</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Financial Statements</w:t>
              </w:r>
            </w:hyperlink>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Condensed Consolidated Balance Sheets as of December 31, 2019 and September 30, 2020 (unaudited)</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70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Comprehensive Income (Loss) for the Three and Nine Months</w:t>
              </w:r>
            </w:hyperlink>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000" w:type="dxa"/>
            <w:vAlign w:val="bottom"/>
            <w:gridSpan w:val="5"/>
          </w:tcPr>
          <w:p>
            <w:pPr>
              <w:spacing w:after="0" w:line="178" w:lineRule="exact"/>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Ended September 30, 2019 and 2020 (unaudited)</w:t>
              </w:r>
            </w:hyperlink>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260" w:type="dxa"/>
            <w:vAlign w:val="bottom"/>
          </w:tcPr>
          <w:p>
            <w:pPr>
              <w:spacing w:after="0"/>
              <w:rPr>
                <w:sz w:val="20"/>
                <w:szCs w:val="20"/>
                <w:color w:val="auto"/>
              </w:rPr>
            </w:pPr>
          </w:p>
        </w:tc>
        <w:tc>
          <w:tcPr>
            <w:tcW w:w="70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Condensed Consolidated Statements of Changes in Equity (Deficit) for the Nine Months Ended</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000" w:type="dxa"/>
            <w:vAlign w:val="bottom"/>
            <w:gridSpan w:val="5"/>
          </w:tcPr>
          <w:p>
            <w:pPr>
              <w:spacing w:after="0" w:line="178"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September 30, 2019 and 2020 (unaudited)</w:t>
              </w:r>
            </w:hyperlink>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260" w:type="dxa"/>
            <w:vAlign w:val="bottom"/>
          </w:tcPr>
          <w:p>
            <w:pPr>
              <w:spacing w:after="0"/>
              <w:rPr>
                <w:sz w:val="20"/>
                <w:szCs w:val="20"/>
                <w:color w:val="auto"/>
              </w:rPr>
            </w:pPr>
          </w:p>
        </w:tc>
        <w:tc>
          <w:tcPr>
            <w:tcW w:w="7000" w:type="dxa"/>
            <w:vAlign w:val="bottom"/>
            <w:gridSpan w:val="5"/>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Condensed Consolidated Statements of Cash Flows for the Nine Months Ended September 30, 2019 and</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6980" w:type="dxa"/>
            <w:vAlign w:val="bottom"/>
            <w:tcBorders>
              <w:top w:val="single" w:sz="8" w:color="0000EE"/>
            </w:tcBorders>
            <w:gridSpan w:val="4"/>
          </w:tcPr>
          <w:p>
            <w:pPr>
              <w:spacing w:after="0" w:line="178" w:lineRule="exact"/>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2020 (unaudited)</w:t>
              </w:r>
            </w:hyperlink>
          </w:p>
        </w:tc>
        <w:tc>
          <w:tcPr>
            <w:tcW w:w="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Notes to Condensed Consolidated Financial Statements (unaudited)</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45">
              <w:r>
                <w:rPr>
                  <w:rFonts w:ascii="Times New Roman" w:cs="Times New Roman" w:eastAsia="Times New Roman" w:hAnsi="Times New Roman"/>
                  <w:sz w:val="16"/>
                  <w:szCs w:val="16"/>
                  <w:u w:val="single" w:color="auto"/>
                  <w:color w:val="0000EE"/>
                </w:rPr>
                <w:t>Item 2.</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45">
              <w:r>
                <w:rPr>
                  <w:rFonts w:ascii="Times New Roman" w:cs="Times New Roman" w:eastAsia="Times New Roman" w:hAnsi="Times New Roman"/>
                  <w:sz w:val="16"/>
                  <w:szCs w:val="16"/>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67">
              <w:r>
                <w:rPr>
                  <w:rFonts w:ascii="Times New Roman" w:cs="Times New Roman" w:eastAsia="Times New Roman" w:hAnsi="Times New Roman"/>
                  <w:sz w:val="16"/>
                  <w:szCs w:val="16"/>
                  <w:u w:val="single" w:color="auto"/>
                  <w:color w:val="0000EE"/>
                </w:rPr>
                <w:t>Item 3.</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67">
              <w:r>
                <w:rPr>
                  <w:rFonts w:ascii="Times New Roman" w:cs="Times New Roman" w:eastAsia="Times New Roman" w:hAnsi="Times New Roman"/>
                  <w:sz w:val="16"/>
                  <w:szCs w:val="16"/>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68">
              <w:r>
                <w:rPr>
                  <w:rFonts w:ascii="Times New Roman" w:cs="Times New Roman" w:eastAsia="Times New Roman" w:hAnsi="Times New Roman"/>
                  <w:sz w:val="16"/>
                  <w:szCs w:val="16"/>
                  <w:u w:val="single" w:color="auto"/>
                  <w:color w:val="0000EE"/>
                </w:rPr>
                <w:t>Item 4.</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68">
              <w:r>
                <w:rPr>
                  <w:rFonts w:ascii="Times New Roman" w:cs="Times New Roman" w:eastAsia="Times New Roman" w:hAnsi="Times New Roman"/>
                  <w:sz w:val="16"/>
                  <w:szCs w:val="16"/>
                  <w:u w:val="single" w:color="auto"/>
                  <w:color w:val="0000EE"/>
                </w:rPr>
                <w:t>Controls and Procedures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Part II - Other Information</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1.</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Legal Proceedings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1A.</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Risk Factors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2.</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3.</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Defaults Upon Senior Securities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4.</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Mine Safety Disclosures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Item 5.</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Other Information</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59"/>
        </w:trPr>
        <w:tc>
          <w:tcPr>
            <w:tcW w:w="1260" w:type="dxa"/>
            <w:vAlign w:val="bottom"/>
          </w:tcPr>
          <w:p>
            <w:pPr>
              <w:spacing w:after="0"/>
              <w:rPr>
                <w:rFonts w:ascii="Times New Roman" w:cs="Times New Roman" w:eastAsia="Times New Roman" w:hAnsi="Times New Roman"/>
                <w:sz w:val="16"/>
                <w:szCs w:val="16"/>
                <w:u w:val="single" w:color="auto"/>
                <w:color w:val="0000EE"/>
              </w:rPr>
            </w:pPr>
            <w:hyperlink w:anchor="page71">
              <w:r>
                <w:rPr>
                  <w:rFonts w:ascii="Times New Roman" w:cs="Times New Roman" w:eastAsia="Times New Roman" w:hAnsi="Times New Roman"/>
                  <w:sz w:val="16"/>
                  <w:szCs w:val="16"/>
                  <w:u w:val="single" w:color="auto"/>
                  <w:color w:val="0000EE"/>
                </w:rPr>
                <w:t>Item 6.</w:t>
              </w:r>
            </w:hyperlink>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1">
              <w:r>
                <w:rPr>
                  <w:rFonts w:ascii="Times New Roman" w:cs="Times New Roman" w:eastAsia="Times New Roman" w:hAnsi="Times New Roman"/>
                  <w:sz w:val="16"/>
                  <w:szCs w:val="16"/>
                  <w:u w:val="single" w:color="auto"/>
                  <w:color w:val="0000EE"/>
                </w:rPr>
                <w:t>Exhibits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7000" w:type="dxa"/>
            <w:vAlign w:val="bottom"/>
            <w:gridSpan w:val="5"/>
          </w:tcPr>
          <w:p>
            <w:pPr>
              <w:spacing w:after="0"/>
              <w:rPr>
                <w:rFonts w:ascii="Times New Roman" w:cs="Times New Roman" w:eastAsia="Times New Roman" w:hAnsi="Times New Roman"/>
                <w:sz w:val="16"/>
                <w:szCs w:val="16"/>
                <w:u w:val="single" w:color="auto"/>
                <w:color w:val="0000EE"/>
              </w:rPr>
            </w:pPr>
            <w:hyperlink w:anchor="page72">
              <w:r>
                <w:rPr>
                  <w:rFonts w:ascii="Times New Roman" w:cs="Times New Roman" w:eastAsia="Times New Roman" w:hAnsi="Times New Roman"/>
                  <w:sz w:val="16"/>
                  <w:szCs w:val="16"/>
                  <w:u w:val="single" w:color="auto"/>
                  <w:color w:val="0000EE"/>
                </w:rPr>
                <w:t>Signatures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992"/>
        </w:trPr>
        <w:tc>
          <w:tcPr>
            <w:tcW w:w="1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1" w:right="1440" w:bottom="1440" w:gutter="0" w:footer="0" w:header="0"/>
        </w:sectPr>
      </w:pPr>
    </w:p>
    <w:bookmarkStart w:id="2" w:name="page3"/>
    <w:bookmarkEnd w:id="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15" w:lineRule="exact"/>
        <w:rPr>
          <w:sz w:val="20"/>
          <w:szCs w:val="20"/>
          <w:color w:val="auto"/>
        </w:rPr>
      </w:pPr>
    </w:p>
    <w:p>
      <w:pPr>
        <w:jc w:val="both"/>
        <w:ind w:left="40" w:right="59" w:firstLine="296"/>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that involve substantial risks and uncertainties.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70" w:lineRule="exact"/>
        <w:rPr>
          <w:sz w:val="20"/>
          <w:szCs w:val="20"/>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effects on our business of the current novel coronavirus (“COVID-19”) pandemic;</w:t>
      </w:r>
    </w:p>
    <w:p>
      <w:pPr>
        <w:spacing w:after="0" w:line="63" w:lineRule="exact"/>
        <w:rPr>
          <w:rFonts w:ascii="Times New Roman" w:cs="Times New Roman" w:eastAsia="Times New Roman" w:hAnsi="Times New Roman"/>
          <w:sz w:val="16"/>
          <w:szCs w:val="16"/>
          <w:color w:val="auto"/>
        </w:rPr>
      </w:pPr>
    </w:p>
    <w:p>
      <w:pPr>
        <w:ind w:left="940" w:right="79" w:hanging="304"/>
        <w:spacing w:after="0" w:line="289" w:lineRule="auto"/>
        <w:tabs>
          <w:tab w:leader="none" w:pos="8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customers on a cost-effective basis and the extent to which existing customers renew and upgrade their subscriptions;</w:t>
      </w:r>
    </w:p>
    <w:p>
      <w:pPr>
        <w:spacing w:after="0" w:line="1"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sustain and expand revenues, maintain profitability, and to effectively manage our anticipated growth;</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our introduction of new solutions or updates to existing solutions;</w:t>
      </w:r>
    </w:p>
    <w:p>
      <w:pPr>
        <w:spacing w:after="0" w:line="63" w:lineRule="exact"/>
        <w:rPr>
          <w:rFonts w:ascii="Times New Roman" w:cs="Times New Roman" w:eastAsia="Times New Roman" w:hAnsi="Times New Roman"/>
          <w:sz w:val="16"/>
          <w:szCs w:val="16"/>
          <w:color w:val="auto"/>
        </w:rPr>
      </w:pPr>
    </w:p>
    <w:p>
      <w:pPr>
        <w:ind w:left="940" w:right="159" w:hanging="304"/>
        <w:spacing w:after="0" w:line="289" w:lineRule="auto"/>
        <w:tabs>
          <w:tab w:leader="none" w:pos="8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diversify our solutions by developing or introducing new solutions or acquiring and integrating additional businesses, products, services or content;</w:t>
      </w:r>
    </w:p>
    <w:p>
      <w:pPr>
        <w:spacing w:after="0" w:line="1"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third-parties;</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expanding international operations;</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deliver our solutions to customers without disruption or delay;</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exposure to liability from errors, delays, fraud or system failures, which may not be covered by insurance;</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determinations of customers’ transaction tax and tax payments;</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in tax laws and regulations or their interpretation or enforcement;</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cybersecurity and data privacy risks;</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failures in information technology, infrastructure and third party service providers;</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protect, maintain and enhance our brand;</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weakness and uncertainties, and disruption in the capital and credit markets;</w:t>
      </w:r>
    </w:p>
    <w:p>
      <w:pPr>
        <w:spacing w:after="0" w:line="63" w:lineRule="exact"/>
        <w:rPr>
          <w:rFonts w:ascii="Times New Roman" w:cs="Times New Roman" w:eastAsia="Times New Roman" w:hAnsi="Times New Roman"/>
          <w:sz w:val="16"/>
          <w:szCs w:val="16"/>
          <w:color w:val="auto"/>
        </w:rPr>
      </w:pPr>
    </w:p>
    <w:p>
      <w:pPr>
        <w:ind w:left="940" w:right="179" w:hanging="304"/>
        <w:spacing w:after="0" w:line="289" w:lineRule="auto"/>
        <w:tabs>
          <w:tab w:leader="none" w:pos="8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related to natural disasters, epidemic outbreaks, terrorist acts, political events or other events outside of our control;</w:t>
      </w:r>
    </w:p>
    <w:p>
      <w:pPr>
        <w:spacing w:after="0" w:line="1"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anti-corruption, anti-bribery and similar laws;</w:t>
      </w:r>
    </w:p>
    <w:p>
      <w:pPr>
        <w:spacing w:after="0" w:line="63" w:lineRule="exact"/>
        <w:rPr>
          <w:rFonts w:ascii="Times New Roman" w:cs="Times New Roman" w:eastAsia="Times New Roman" w:hAnsi="Times New Roman"/>
          <w:sz w:val="16"/>
          <w:szCs w:val="16"/>
          <w:color w:val="auto"/>
        </w:rPr>
      </w:pPr>
    </w:p>
    <w:p>
      <w:pPr>
        <w:ind w:left="940" w:right="439" w:hanging="304"/>
        <w:spacing w:after="0" w:line="289" w:lineRule="auto"/>
        <w:tabs>
          <w:tab w:leader="none" w:pos="8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 security ratings and market perceptions of the industry in which we operate, or our ability to obtain capital on commercially reasonable terms or at all;</w:t>
      </w:r>
    </w:p>
    <w:p>
      <w:pPr>
        <w:spacing w:after="0" w:line="1"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statements of belief and any statements of assumptions underlying any of the foregoing;</w:t>
      </w:r>
    </w:p>
    <w:p>
      <w:pPr>
        <w:spacing w:after="0" w:line="63" w:lineRule="exact"/>
        <w:rPr>
          <w:rFonts w:ascii="Times New Roman" w:cs="Times New Roman" w:eastAsia="Times New Roman" w:hAnsi="Times New Roman"/>
          <w:sz w:val="16"/>
          <w:szCs w:val="16"/>
          <w:color w:val="auto"/>
        </w:rPr>
      </w:pPr>
    </w:p>
    <w:p>
      <w:pPr>
        <w:ind w:left="860" w:hanging="224"/>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beyond our control;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3" w:name="page4"/>
    <w:bookmarkEnd w:id="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40" w:right="59" w:hanging="304"/>
        <w:spacing w:after="0" w:line="290" w:lineRule="auto"/>
        <w:tabs>
          <w:tab w:leader="none" w:pos="85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discussed in other sections of this Quarterly Report on Form 10-Q, including the sections titled “Management’s Discussion and Analysis of Financial Conditions and Results of Operations” and under Part II, Item 1A. “Risk Factors.”</w:t>
      </w:r>
    </w:p>
    <w:p>
      <w:pPr>
        <w:spacing w:after="0" w:line="198" w:lineRule="exact"/>
        <w:rPr>
          <w:sz w:val="20"/>
          <w:szCs w:val="20"/>
          <w:color w:val="auto"/>
        </w:rPr>
      </w:pPr>
    </w:p>
    <w:p>
      <w:pPr>
        <w:jc w:val="both"/>
        <w:ind w:left="40" w:right="59" w:firstLine="213"/>
        <w:spacing w:after="0" w:line="263"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682625</wp:posOffset>
            </wp:positionV>
            <wp:extent cx="566991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 w:name="page5"/>
    <w:bookmarkEnd w:id="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December 31, 2019 and September 30, 2020 (unaudited)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2"/>
                <w:szCs w:val="12"/>
                <w:color w:val="auto"/>
              </w:rPr>
            </w:pPr>
          </w:p>
        </w:tc>
        <w:tc>
          <w:tcPr>
            <w:tcW w:w="108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1"/>
        </w:trPr>
        <w:tc>
          <w:tcPr>
            <w:tcW w:w="4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16"/>
        </w:trPr>
        <w:tc>
          <w:tcPr>
            <w:tcW w:w="4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262"/>
              <w:spacing w:after="0" w:line="11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Current assets: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Cash and cash equivalents</w:t>
            </w:r>
          </w:p>
        </w:tc>
        <w:tc>
          <w:tcPr>
            <w:tcW w:w="1580" w:type="dxa"/>
            <w:vAlign w:val="bottom"/>
            <w:gridSpan w:val="2"/>
            <w:shd w:val="clear" w:color="auto" w:fill="CCEEFF"/>
          </w:tcPr>
          <w:p>
            <w:pPr>
              <w:jc w:val="right"/>
              <w:ind w:right="2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270,271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75,903</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Funds held for customers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8,745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7,592</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Accounts receivable, net of allowance of $7,567 (unaudited), and $7,515, respectively</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66,789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70,367</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Advances to stockholders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283</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16,001</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11,412</w:t>
            </w:r>
          </w:p>
        </w:tc>
      </w:tr>
      <w:tr>
        <w:trPr>
          <w:trHeight w:val="116"/>
        </w:trPr>
        <w:tc>
          <w:tcPr>
            <w:tcW w:w="4840" w:type="dxa"/>
            <w:vAlign w:val="bottom"/>
            <w:tcBorders>
              <w:bottom w:val="single" w:sz="8" w:color="CCEEFF"/>
            </w:tcBorders>
          </w:tcPr>
          <w:p>
            <w:pPr>
              <w:ind w:left="100"/>
              <w:spacing w:after="0" w:line="116" w:lineRule="exact"/>
              <w:rPr>
                <w:sz w:val="20"/>
                <w:szCs w:val="20"/>
                <w:color w:val="auto"/>
              </w:rPr>
            </w:pPr>
            <w:r>
              <w:rPr>
                <w:rFonts w:ascii="Times New Roman" w:cs="Times New Roman" w:eastAsia="Times New Roman" w:hAnsi="Times New Roman"/>
                <w:sz w:val="12"/>
                <w:szCs w:val="12"/>
                <w:color w:val="auto"/>
              </w:rPr>
              <w:t>Total current assets</w:t>
            </w:r>
          </w:p>
        </w:tc>
        <w:tc>
          <w:tcPr>
            <w:tcW w:w="14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361,808</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165,557</w:t>
            </w:r>
          </w:p>
        </w:tc>
      </w:tr>
      <w:tr>
        <w:trPr>
          <w:trHeight w:val="116"/>
        </w:trPr>
        <w:tc>
          <w:tcPr>
            <w:tcW w:w="4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Property and equipment, net of accumulated depreciation</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55,935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54,727</w:t>
            </w: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Capitalized software, net of accumulated amortization</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32,619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32,075</w:t>
            </w: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18,667</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Deferred commissions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10,372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11,196</w:t>
            </w: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income tax asset</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32,440</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219</w:t>
            </w:r>
          </w:p>
        </w:tc>
      </w:tr>
      <w:tr>
        <w:trPr>
          <w:trHeight w:val="123"/>
        </w:trPr>
        <w:tc>
          <w:tcPr>
            <w:tcW w:w="484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color w:val="auto"/>
              </w:rPr>
              <w:t>Deposits and other assets</w:t>
            </w:r>
          </w:p>
        </w:tc>
        <w:tc>
          <w:tcPr>
            <w:tcW w:w="14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3,093</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849</w:t>
            </w:r>
          </w:p>
        </w:tc>
      </w:tr>
      <w:tr>
        <w:trPr>
          <w:trHeight w:val="116"/>
        </w:trPr>
        <w:tc>
          <w:tcPr>
            <w:tcW w:w="4840" w:type="dxa"/>
            <w:vAlign w:val="bottom"/>
            <w:tcBorders>
              <w:bottom w:val="single" w:sz="8" w:color="CCEEFF"/>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2"/>
                <w:szCs w:val="12"/>
                <w:color w:val="auto"/>
              </w:rPr>
              <w:t>Total assets</w:t>
            </w:r>
          </w:p>
        </w:tc>
        <w:tc>
          <w:tcPr>
            <w:tcW w:w="1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514,934</w:t>
            </w:r>
          </w:p>
        </w:tc>
        <w:tc>
          <w:tcPr>
            <w:tcW w:w="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264,623</w:t>
            </w:r>
          </w:p>
        </w:tc>
      </w:tr>
      <w:tr>
        <w:trPr>
          <w:trHeight w:val="20"/>
        </w:trPr>
        <w:tc>
          <w:tcPr>
            <w:tcW w:w="4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01"/>
        </w:trPr>
        <w:tc>
          <w:tcPr>
            <w:tcW w:w="4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Current liabilities: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1580" w:type="dxa"/>
            <w:vAlign w:val="bottom"/>
            <w:gridSpan w:val="2"/>
            <w:shd w:val="clear" w:color="auto" w:fill="CCEEFF"/>
          </w:tcPr>
          <w:p>
            <w:pPr>
              <w:jc w:val="right"/>
              <w:ind w:right="28"/>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1,179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50,804</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Accounts payable</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11,828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10,729</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Accrued expenses</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15,014</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13,308</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Distributions payable</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13,183</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Customer funds obligations</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8,711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7,553</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Accrued salaries and benefits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20,276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15,195</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Accrued variable compensation</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16,154</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22,237</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Deferred compensation, current</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3,220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8,935</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Deferred revenue</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185,445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191,745</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Deferred rent and other</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908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840</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Future acquisition commitment, current</w:t>
            </w:r>
          </w:p>
        </w:tc>
        <w:tc>
          <w:tcPr>
            <w:tcW w:w="14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780</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16"/>
        </w:trPr>
        <w:tc>
          <w:tcPr>
            <w:tcW w:w="4840" w:type="dxa"/>
            <w:vAlign w:val="bottom"/>
            <w:tcBorders>
              <w:bottom w:val="single" w:sz="8" w:color="CCEEFF"/>
            </w:tcBorders>
          </w:tcPr>
          <w:p>
            <w:pPr>
              <w:ind w:left="200"/>
              <w:spacing w:after="0" w:line="116" w:lineRule="exact"/>
              <w:rPr>
                <w:sz w:val="20"/>
                <w:szCs w:val="20"/>
                <w:color w:val="auto"/>
              </w:rPr>
            </w:pPr>
            <w:r>
              <w:rPr>
                <w:rFonts w:ascii="Times New Roman" w:cs="Times New Roman" w:eastAsia="Times New Roman" w:hAnsi="Times New Roman"/>
                <w:sz w:val="12"/>
                <w:szCs w:val="12"/>
                <w:color w:val="auto"/>
              </w:rPr>
              <w:t>Total current liabilities</w:t>
            </w:r>
          </w:p>
        </w:tc>
        <w:tc>
          <w:tcPr>
            <w:tcW w:w="14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263,515</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334,529</w:t>
            </w:r>
          </w:p>
        </w:tc>
      </w:tr>
      <w:tr>
        <w:trPr>
          <w:trHeight w:val="116"/>
        </w:trPr>
        <w:tc>
          <w:tcPr>
            <w:tcW w:w="4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Deferred compensation, net of current portion</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2,156</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18,530</w:t>
            </w: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Deferred revenue, net of current portion</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12,095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14,046</w:t>
            </w: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Long-term debt, net of current portion</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329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682</w:t>
            </w: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Future acquisition commitment, net of current portion</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9,485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3"/>
        </w:trPr>
        <w:tc>
          <w:tcPr>
            <w:tcW w:w="4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other liabilities</w:t>
            </w:r>
          </w:p>
        </w:tc>
        <w:tc>
          <w:tcPr>
            <w:tcW w:w="14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8,793</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9,268</w:t>
            </w:r>
          </w:p>
        </w:tc>
      </w:tr>
      <w:tr>
        <w:trPr>
          <w:trHeight w:val="116"/>
        </w:trPr>
        <w:tc>
          <w:tcPr>
            <w:tcW w:w="4840" w:type="dxa"/>
            <w:vAlign w:val="bottom"/>
            <w:tcBorders>
              <w:bottom w:val="single" w:sz="8" w:color="CCEEFF"/>
            </w:tcBorders>
          </w:tcPr>
          <w:p>
            <w:pPr>
              <w:ind w:left="200"/>
              <w:spacing w:after="0" w:line="116" w:lineRule="exact"/>
              <w:rPr>
                <w:sz w:val="20"/>
                <w:szCs w:val="20"/>
                <w:color w:val="auto"/>
              </w:rPr>
            </w:pPr>
            <w:r>
              <w:rPr>
                <w:rFonts w:ascii="Times New Roman" w:cs="Times New Roman" w:eastAsia="Times New Roman" w:hAnsi="Times New Roman"/>
                <w:sz w:val="12"/>
                <w:szCs w:val="12"/>
                <w:color w:val="auto"/>
              </w:rPr>
              <w:t>Total liabilities</w:t>
            </w:r>
          </w:p>
        </w:tc>
        <w:tc>
          <w:tcPr>
            <w:tcW w:w="14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296,373</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377,055</w:t>
            </w:r>
          </w:p>
        </w:tc>
      </w:tr>
      <w:tr>
        <w:trPr>
          <w:trHeight w:val="116"/>
        </w:trPr>
        <w:tc>
          <w:tcPr>
            <w:tcW w:w="4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Commitments and contingencies (Note 11)</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23"/>
        </w:trPr>
        <w:tc>
          <w:tcPr>
            <w:tcW w:w="48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Options for redeemable shares</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17,344</w:t>
            </w:r>
          </w:p>
        </w:tc>
      </w:tr>
      <w:tr>
        <w:trPr>
          <w:trHeight w:val="116"/>
        </w:trPr>
        <w:tc>
          <w:tcPr>
            <w:tcW w:w="484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Stockholders' equity (deficit):</w:t>
            </w:r>
          </w:p>
        </w:tc>
        <w:tc>
          <w:tcPr>
            <w:tcW w:w="1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r>
      <w:tr>
        <w:trPr>
          <w:trHeight w:val="108"/>
        </w:trPr>
        <w:tc>
          <w:tcPr>
            <w:tcW w:w="6420" w:type="dxa"/>
            <w:vAlign w:val="bottom"/>
            <w:gridSpan w:val="3"/>
          </w:tcPr>
          <w:p>
            <w:pPr>
              <w:ind w:left="100"/>
              <w:spacing w:after="0" w:line="108" w:lineRule="exact"/>
              <w:rPr>
                <w:sz w:val="20"/>
                <w:szCs w:val="20"/>
                <w:color w:val="auto"/>
              </w:rPr>
            </w:pPr>
            <w:r>
              <w:rPr>
                <w:rFonts w:ascii="Times New Roman" w:cs="Times New Roman" w:eastAsia="Times New Roman" w:hAnsi="Times New Roman"/>
                <w:sz w:val="12"/>
                <w:szCs w:val="12"/>
                <w:color w:val="auto"/>
              </w:rPr>
              <w:t>Preferred shares, $0.001 par value, 30,000 and 0 shares authorized, respectively; 0 and 0 shares issued and outstanding,</w:t>
            </w: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39"/>
        </w:trPr>
        <w:tc>
          <w:tcPr>
            <w:tcW w:w="48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respectively</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6420" w:type="dxa"/>
            <w:vAlign w:val="bottom"/>
            <w:gridSpan w:val="3"/>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Class A voting common stock, $0.001 par value, 0 and 600 shares authorized, respectively; 0 and 300 shares issued, respectively;</w:t>
            </w:r>
          </w:p>
        </w:tc>
        <w:tc>
          <w:tcPr>
            <w:tcW w:w="10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3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0 and 147 shares outstanding, respectively</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484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w w:val="96"/>
              </w:rPr>
              <w:t>Class B non-voting common stock, $0.001 par value, 0 and 299,400 shares authorized, respectively; 0</w:t>
            </w:r>
          </w:p>
        </w:tc>
        <w:tc>
          <w:tcPr>
            <w:tcW w:w="15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w w:val="96"/>
              </w:rPr>
              <w:t>and 162,297 shares issued,</w:t>
            </w: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39"/>
        </w:trPr>
        <w:tc>
          <w:tcPr>
            <w:tcW w:w="48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respectively; 0 and 120,270 shares outstanding, respectively</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08"/>
        </w:trPr>
        <w:tc>
          <w:tcPr>
            <w:tcW w:w="6420" w:type="dxa"/>
            <w:vAlign w:val="bottom"/>
            <w:gridSpan w:val="3"/>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Class A voting common stock, $0.001 par value, 300,000 and 0 shares authorized, respectively; 25,688 and 0 shares issued and</w:t>
            </w:r>
          </w:p>
        </w:tc>
        <w:tc>
          <w:tcPr>
            <w:tcW w:w="10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3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outstanding, respectively</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6420" w:type="dxa"/>
            <w:vAlign w:val="bottom"/>
            <w:gridSpan w:val="3"/>
          </w:tcPr>
          <w:p>
            <w:pPr>
              <w:ind w:left="100"/>
              <w:spacing w:after="0" w:line="108" w:lineRule="exact"/>
              <w:rPr>
                <w:sz w:val="20"/>
                <w:szCs w:val="20"/>
                <w:color w:val="auto"/>
              </w:rPr>
            </w:pPr>
            <w:r>
              <w:rPr>
                <w:rFonts w:ascii="Times New Roman" w:cs="Times New Roman" w:eastAsia="Times New Roman" w:hAnsi="Times New Roman"/>
                <w:sz w:val="12"/>
                <w:szCs w:val="12"/>
                <w:color w:val="auto"/>
              </w:rPr>
              <w:t>Class B voting common stock, $0.001 par value, 150,000 and 0 shares authorized, respectively; 120,417 and 0 shares issued and</w:t>
            </w: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39"/>
        </w:trPr>
        <w:tc>
          <w:tcPr>
            <w:tcW w:w="48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 respectively</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Additional paid in capital</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200,722</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Retained earnings (accumulated deficit)</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21,696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(90,701)</w:t>
            </w:r>
          </w:p>
        </w:tc>
      </w:tr>
      <w:tr>
        <w:trPr>
          <w:trHeight w:val="123"/>
        </w:trPr>
        <w:tc>
          <w:tcPr>
            <w:tcW w:w="48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(4,003)</w:t>
            </w: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(491)</w:t>
            </w:r>
          </w:p>
        </w:tc>
      </w:tr>
      <w:tr>
        <w:trPr>
          <w:trHeight w:val="123"/>
        </w:trPr>
        <w:tc>
          <w:tcPr>
            <w:tcW w:w="484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Treasury stock</w:t>
            </w: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(38,638)</w:t>
            </w:r>
          </w:p>
        </w:tc>
      </w:tr>
      <w:tr>
        <w:trPr>
          <w:trHeight w:val="116"/>
        </w:trPr>
        <w:tc>
          <w:tcPr>
            <w:tcW w:w="4840" w:type="dxa"/>
            <w:vAlign w:val="bottom"/>
            <w:tcBorders>
              <w:top w:val="single" w:sz="8" w:color="CCEEFF"/>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2"/>
                <w:szCs w:val="12"/>
                <w:color w:val="auto"/>
              </w:rPr>
              <w:t>Total stockholders' equity (deficit)</w:t>
            </w:r>
          </w:p>
        </w:tc>
        <w:tc>
          <w:tcPr>
            <w:tcW w:w="1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218,561</w:t>
            </w: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(129,776)</w:t>
            </w:r>
          </w:p>
        </w:tc>
      </w:tr>
      <w:tr>
        <w:trPr>
          <w:trHeight w:val="116"/>
        </w:trPr>
        <w:tc>
          <w:tcPr>
            <w:tcW w:w="4840" w:type="dxa"/>
            <w:vAlign w:val="bottom"/>
          </w:tcPr>
          <w:p>
            <w:pPr>
              <w:ind w:left="300"/>
              <w:spacing w:after="0" w:line="116" w:lineRule="exact"/>
              <w:rPr>
                <w:sz w:val="20"/>
                <w:szCs w:val="20"/>
                <w:color w:val="auto"/>
              </w:rPr>
            </w:pPr>
            <w:r>
              <w:rPr>
                <w:rFonts w:ascii="Times New Roman" w:cs="Times New Roman" w:eastAsia="Times New Roman" w:hAnsi="Times New Roman"/>
                <w:sz w:val="12"/>
                <w:szCs w:val="12"/>
                <w:color w:val="auto"/>
              </w:rPr>
              <w:t>Total liabilities and equity</w:t>
            </w:r>
          </w:p>
        </w:tc>
        <w:tc>
          <w:tcPr>
            <w:tcW w:w="1440" w:type="dxa"/>
            <w:vAlign w:val="bottom"/>
          </w:tcPr>
          <w:p>
            <w:pPr>
              <w:spacing w:after="0"/>
              <w:rPr>
                <w:sz w:val="10"/>
                <w:szCs w:val="10"/>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514,934</w:t>
            </w: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2"/>
                <w:szCs w:val="12"/>
                <w:color w:val="auto"/>
              </w:rPr>
              <w:t>264,623</w:t>
            </w:r>
          </w:p>
        </w:tc>
      </w:tr>
      <w:tr>
        <w:trPr>
          <w:trHeight w:val="20"/>
        </w:trPr>
        <w:tc>
          <w:tcPr>
            <w:tcW w:w="4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9915" cy="1587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 w:name="page6"/>
    <w:bookmarkEnd w:id="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2020 (unaudited)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2"/>
                <w:szCs w:val="12"/>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500" w:type="dxa"/>
            <w:vAlign w:val="bottom"/>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52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4"/>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4"/>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16"/>
        </w:trPr>
        <w:tc>
          <w:tcPr>
            <w:tcW w:w="5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Revenues: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2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Software subscriptions</w:t>
            </w:r>
          </w:p>
        </w:tc>
        <w:tc>
          <w:tcPr>
            <w:tcW w:w="1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79,778</w:t>
            </w:r>
          </w:p>
        </w:tc>
        <w:tc>
          <w:tcPr>
            <w:tcW w:w="160" w:type="dxa"/>
            <w:vAlign w:val="bottom"/>
          </w:tcPr>
          <w:p>
            <w:pPr>
              <w:spacing w:after="0"/>
              <w:rPr>
                <w:sz w:val="11"/>
                <w:szCs w:val="11"/>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71,041</w:t>
            </w:r>
          </w:p>
        </w:tc>
        <w:tc>
          <w:tcPr>
            <w:tcW w:w="16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232,844</w:t>
            </w:r>
          </w:p>
        </w:tc>
        <w:tc>
          <w:tcPr>
            <w:tcW w:w="16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202,692</w:t>
            </w: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Services</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14,827</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11,398</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42,277</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32,736</w:t>
            </w:r>
          </w:p>
        </w:tc>
        <w:tc>
          <w:tcPr>
            <w:tcW w:w="0" w:type="dxa"/>
            <w:vAlign w:val="bottom"/>
          </w:tcPr>
          <w:p>
            <w:pPr>
              <w:spacing w:after="0"/>
              <w:rPr>
                <w:sz w:val="1"/>
                <w:szCs w:val="1"/>
                <w:color w:val="auto"/>
              </w:rPr>
            </w:pPr>
          </w:p>
        </w:tc>
      </w:tr>
      <w:tr>
        <w:trPr>
          <w:trHeight w:val="128"/>
        </w:trPr>
        <w:tc>
          <w:tcPr>
            <w:tcW w:w="5240" w:type="dxa"/>
            <w:vAlign w:val="bottom"/>
            <w:tcBorders>
              <w:bottom w:val="single" w:sz="8" w:color="CCEEFF"/>
            </w:tcBorders>
          </w:tcPr>
          <w:p>
            <w:pPr>
              <w:ind w:left="200"/>
              <w:spacing w:after="0" w:line="128" w:lineRule="exact"/>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94,605</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82,439</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275,121</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235,428</w:t>
            </w:r>
          </w:p>
        </w:tc>
        <w:tc>
          <w:tcPr>
            <w:tcW w:w="0" w:type="dxa"/>
            <w:vAlign w:val="bottom"/>
          </w:tcPr>
          <w:p>
            <w:pPr>
              <w:spacing w:after="0"/>
              <w:rPr>
                <w:sz w:val="1"/>
                <w:szCs w:val="1"/>
                <w:color w:val="auto"/>
              </w:rPr>
            </w:pPr>
          </w:p>
        </w:tc>
      </w:tr>
      <w:tr>
        <w:trPr>
          <w:trHeight w:val="128"/>
        </w:trPr>
        <w:tc>
          <w:tcPr>
            <w:tcW w:w="524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Cost of revenues: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2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Software subscriptions</w:t>
            </w: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29,161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18,647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79,846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56,490</w:t>
            </w: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Services</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18,807</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8,786</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49,329</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23,616</w:t>
            </w:r>
          </w:p>
        </w:tc>
        <w:tc>
          <w:tcPr>
            <w:tcW w:w="0" w:type="dxa"/>
            <w:vAlign w:val="bottom"/>
          </w:tcPr>
          <w:p>
            <w:pPr>
              <w:spacing w:after="0"/>
              <w:rPr>
                <w:sz w:val="1"/>
                <w:szCs w:val="1"/>
                <w:color w:val="auto"/>
              </w:rPr>
            </w:pPr>
          </w:p>
        </w:tc>
      </w:tr>
      <w:tr>
        <w:trPr>
          <w:trHeight w:val="128"/>
        </w:trPr>
        <w:tc>
          <w:tcPr>
            <w:tcW w:w="5240" w:type="dxa"/>
            <w:vAlign w:val="bottom"/>
            <w:tcBorders>
              <w:bottom w:val="single" w:sz="8" w:color="CCEEFF"/>
            </w:tcBorders>
          </w:tcPr>
          <w:p>
            <w:pPr>
              <w:ind w:left="200"/>
              <w:spacing w:after="0" w:line="128" w:lineRule="exact"/>
              <w:rPr>
                <w:sz w:val="20"/>
                <w:szCs w:val="20"/>
                <w:color w:val="auto"/>
              </w:rPr>
            </w:pPr>
            <w:r>
              <w:rPr>
                <w:rFonts w:ascii="Times New Roman" w:cs="Times New Roman" w:eastAsia="Times New Roman" w:hAnsi="Times New Roman"/>
                <w:sz w:val="13"/>
                <w:szCs w:val="13"/>
                <w:color w:val="auto"/>
              </w:rPr>
              <w:t>Total cost of revenues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47,968</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27,433</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129,175</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80,106</w:t>
            </w:r>
          </w:p>
        </w:tc>
        <w:tc>
          <w:tcPr>
            <w:tcW w:w="0" w:type="dxa"/>
            <w:vAlign w:val="bottom"/>
          </w:tcPr>
          <w:p>
            <w:pPr>
              <w:spacing w:after="0"/>
              <w:rPr>
                <w:sz w:val="1"/>
                <w:szCs w:val="1"/>
                <w:color w:val="auto"/>
              </w:rPr>
            </w:pPr>
          </w:p>
        </w:tc>
      </w:tr>
      <w:tr>
        <w:trPr>
          <w:trHeight w:val="128"/>
        </w:trPr>
        <w:tc>
          <w:tcPr>
            <w:tcW w:w="5240" w:type="dxa"/>
            <w:vAlign w:val="bottom"/>
            <w:shd w:val="clear" w:color="auto" w:fill="CCEEFF"/>
          </w:tcPr>
          <w:p>
            <w:pPr>
              <w:ind w:left="300"/>
              <w:spacing w:after="0" w:line="128" w:lineRule="exact"/>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46,637</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55,006</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145,946</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155,322</w:t>
            </w:r>
          </w:p>
        </w:tc>
        <w:tc>
          <w:tcPr>
            <w:tcW w:w="0" w:type="dxa"/>
            <w:vAlign w:val="bottom"/>
          </w:tcPr>
          <w:p>
            <w:pPr>
              <w:spacing w:after="0"/>
              <w:rPr>
                <w:sz w:val="1"/>
                <w:szCs w:val="1"/>
                <w:color w:val="auto"/>
              </w:rPr>
            </w:pPr>
          </w:p>
        </w:tc>
      </w:tr>
      <w:tr>
        <w:trPr>
          <w:trHeight w:val="128"/>
        </w:trPr>
        <w:tc>
          <w:tcPr>
            <w:tcW w:w="52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Research and development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16,501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7,271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43,197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22,049</w:t>
            </w:r>
          </w:p>
        </w:tc>
        <w:tc>
          <w:tcPr>
            <w:tcW w:w="0" w:type="dxa"/>
            <w:vAlign w:val="bottom"/>
          </w:tcPr>
          <w:p>
            <w:pPr>
              <w:spacing w:after="0"/>
              <w:rPr>
                <w:sz w:val="1"/>
                <w:szCs w:val="1"/>
                <w:color w:val="auto"/>
              </w:rPr>
            </w:pPr>
          </w:p>
        </w:tc>
      </w:tr>
      <w:tr>
        <w:trPr>
          <w:trHeight w:val="136"/>
        </w:trPr>
        <w:tc>
          <w:tcPr>
            <w:tcW w:w="52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Selling and marketing</w:t>
            </w: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29,423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15,830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78,300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49,164</w:t>
            </w: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48,043</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17,263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123,437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49,358</w:t>
            </w:r>
          </w:p>
        </w:tc>
        <w:tc>
          <w:tcPr>
            <w:tcW w:w="0" w:type="dxa"/>
            <w:vAlign w:val="bottom"/>
          </w:tcPr>
          <w:p>
            <w:pPr>
              <w:spacing w:after="0"/>
              <w:rPr>
                <w:sz w:val="1"/>
                <w:szCs w:val="1"/>
                <w:color w:val="auto"/>
              </w:rPr>
            </w:pPr>
          </w:p>
        </w:tc>
      </w:tr>
      <w:tr>
        <w:trPr>
          <w:trHeight w:val="136"/>
        </w:trPr>
        <w:tc>
          <w:tcPr>
            <w:tcW w:w="52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2,735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6,528</w:t>
            </w: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Other operating (income) expense, net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(60)</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472</w:t>
            </w:r>
          </w:p>
        </w:tc>
        <w:tc>
          <w:tcPr>
            <w:tcW w:w="0" w:type="dxa"/>
            <w:vAlign w:val="bottom"/>
          </w:tcPr>
          <w:p>
            <w:pPr>
              <w:spacing w:after="0"/>
              <w:rPr>
                <w:sz w:val="1"/>
                <w:szCs w:val="1"/>
                <w:color w:val="auto"/>
              </w:rPr>
            </w:pPr>
          </w:p>
        </w:tc>
      </w:tr>
      <w:tr>
        <w:trPr>
          <w:trHeight w:val="128"/>
        </w:trPr>
        <w:tc>
          <w:tcPr>
            <w:tcW w:w="5240" w:type="dxa"/>
            <w:vAlign w:val="bottom"/>
            <w:tcBorders>
              <w:bottom w:val="single" w:sz="8" w:color="CCEEFF"/>
            </w:tcBorders>
          </w:tcPr>
          <w:p>
            <w:pPr>
              <w:ind w:left="200"/>
              <w:spacing w:after="0" w:line="128" w:lineRule="exact"/>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96,642</w:t>
            </w:r>
          </w:p>
        </w:tc>
        <w:tc>
          <w:tcPr>
            <w:tcW w:w="16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42,679</w:t>
            </w:r>
          </w:p>
        </w:tc>
        <w:tc>
          <w:tcPr>
            <w:tcW w:w="1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253,197</w:t>
            </w:r>
          </w:p>
        </w:tc>
        <w:tc>
          <w:tcPr>
            <w:tcW w:w="1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127,571</w:t>
            </w:r>
          </w:p>
        </w:tc>
        <w:tc>
          <w:tcPr>
            <w:tcW w:w="0" w:type="dxa"/>
            <w:vAlign w:val="bottom"/>
          </w:tcPr>
          <w:p>
            <w:pPr>
              <w:spacing w:after="0"/>
              <w:rPr>
                <w:sz w:val="1"/>
                <w:szCs w:val="1"/>
                <w:color w:val="auto"/>
              </w:rPr>
            </w:pPr>
          </w:p>
        </w:tc>
      </w:tr>
      <w:tr>
        <w:trPr>
          <w:trHeight w:val="128"/>
        </w:trPr>
        <w:tc>
          <w:tcPr>
            <w:tcW w:w="5240" w:type="dxa"/>
            <w:vAlign w:val="bottom"/>
            <w:shd w:val="clear" w:color="auto" w:fill="CCEEFF"/>
          </w:tcPr>
          <w:p>
            <w:pPr>
              <w:ind w:left="300"/>
              <w:spacing w:after="0" w:line="128" w:lineRule="exact"/>
              <w:rPr>
                <w:sz w:val="20"/>
                <w:szCs w:val="20"/>
                <w:color w:val="auto"/>
              </w:rPr>
            </w:pPr>
            <w:r>
              <w:rPr>
                <w:rFonts w:ascii="Times New Roman" w:cs="Times New Roman" w:eastAsia="Times New Roman" w:hAnsi="Times New Roman"/>
                <w:sz w:val="13"/>
                <w:szCs w:val="13"/>
                <w:color w:val="auto"/>
              </w:rPr>
              <w:t>Income (loss) from operations</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(50,005)</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12,327</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(107,251)</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27,751</w:t>
            </w:r>
          </w:p>
        </w:tc>
        <w:tc>
          <w:tcPr>
            <w:tcW w:w="0" w:type="dxa"/>
            <w:vAlign w:val="bottom"/>
          </w:tcPr>
          <w:p>
            <w:pPr>
              <w:spacing w:after="0"/>
              <w:rPr>
                <w:sz w:val="1"/>
                <w:szCs w:val="1"/>
                <w:color w:val="auto"/>
              </w:rPr>
            </w:pPr>
          </w:p>
        </w:tc>
      </w:tr>
      <w:tr>
        <w:trPr>
          <w:trHeight w:val="128"/>
        </w:trPr>
        <w:tc>
          <w:tcPr>
            <w:tcW w:w="52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Other (income) expense: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(79)</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(251)</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(535)</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36"/>
        </w:trPr>
        <w:tc>
          <w:tcPr>
            <w:tcW w:w="5240" w:type="dxa"/>
            <w:vAlign w:val="bottom"/>
            <w:tcBorders>
              <w:bottom w:val="single" w:sz="8" w:color="CCEEFF"/>
            </w:tcBorders>
          </w:tcPr>
          <w:p>
            <w:pPr>
              <w:ind w:left="100"/>
              <w:spacing w:after="0" w:line="136"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1,875</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503</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3,959</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1,579</w:t>
            </w:r>
          </w:p>
        </w:tc>
        <w:tc>
          <w:tcPr>
            <w:tcW w:w="0" w:type="dxa"/>
            <w:vAlign w:val="bottom"/>
          </w:tcPr>
          <w:p>
            <w:pPr>
              <w:spacing w:after="0"/>
              <w:rPr>
                <w:sz w:val="1"/>
                <w:szCs w:val="1"/>
                <w:color w:val="auto"/>
              </w:rPr>
            </w:pPr>
          </w:p>
        </w:tc>
      </w:tr>
      <w:tr>
        <w:trPr>
          <w:trHeight w:val="128"/>
        </w:trPr>
        <w:tc>
          <w:tcPr>
            <w:tcW w:w="5240" w:type="dxa"/>
            <w:vAlign w:val="bottom"/>
            <w:shd w:val="clear" w:color="auto" w:fill="CCEEFF"/>
          </w:tcPr>
          <w:p>
            <w:pPr>
              <w:ind w:left="200"/>
              <w:spacing w:after="0" w:line="128" w:lineRule="exact"/>
              <w:rPr>
                <w:sz w:val="20"/>
                <w:szCs w:val="20"/>
                <w:color w:val="auto"/>
              </w:rPr>
            </w:pPr>
            <w:r>
              <w:rPr>
                <w:rFonts w:ascii="Times New Roman" w:cs="Times New Roman" w:eastAsia="Times New Roman" w:hAnsi="Times New Roman"/>
                <w:sz w:val="13"/>
                <w:szCs w:val="13"/>
                <w:color w:val="auto"/>
              </w:rPr>
              <w:t>Total other expense, net</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1,796</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252</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3,424</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128"/>
        </w:trPr>
        <w:tc>
          <w:tcPr>
            <w:tcW w:w="52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auto"/>
              </w:rPr>
              <w:t>Income (loss) before income taxes</w:t>
            </w:r>
          </w:p>
        </w:tc>
        <w:tc>
          <w:tcPr>
            <w:tcW w:w="1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(51,801)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12,075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(110,675)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26,947</w:t>
            </w:r>
          </w:p>
        </w:tc>
        <w:tc>
          <w:tcPr>
            <w:tcW w:w="0" w:type="dxa"/>
            <w:vAlign w:val="bottom"/>
          </w:tcPr>
          <w:p>
            <w:pPr>
              <w:spacing w:after="0"/>
              <w:rPr>
                <w:sz w:val="1"/>
                <w:szCs w:val="1"/>
                <w:color w:val="auto"/>
              </w:rPr>
            </w:pPr>
          </w:p>
        </w:tc>
      </w:tr>
      <w:tr>
        <w:trPr>
          <w:trHeight w:val="136"/>
        </w:trPr>
        <w:tc>
          <w:tcPr>
            <w:tcW w:w="5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(30,773)</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175</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(31,508)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28"/>
        </w:trPr>
        <w:tc>
          <w:tcPr>
            <w:tcW w:w="52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(21,028)</w:t>
            </w: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11,900</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(79,167)</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26,347</w:t>
            </w:r>
          </w:p>
        </w:tc>
        <w:tc>
          <w:tcPr>
            <w:tcW w:w="0" w:type="dxa"/>
            <w:vAlign w:val="bottom"/>
          </w:tcPr>
          <w:p>
            <w:pPr>
              <w:spacing w:after="0"/>
              <w:rPr>
                <w:sz w:val="1"/>
                <w:szCs w:val="1"/>
                <w:color w:val="auto"/>
              </w:rPr>
            </w:pPr>
          </w:p>
        </w:tc>
      </w:tr>
      <w:tr>
        <w:trPr>
          <w:trHeight w:val="116"/>
        </w:trPr>
        <w:tc>
          <w:tcPr>
            <w:tcW w:w="524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3"/>
                <w:szCs w:val="13"/>
                <w:color w:val="auto"/>
              </w:rPr>
              <w:t>Other comprehensive loss from foreign currency translation adjustments and revaluations, net</w:t>
            </w: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 tax</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40" w:type="dxa"/>
            <w:vAlign w:val="bottom"/>
            <w:tcBorders>
              <w:bottom w:val="single" w:sz="8" w:color="CCEEFF"/>
            </w:tcBorders>
          </w:tcPr>
          <w:p>
            <w:pPr>
              <w:ind w:left="200"/>
              <w:spacing w:after="0" w:line="128"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18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(21,266)</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11,726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(82,679)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26,171</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(loss) income attributable to Class A stockholders, basic</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(2,751)</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(2,427)</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(loss) income per Class A share, basic</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(0.15)</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0.10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(0.40)</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0.16</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Weighted average Class A common stock, basic</w:t>
            </w: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18,124</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225</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6,129</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(loss) income attributable to Class A stockholders,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(2,751)</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373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(2,427)</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826</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(loss) income per Class A share, diluted</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(0.15)</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0.10</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(0.40)</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common Class A stock,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18,124</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3,893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6,129</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3,898</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(loss) income attributable to Class B stockholders, basic</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(18,277)</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11,878</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(76,740)</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26,326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(loss) income per Class B share, basic</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(0.15)</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0.10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(0.64)</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Weighted average common Class B stock, basic</w:t>
            </w: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(loss) income attributable to Class B stockholders,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(18,277)</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11,527</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(76,740)</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25,521</w:t>
            </w: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(loss) income per Class B share, diluted</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(0.15)</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0.10</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(0.64)</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common Class B stock,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0" w:type="dxa"/>
            <w:vAlign w:val="bottom"/>
          </w:tcPr>
          <w:p>
            <w:pPr>
              <w:spacing w:after="0"/>
              <w:rPr>
                <w:sz w:val="1"/>
                <w:szCs w:val="1"/>
                <w:color w:val="auto"/>
              </w:rPr>
            </w:pPr>
          </w:p>
        </w:tc>
      </w:tr>
      <w:tr>
        <w:trPr>
          <w:trHeight w:val="113"/>
        </w:trPr>
        <w:tc>
          <w:tcPr>
            <w:tcW w:w="5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Loss before income taxes</w:t>
            </w:r>
          </w:p>
        </w:tc>
        <w:tc>
          <w:tcPr>
            <w:tcW w:w="180" w:type="dxa"/>
            <w:vAlign w:val="bottom"/>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(51,801)</w:t>
            </w: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(110,675)</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2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Pro forma provision for income tax benefit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(13,106)</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(28,001)</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240" w:type="dxa"/>
            <w:vAlign w:val="bottom"/>
            <w:tcBorders>
              <w:top w:val="single" w:sz="8" w:color="CCEEFF"/>
              <w:bottom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Pro forma net loss</w:t>
            </w:r>
          </w:p>
        </w:tc>
        <w:tc>
          <w:tcPr>
            <w:tcW w:w="180" w:type="dxa"/>
            <w:vAlign w:val="bottom"/>
            <w:tcBorders>
              <w:top w:val="single" w:sz="8" w:color="auto"/>
              <w:bottom w:val="single" w:sz="8" w:color="auto"/>
            </w:tcBorders>
            <w:shd w:val="clear" w:color="auto" w:fill="CCEEFF"/>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(38,695)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(82,674)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Pro forma net loss attributable to Class A stockholders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(5,062)</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(4,004)</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Weighted average Class A common stock, basic and diluted</w:t>
            </w: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18,124</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6,129</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Pro forma net loss per Class A share, basic and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(0.28)</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(0.65)</w:t>
            </w:r>
          </w:p>
        </w:tc>
        <w:tc>
          <w:tcPr>
            <w:tcW w:w="1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Pro forma net loss attributable to Class B stockholders</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(33,633)</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(78,670)</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Class B common stock, basic and 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120,417</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2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Pro forma net loss per Class B share, basic and diluted</w:t>
            </w:r>
          </w:p>
        </w:tc>
        <w:tc>
          <w:tcPr>
            <w:tcW w:w="180" w:type="dxa"/>
            <w:vAlign w:val="bottom"/>
            <w:tcBorders>
              <w:bottom w:val="single" w:sz="8" w:color="auto"/>
            </w:tcBorders>
            <w:shd w:val="clear" w:color="auto" w:fill="CCEEFF"/>
          </w:tcPr>
          <w:p>
            <w:pPr>
              <w:jc w:val="right"/>
              <w:ind w:right="34"/>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(0.28)</w:t>
            </w:r>
          </w:p>
        </w:tc>
        <w:tc>
          <w:tcPr>
            <w:tcW w:w="1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(0.65)</w:t>
            </w: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 w:name="page7"/>
    <w:bookmarkEnd w:id="6"/>
    <w:p>
      <w:pPr>
        <w:ind w:left="2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 (Deficit)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(unaudited)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8255</wp:posOffset>
            </wp:positionV>
            <wp:extent cx="64928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2875" cy="762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0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Before Recapitalization</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After Recapitalization</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Retained</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060" w:type="dxa"/>
            <w:vAlign w:val="bottom"/>
          </w:tcPr>
          <w:p>
            <w:pPr>
              <w:spacing w:after="0"/>
              <w:rPr>
                <w:sz w:val="8"/>
                <w:szCs w:val="8"/>
                <w:color w:val="auto"/>
              </w:rPr>
            </w:pPr>
          </w:p>
        </w:tc>
        <w:tc>
          <w:tcPr>
            <w:tcW w:w="64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40" w:type="dxa"/>
            <w:vAlign w:val="bottom"/>
          </w:tcPr>
          <w:p>
            <w:pPr>
              <w:spacing w:after="0"/>
              <w:rPr>
                <w:sz w:val="8"/>
                <w:szCs w:val="8"/>
                <w:color w:val="auto"/>
              </w:rPr>
            </w:pPr>
          </w:p>
        </w:tc>
        <w:tc>
          <w:tcPr>
            <w:tcW w:w="580" w:type="dxa"/>
            <w:vAlign w:val="bottom"/>
            <w:gridSpan w:val="3"/>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74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100" w:type="dxa"/>
            <w:vAlign w:val="bottom"/>
            <w:gridSpan w:val="4"/>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Class B Outstanding</w:t>
            </w:r>
          </w:p>
        </w:tc>
        <w:tc>
          <w:tcPr>
            <w:tcW w:w="40" w:type="dxa"/>
            <w:vAlign w:val="bottom"/>
          </w:tcPr>
          <w:p>
            <w:pPr>
              <w:spacing w:after="0"/>
              <w:rPr>
                <w:sz w:val="8"/>
                <w:szCs w:val="8"/>
                <w:color w:val="auto"/>
              </w:rPr>
            </w:pPr>
          </w:p>
        </w:tc>
        <w:tc>
          <w:tcPr>
            <w:tcW w:w="540" w:type="dxa"/>
            <w:vAlign w:val="bottom"/>
            <w:gridSpan w:val="3"/>
          </w:tcPr>
          <w:p>
            <w:pPr>
              <w:jc w:val="right"/>
              <w:ind w:right="120"/>
              <w:spacing w:after="0" w:line="9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68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540" w:type="dxa"/>
            <w:vAlign w:val="bottom"/>
            <w:gridSpan w:val="3"/>
          </w:tcPr>
          <w:p>
            <w:pPr>
              <w:jc w:val="right"/>
              <w:ind w:right="120"/>
              <w:spacing w:after="0" w:line="9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580" w:type="dxa"/>
            <w:vAlign w:val="bottom"/>
            <w:gridSpan w:val="3"/>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8"/>
                <w:szCs w:val="8"/>
                <w:color w:val="auto"/>
              </w:rPr>
            </w:pPr>
          </w:p>
        </w:tc>
        <w:tc>
          <w:tcPr>
            <w:tcW w:w="66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0"/>
                <w:szCs w:val="10"/>
                <w:b w:val="1"/>
                <w:bCs w:val="1"/>
                <w:color w:val="auto"/>
              </w:rPr>
              <w:t>Other</w:t>
            </w:r>
          </w:p>
        </w:tc>
        <w:tc>
          <w:tcPr>
            <w:tcW w:w="58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580" w:type="dxa"/>
            <w:vAlign w:val="bottom"/>
            <w:gridSpan w:val="2"/>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Options for</w:t>
            </w:r>
          </w:p>
        </w:tc>
        <w:tc>
          <w:tcPr>
            <w:tcW w:w="0" w:type="dxa"/>
            <w:vAlign w:val="bottom"/>
          </w:tcPr>
          <w:p>
            <w:pPr>
              <w:spacing w:after="0"/>
              <w:rPr>
                <w:sz w:val="1"/>
                <w:szCs w:val="1"/>
                <w:color w:val="auto"/>
              </w:rPr>
            </w:pPr>
          </w:p>
        </w:tc>
      </w:tr>
      <w:tr>
        <w:trPr>
          <w:trHeight w:val="123"/>
        </w:trPr>
        <w:tc>
          <w:tcPr>
            <w:tcW w:w="1060" w:type="dxa"/>
            <w:vAlign w:val="bottom"/>
          </w:tcPr>
          <w:p>
            <w:pPr>
              <w:spacing w:after="0"/>
              <w:rPr>
                <w:sz w:val="10"/>
                <w:szCs w:val="10"/>
                <w:color w:val="auto"/>
              </w:rPr>
            </w:pPr>
          </w:p>
        </w:tc>
        <w:tc>
          <w:tcPr>
            <w:tcW w:w="64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5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5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0"/>
                <w:szCs w:val="10"/>
                <w:color w:val="auto"/>
              </w:rPr>
            </w:pPr>
          </w:p>
        </w:tc>
        <w:tc>
          <w:tcPr>
            <w:tcW w:w="5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5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0"/>
                <w:szCs w:val="10"/>
                <w:color w:val="auto"/>
              </w:rPr>
            </w:pPr>
          </w:p>
        </w:tc>
        <w:tc>
          <w:tcPr>
            <w:tcW w:w="5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2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(Accumulated Comprehensive</w:t>
            </w:r>
          </w:p>
        </w:tc>
        <w:tc>
          <w:tcPr>
            <w:tcW w:w="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5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w w:val="86"/>
              </w:rPr>
              <w:t>Redeemable</w:t>
            </w: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2"/>
                <w:szCs w:val="12"/>
                <w:color w:val="auto"/>
              </w:rPr>
            </w:pP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Issued</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120" w:type="dxa"/>
            <w:vAlign w:val="bottom"/>
          </w:tcPr>
          <w:p>
            <w:pPr>
              <w:spacing w:after="0"/>
              <w:rPr>
                <w:sz w:val="12"/>
                <w:szCs w:val="12"/>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00"/>
        </w:trPr>
        <w:tc>
          <w:tcPr>
            <w:tcW w:w="1060" w:type="dxa"/>
            <w:vAlign w:val="bottom"/>
            <w:tcBorders>
              <w:top w:val="single" w:sz="8" w:color="CCEEFF"/>
            </w:tcBorders>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 January 1,</w:t>
            </w: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54</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(88,038)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41,685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3"/>
              </w:rPr>
              <w:t>$(37,797)</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(126,277)</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14,581</w:t>
            </w:r>
          </w:p>
        </w:tc>
        <w:tc>
          <w:tcPr>
            <w:tcW w:w="0" w:type="dxa"/>
            <w:vAlign w:val="bottom"/>
          </w:tcPr>
          <w:p>
            <w:pPr>
              <w:spacing w:after="0"/>
              <w:rPr>
                <w:sz w:val="1"/>
                <w:szCs w:val="1"/>
                <w:color w:val="auto"/>
              </w:rPr>
            </w:pPr>
          </w:p>
        </w:tc>
      </w:tr>
      <w:tr>
        <w:trPr>
          <w:trHeight w:val="108"/>
        </w:trPr>
        <w:tc>
          <w:tcPr>
            <w:tcW w:w="106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Remeasurement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of options for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redeemable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(607)</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108"/>
        </w:trPr>
        <w:tc>
          <w:tcPr>
            <w:tcW w:w="10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Distributions</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declared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(5,255)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(5,255)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revaluations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Net income</w:t>
            </w: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7,325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7,325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0"/>
        </w:trPr>
        <w:tc>
          <w:tcPr>
            <w:tcW w:w="106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w:t>
            </w: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 31, 2019</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(86,575)</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(475)</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41,685</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(37,797)</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(124,793)</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15,188</w:t>
            </w:r>
          </w:p>
        </w:tc>
        <w:tc>
          <w:tcPr>
            <w:tcW w:w="0" w:type="dxa"/>
            <w:vAlign w:val="bottom"/>
          </w:tcPr>
          <w:p>
            <w:pPr>
              <w:spacing w:after="0"/>
              <w:rPr>
                <w:sz w:val="1"/>
                <w:szCs w:val="1"/>
                <w:color w:val="auto"/>
              </w:rPr>
            </w:pPr>
          </w:p>
        </w:tc>
      </w:tr>
      <w:tr>
        <w:trPr>
          <w:trHeight w:val="108"/>
        </w:trPr>
        <w:tc>
          <w:tcPr>
            <w:tcW w:w="10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Remeasurement</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of options for</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redeemable</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108"/>
        </w:trPr>
        <w:tc>
          <w:tcPr>
            <w:tcW w:w="106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Exercise of stock</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options,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Distributions</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declared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(6,105)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(6,105)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revaluations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Net income</w:t>
            </w: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7,122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7,122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0"/>
        </w:trPr>
        <w:tc>
          <w:tcPr>
            <w:tcW w:w="106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w:t>
            </w: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June 30, 2019</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(85,250)</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(498)</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41,685</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(37,797)</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(123,491)</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14,764</w:t>
            </w:r>
          </w:p>
        </w:tc>
        <w:tc>
          <w:tcPr>
            <w:tcW w:w="0" w:type="dxa"/>
            <w:vAlign w:val="bottom"/>
          </w:tcPr>
          <w:p>
            <w:pPr>
              <w:spacing w:after="0"/>
              <w:rPr>
                <w:sz w:val="1"/>
                <w:szCs w:val="1"/>
                <w:color w:val="auto"/>
              </w:rPr>
            </w:pPr>
          </w:p>
        </w:tc>
      </w:tr>
      <w:tr>
        <w:trPr>
          <w:trHeight w:val="108"/>
        </w:trPr>
        <w:tc>
          <w:tcPr>
            <w:tcW w:w="10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Remeasurement</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of options for</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redeemable</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(579)</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0" w:type="dxa"/>
            <w:vAlign w:val="bottom"/>
          </w:tcPr>
          <w:p>
            <w:pPr>
              <w:spacing w:after="0"/>
              <w:rPr>
                <w:sz w:val="1"/>
                <w:szCs w:val="1"/>
                <w:color w:val="auto"/>
              </w:rPr>
            </w:pPr>
          </w:p>
        </w:tc>
      </w:tr>
      <w:tr>
        <w:trPr>
          <w:trHeight w:val="108"/>
        </w:trPr>
        <w:tc>
          <w:tcPr>
            <w:tcW w:w="106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revaluations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Net income</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ind w:left="2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CEEFF"/>
          </w:tcPr>
          <w:p>
            <w:pPr>
              <w:ind w:left="4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11,900</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11,900</w:t>
            </w: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2"/>
        </w:trPr>
        <w:tc>
          <w:tcPr>
            <w:tcW w:w="1060" w:type="dxa"/>
            <w:vAlign w:val="bottom"/>
          </w:tcPr>
          <w:p>
            <w:pPr>
              <w:ind w:left="20"/>
              <w:spacing w:after="0" w:line="113" w:lineRule="exact"/>
              <w:rPr>
                <w:sz w:val="20"/>
                <w:szCs w:val="20"/>
                <w:color w:val="auto"/>
              </w:rPr>
            </w:pPr>
            <w:r>
              <w:rPr>
                <w:rFonts w:ascii="Times New Roman" w:cs="Times New Roman" w:eastAsia="Times New Roman" w:hAnsi="Times New Roman"/>
                <w:sz w:val="12"/>
                <w:szCs w:val="12"/>
                <w:color w:val="auto"/>
              </w:rPr>
              <w:t>Balance,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120,495</w:t>
            </w:r>
          </w:p>
        </w:tc>
        <w:tc>
          <w:tcPr>
            <w:tcW w:w="12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54</w:t>
            </w:r>
          </w:p>
        </w:tc>
        <w:tc>
          <w:tcPr>
            <w:tcW w:w="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(73,929)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(672)</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41,685</w:t>
            </w:r>
          </w:p>
        </w:tc>
        <w:tc>
          <w:tcPr>
            <w:tcW w:w="12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w w:val="93"/>
              </w:rPr>
              <w:t>$(37,797)</w:t>
            </w:r>
          </w:p>
        </w:tc>
        <w:tc>
          <w:tcPr>
            <w:tcW w:w="1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(112,344)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15,343</w:t>
            </w:r>
          </w:p>
        </w:tc>
        <w:tc>
          <w:tcPr>
            <w:tcW w:w="0" w:type="dxa"/>
            <w:vAlign w:val="bottom"/>
          </w:tcPr>
          <w:p>
            <w:pPr>
              <w:spacing w:after="0"/>
              <w:rPr>
                <w:sz w:val="1"/>
                <w:szCs w:val="1"/>
                <w:color w:val="auto"/>
              </w:rPr>
            </w:pPr>
          </w:p>
        </w:tc>
      </w:tr>
      <w:tr>
        <w:trPr>
          <w:trHeight w:val="127"/>
        </w:trPr>
        <w:tc>
          <w:tcPr>
            <w:tcW w:w="106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September 30, 2019</w:t>
            </w:r>
          </w:p>
        </w:tc>
        <w:tc>
          <w:tcPr>
            <w:tcW w:w="64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650113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1130" cy="23495"/>
                    </a:xfrm>
                    <a:prstGeom prst="rect">
                      <a:avLst/>
                    </a:prstGeom>
                    <a:noFill/>
                  </pic:spPr>
                </pic:pic>
              </a:graphicData>
            </a:graphic>
          </wp:anchor>
        </w:drawing>
      </w:r>
    </w:p>
    <w:p>
      <w:pPr>
        <w:sectPr>
          <w:pgSz w:w="11900" w:h="16838" w:orient="portrait"/>
          <w:cols w:equalWidth="0" w:num="1">
            <w:col w:w="10840"/>
          </w:cols>
          <w:pgMar w:left="820" w:top="481" w:right="239" w:bottom="1440" w:gutter="0" w:footer="0" w:header="0"/>
        </w:sectPr>
      </w:pPr>
    </w:p>
    <w:bookmarkStart w:id="7" w:name="page8"/>
    <w:bookmarkEnd w:id="7"/>
    <w:p>
      <w:pPr>
        <w:ind w:left="2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 (Deficit) (Continued)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2020 (unaudited)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900" w:type="dxa"/>
            <w:vAlign w:val="bottom"/>
            <w:tcBorders>
              <w:top w:val="single" w:sz="8" w:color="auto"/>
              <w:bottom w:val="single" w:sz="8" w:color="auto"/>
            </w:tcBorders>
            <w:gridSpan w:val="5"/>
          </w:tcPr>
          <w:p>
            <w:pPr>
              <w:jc w:val="right"/>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Before Recapitalization</w:t>
            </w: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4"/>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After Recapitalization</w:t>
            </w: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23"/>
              <w:spacing w:after="0" w:line="128"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3"/>
              <w:spacing w:after="0" w:line="12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jc w:val="center"/>
              <w:ind w:right="3"/>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520" w:type="dxa"/>
            <w:vAlign w:val="bottom"/>
            <w:gridSpan w:val="2"/>
          </w:tcPr>
          <w:p>
            <w:pPr>
              <w:jc w:val="right"/>
              <w:ind w:right="42"/>
              <w:spacing w:after="0" w:line="9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70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44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80" w:type="dxa"/>
            <w:vAlign w:val="bottom"/>
          </w:tcPr>
          <w:p>
            <w:pPr>
              <w:spacing w:after="0"/>
              <w:rPr>
                <w:sz w:val="8"/>
                <w:szCs w:val="8"/>
                <w:color w:val="auto"/>
              </w:rPr>
            </w:pPr>
          </w:p>
        </w:tc>
        <w:tc>
          <w:tcPr>
            <w:tcW w:w="680" w:type="dxa"/>
            <w:vAlign w:val="bottom"/>
          </w:tcPr>
          <w:p>
            <w:pPr>
              <w:jc w:val="center"/>
              <w:ind w:right="3"/>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540" w:type="dxa"/>
            <w:vAlign w:val="bottom"/>
            <w:gridSpan w:val="3"/>
          </w:tcPr>
          <w:p>
            <w:pPr>
              <w:jc w:val="center"/>
              <w:ind w:right="60"/>
              <w:spacing w:after="0" w:line="9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680" w:type="dxa"/>
            <w:vAlign w:val="bottom"/>
          </w:tcPr>
          <w:p>
            <w:pPr>
              <w:jc w:val="center"/>
              <w:ind w:right="3"/>
              <w:spacing w:after="0" w:line="9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540" w:type="dxa"/>
            <w:vAlign w:val="bottom"/>
            <w:gridSpan w:val="3"/>
          </w:tcPr>
          <w:p>
            <w:pPr>
              <w:jc w:val="center"/>
              <w:ind w:right="60"/>
              <w:spacing w:after="0" w:line="9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640" w:type="dxa"/>
            <w:vAlign w:val="bottom"/>
            <w:gridSpan w:val="3"/>
          </w:tcPr>
          <w:p>
            <w:pPr>
              <w:ind w:left="20"/>
              <w:spacing w:after="0" w:line="9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8"/>
                <w:szCs w:val="8"/>
                <w:color w:val="auto"/>
              </w:rPr>
            </w:pPr>
          </w:p>
        </w:tc>
        <w:tc>
          <w:tcPr>
            <w:tcW w:w="700" w:type="dxa"/>
            <w:vAlign w:val="bottom"/>
          </w:tcPr>
          <w:p>
            <w:pPr>
              <w:jc w:val="center"/>
              <w:ind w:right="103"/>
              <w:spacing w:after="0" w:line="98"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8"/>
                <w:szCs w:val="8"/>
                <w:color w:val="auto"/>
              </w:rPr>
            </w:pPr>
          </w:p>
        </w:tc>
        <w:tc>
          <w:tcPr>
            <w:tcW w:w="780" w:type="dxa"/>
            <w:vAlign w:val="bottom"/>
          </w:tcPr>
          <w:p>
            <w:pPr>
              <w:jc w:val="center"/>
              <w:ind w:right="103"/>
              <w:spacing w:after="0" w:line="98" w:lineRule="exact"/>
              <w:rPr>
                <w:sz w:val="20"/>
                <w:szCs w:val="20"/>
                <w:color w:val="auto"/>
              </w:rPr>
            </w:pPr>
            <w:r>
              <w:rPr>
                <w:rFonts w:ascii="Times New Roman" w:cs="Times New Roman" w:eastAsia="Times New Roman" w:hAnsi="Times New Roman"/>
                <w:sz w:val="10"/>
                <w:szCs w:val="10"/>
                <w:b w:val="1"/>
                <w:bCs w:val="1"/>
                <w:color w:val="auto"/>
              </w:rPr>
              <w:t>Other</w:t>
            </w:r>
          </w:p>
        </w:tc>
        <w:tc>
          <w:tcPr>
            <w:tcW w:w="52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tcPr>
          <w:p>
            <w:pPr>
              <w:jc w:val="center"/>
              <w:ind w:right="60"/>
              <w:spacing w:after="0" w:line="98"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640" w:type="dxa"/>
            <w:vAlign w:val="bottom"/>
            <w:gridSpan w:val="3"/>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Options for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jc w:val="center"/>
              <w:ind w:right="23"/>
              <w:spacing w:after="0" w:line="124" w:lineRule="exact"/>
              <w:rPr>
                <w:sz w:val="20"/>
                <w:szCs w:val="20"/>
                <w:color w:val="auto"/>
              </w:rPr>
            </w:pPr>
            <w:r>
              <w:rPr>
                <w:rFonts w:ascii="Times New Roman" w:cs="Times New Roman" w:eastAsia="Times New Roman" w:hAnsi="Times New Roman"/>
                <w:sz w:val="12"/>
                <w:szCs w:val="12"/>
                <w:b w:val="1"/>
                <w:bCs w:val="1"/>
                <w:color w:val="auto"/>
                <w:w w:val="92"/>
              </w:rPr>
              <w:t>Class A</w:t>
            </w:r>
          </w:p>
        </w:tc>
        <w:tc>
          <w:tcPr>
            <w:tcW w:w="5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7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3"/>
              </w:rPr>
              <w:t>Class B</w:t>
            </w:r>
          </w:p>
        </w:tc>
        <w:tc>
          <w:tcPr>
            <w:tcW w:w="52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80" w:type="dxa"/>
            <w:vAlign w:val="bottom"/>
          </w:tcPr>
          <w:p>
            <w:pPr>
              <w:jc w:val="center"/>
              <w:ind w:right="3"/>
              <w:spacing w:after="0" w:line="124"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5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80" w:type="dxa"/>
            <w:vAlign w:val="bottom"/>
          </w:tcPr>
          <w:p>
            <w:pPr>
              <w:jc w:val="center"/>
              <w:ind w:right="3"/>
              <w:spacing w:after="0" w:line="124"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5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800" w:type="dxa"/>
            <w:vAlign w:val="bottom"/>
            <w:gridSpan w:val="2"/>
          </w:tcPr>
          <w:p>
            <w:pPr>
              <w:jc w:val="center"/>
              <w:ind w:right="3"/>
              <w:spacing w:after="0" w:line="124" w:lineRule="exact"/>
              <w:rPr>
                <w:sz w:val="20"/>
                <w:szCs w:val="20"/>
                <w:color w:val="auto"/>
              </w:rPr>
            </w:pPr>
            <w:r>
              <w:rPr>
                <w:rFonts w:ascii="Times New Roman" w:cs="Times New Roman" w:eastAsia="Times New Roman" w:hAnsi="Times New Roman"/>
                <w:sz w:val="12"/>
                <w:szCs w:val="12"/>
                <w:b w:val="1"/>
                <w:bCs w:val="1"/>
                <w:color w:val="auto"/>
                <w:w w:val="97"/>
              </w:rPr>
              <w:t>(Accumulated</w:t>
            </w:r>
          </w:p>
        </w:tc>
        <w:tc>
          <w:tcPr>
            <w:tcW w:w="860" w:type="dxa"/>
            <w:vAlign w:val="bottom"/>
            <w:gridSpan w:val="2"/>
          </w:tcPr>
          <w:p>
            <w:pPr>
              <w:jc w:val="center"/>
              <w:ind w:right="3"/>
              <w:spacing w:after="0" w:line="124"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5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5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0"/>
                <w:szCs w:val="10"/>
                <w:color w:val="auto"/>
              </w:rPr>
            </w:pPr>
          </w:p>
        </w:tc>
        <w:tc>
          <w:tcPr>
            <w:tcW w:w="6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6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8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680" w:type="dxa"/>
            <w:vAlign w:val="bottom"/>
          </w:tcPr>
          <w:p>
            <w:pPr>
              <w:jc w:val="center"/>
              <w:ind w:right="3"/>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80" w:type="dxa"/>
            <w:vAlign w:val="bottom"/>
          </w:tcPr>
          <w:p>
            <w:pPr>
              <w:jc w:val="center"/>
              <w:ind w:right="3"/>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00" w:type="dxa"/>
            <w:vAlign w:val="bottom"/>
          </w:tcPr>
          <w:p>
            <w:pPr>
              <w:spacing w:after="0"/>
              <w:rPr>
                <w:sz w:val="12"/>
                <w:szCs w:val="12"/>
                <w:color w:val="auto"/>
              </w:rPr>
            </w:pPr>
          </w:p>
        </w:tc>
        <w:tc>
          <w:tcPr>
            <w:tcW w:w="700" w:type="dxa"/>
            <w:vAlign w:val="bottom"/>
          </w:tcPr>
          <w:p>
            <w:pPr>
              <w:jc w:val="center"/>
              <w:ind w:right="123"/>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80" w:type="dxa"/>
            <w:vAlign w:val="bottom"/>
          </w:tcPr>
          <w:p>
            <w:pPr>
              <w:spacing w:after="0"/>
              <w:rPr>
                <w:sz w:val="12"/>
                <w:szCs w:val="12"/>
                <w:color w:val="auto"/>
              </w:rPr>
            </w:pP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Issued</w:t>
            </w:r>
          </w:p>
        </w:tc>
        <w:tc>
          <w:tcPr>
            <w:tcW w:w="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2"/>
                <w:szCs w:val="12"/>
                <w:color w:val="auto"/>
              </w:rPr>
            </w:pPr>
          </w:p>
        </w:tc>
        <w:tc>
          <w:tcPr>
            <w:tcW w:w="52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100"/>
        </w:trPr>
        <w:tc>
          <w:tcPr>
            <w:tcW w:w="1060" w:type="dxa"/>
            <w:vAlign w:val="bottom"/>
            <w:tcBorders>
              <w:top w:val="single" w:sz="8" w:color="CCEEFF"/>
            </w:tcBorders>
            <w:gridSpan w:val="2"/>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 January 1,</w:t>
            </w: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right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right w:val="single" w:sz="8" w:color="CCEEFF"/>
            </w:tcBorders>
            <w:shd w:val="clear" w:color="auto" w:fill="CCEEFF"/>
          </w:tcPr>
          <w:p>
            <w:pPr>
              <w:spacing w:after="0"/>
              <w:rPr>
                <w:sz w:val="8"/>
                <w:szCs w:val="8"/>
                <w:color w:val="auto"/>
              </w:rPr>
            </w:pPr>
          </w:p>
        </w:tc>
        <w:tc>
          <w:tcPr>
            <w:tcW w:w="52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2020</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(90,701)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(491)</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41,910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2"/>
              </w:rPr>
              <w:t>(38,638)</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(129,776)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17,344</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Remeasurement of</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for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redeemable shares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(15,242)</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(15,242)</w:t>
            </w: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15,242</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Distributions</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declared</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(4,010)</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(4,010)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revaluations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(2,998)</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(2,998)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(29,064)</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(29,064)</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0"/>
        </w:trPr>
        <w:tc>
          <w:tcPr>
            <w:tcW w:w="10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March 31, 2020</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(139,017)</w:t>
            </w:r>
          </w:p>
        </w:tc>
        <w:tc>
          <w:tcPr>
            <w:tcW w:w="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(3,489)</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41,910</w:t>
            </w: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2"/>
              </w:rPr>
              <w:t>(38,638)</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(181,090)</w:t>
            </w: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32,586</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Remeasurement of</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for</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shares</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(14,637)</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(14,637)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14,637</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Exercise of stock</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options, net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Distributions</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declared</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(123,185)</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(123,185)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revaluations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(276)</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(29,075)</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(29,075)</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0"/>
        </w:trPr>
        <w:tc>
          <w:tcPr>
            <w:tcW w:w="10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June 30, 2020</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(305,861)</w:t>
            </w:r>
          </w:p>
        </w:tc>
        <w:tc>
          <w:tcPr>
            <w:tcW w:w="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(3,765)</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41,910</w:t>
            </w: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2"/>
              </w:rPr>
              <w:t>(38,638)</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(348,210)</w:t>
            </w: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47,223</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Distributions</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declared</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(5,706)</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(5,706)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Reclassification of</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accumulated 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Corporation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(354,291)</w:t>
            </w: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354,291</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Remeasurement of</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for</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shares</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(21,954)</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(21,954)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21,954</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Reclassification of</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for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redeemable shares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(69,177)</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Recapitalization</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 to Offering</w:t>
            </w:r>
          </w:p>
        </w:tc>
        <w:tc>
          <w:tcPr>
            <w:tcW w:w="68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(120,443)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173</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120,417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(38,704)</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(41,910)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Reclassification of</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SAR liability to</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equity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connection with</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Offering</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Auto-exercised</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in</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connection with</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Offering</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564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(13,809)</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(13,808)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Shares issued in</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connection with</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Offering, net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Offering costs</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23,812</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416,802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Exercise of stock</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options in</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connection with the</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Offering</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510</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(7,023)</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(7,023)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Vested restricted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stock issued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connection with</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Offering</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Exercise of stock</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options, net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610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Stock-based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compensation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expense</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10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Foreign currency</w:t>
            </w: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translation</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adjustments and</w:t>
            </w: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revaluations</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(238)</w:t>
            </w:r>
          </w:p>
        </w:tc>
        <w:tc>
          <w:tcPr>
            <w:tcW w:w="5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0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20" w:type="dxa"/>
            <w:vAlign w:val="bottom"/>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(21,028)</w:t>
            </w:r>
          </w:p>
        </w:tc>
        <w:tc>
          <w:tcPr>
            <w:tcW w:w="80" w:type="dxa"/>
            <w:vAlign w:val="bottom"/>
          </w:tcPr>
          <w:p>
            <w:pPr>
              <w:spacing w:after="0"/>
              <w:rPr>
                <w:sz w:val="10"/>
                <w:szCs w:val="10"/>
                <w:color w:val="auto"/>
              </w:rPr>
            </w:pPr>
          </w:p>
        </w:tc>
        <w:tc>
          <w:tcPr>
            <w:tcW w:w="78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(21,028)</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060" w:type="dxa"/>
            <w:vAlign w:val="bottom"/>
            <w:gridSpan w:val="2"/>
            <w:vMerge w:val="restart"/>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Balance,</w:t>
            </w: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60" w:type="dxa"/>
            <w:vAlign w:val="bottom"/>
            <w:gridSpan w:val="2"/>
            <w:vMerge w:val="continue"/>
            <w:shd w:val="clear" w:color="auto" w:fill="CCEEFF"/>
          </w:tcPr>
          <w:p>
            <w:pPr>
              <w:spacing w:after="0"/>
              <w:rPr>
                <w:sz w:val="7"/>
                <w:szCs w:val="7"/>
                <w:color w:val="auto"/>
              </w:rPr>
            </w:pPr>
          </w:p>
        </w:tc>
        <w:tc>
          <w:tcPr>
            <w:tcW w:w="6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spacing w:after="0"/>
              <w:rPr>
                <w:sz w:val="7"/>
                <w:szCs w:val="7"/>
                <w:color w:val="auto"/>
              </w:rPr>
            </w:pPr>
          </w:p>
        </w:tc>
        <w:tc>
          <w:tcPr>
            <w:tcW w:w="6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25,688</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7"/>
                <w:szCs w:val="7"/>
                <w:color w:val="auto"/>
              </w:rPr>
            </w:pPr>
          </w:p>
        </w:tc>
        <w:tc>
          <w:tcPr>
            <w:tcW w:w="6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120,417</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200,722</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21,696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(4,003)</w:t>
            </w:r>
          </w:p>
        </w:tc>
        <w:tc>
          <w:tcPr>
            <w:tcW w:w="52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218,561</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September 30, 2020</w:t>
            </w: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80" w:type="dxa"/>
            <w:vAlign w:val="bottom"/>
            <w:tcBorders>
              <w:right w:val="single" w:sz="8" w:color="CCEEFF"/>
            </w:tcBorders>
            <w:vMerge w:val="continue"/>
            <w:shd w:val="clear" w:color="auto" w:fill="CCEEFF"/>
          </w:tcPr>
          <w:p>
            <w:pPr>
              <w:spacing w:after="0"/>
              <w:rPr>
                <w:sz w:val="11"/>
                <w:szCs w:val="11"/>
                <w:color w:val="auto"/>
              </w:rPr>
            </w:pPr>
          </w:p>
        </w:tc>
        <w:tc>
          <w:tcPr>
            <w:tcW w:w="5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650113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1130" cy="23495"/>
                    </a:xfrm>
                    <a:prstGeom prst="rect">
                      <a:avLst/>
                    </a:prstGeom>
                    <a:noFill/>
                  </pic:spPr>
                </pic:pic>
              </a:graphicData>
            </a:graphic>
          </wp:anchor>
        </w:drawing>
      </w:r>
    </w:p>
    <w:p>
      <w:pPr>
        <w:sectPr>
          <w:pgSz w:w="11900" w:h="16838" w:orient="portrait"/>
          <w:cols w:equalWidth="0" w:num="1">
            <w:col w:w="10720"/>
          </w:cols>
          <w:pgMar w:left="820" w:top="481" w:right="359" w:bottom="1440" w:gutter="0" w:footer="0" w:header="0"/>
        </w:sectPr>
      </w:pPr>
    </w:p>
    <w:bookmarkStart w:id="8" w:name="page9"/>
    <w:bookmarkEnd w:id="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 (unaudited)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3175</wp:posOffset>
            </wp:positionV>
            <wp:extent cx="56616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1660" cy="7620"/>
                    </a:xfrm>
                    <a:prstGeom prst="rect">
                      <a:avLst/>
                    </a:prstGeom>
                    <a:noFill/>
                  </pic:spPr>
                </pic:pic>
              </a:graphicData>
            </a:graphic>
          </wp:anchor>
        </w:drawing>
      </w:r>
    </w:p>
    <w:p>
      <w:pPr>
        <w:spacing w:after="0" w:line="4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36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65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2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1"/>
                <w:szCs w:val="11"/>
                <w:color w:val="auto"/>
              </w:rPr>
            </w:pPr>
          </w:p>
        </w:tc>
      </w:tr>
      <w:tr>
        <w:trPr>
          <w:trHeight w:val="116"/>
        </w:trPr>
        <w:tc>
          <w:tcPr>
            <w:tcW w:w="6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right"/>
              <w:ind w:right="6"/>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(loss) income</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(79,167)</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26,347</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23,586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18,152</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Provision for subscription cancellations and non-renewals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6"/>
                <w:szCs w:val="16"/>
                <w:color w:val="auto"/>
              </w:rPr>
            </w:pPr>
          </w:p>
        </w:tc>
      </w:tr>
      <w:tr>
        <w:trPr>
          <w:trHeight w:val="185"/>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Write-off of deferred financing costs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140,890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3,930</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(32,004)</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Redemption of Converted SARs</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(22,889)</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 w:type="dxa"/>
            <w:vAlign w:val="bottom"/>
          </w:tcPr>
          <w:p>
            <w:pPr>
              <w:spacing w:after="0"/>
              <w:rPr>
                <w:sz w:val="16"/>
                <w:szCs w:val="16"/>
                <w:color w:val="auto"/>
              </w:rPr>
            </w:pPr>
          </w:p>
        </w:tc>
      </w:tr>
      <w:tr>
        <w:trPr>
          <w:trHeight w:val="185"/>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4,143</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w:t>
            </w:r>
          </w:p>
        </w:tc>
        <w:tc>
          <w:tcPr>
            <w:tcW w:w="20" w:type="dxa"/>
            <w:vAlign w:val="bottom"/>
          </w:tcPr>
          <w:p>
            <w:pPr>
              <w:spacing w:after="0"/>
              <w:rPr>
                <w:sz w:val="16"/>
                <w:szCs w:val="16"/>
                <w:color w:val="auto"/>
              </w:rPr>
            </w:pPr>
          </w:p>
        </w:tc>
      </w:tr>
      <w:tr>
        <w:trPr>
          <w:trHeight w:val="185"/>
        </w:trPr>
        <w:tc>
          <w:tcPr>
            <w:tcW w:w="65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Advances to stockholders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(4,613)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w:t>
            </w:r>
          </w:p>
        </w:tc>
        <w:tc>
          <w:tcPr>
            <w:tcW w:w="20" w:type="dxa"/>
            <w:vAlign w:val="bottom"/>
          </w:tcPr>
          <w:p>
            <w:pPr>
              <w:spacing w:after="0"/>
              <w:rPr>
                <w:sz w:val="16"/>
                <w:szCs w:val="16"/>
                <w:color w:val="auto"/>
              </w:rPr>
            </w:pPr>
          </w:p>
        </w:tc>
      </w:tr>
      <w:tr>
        <w:trPr>
          <w:trHeight w:val="185"/>
        </w:trPr>
        <w:tc>
          <w:tcPr>
            <w:tcW w:w="65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Deferred commissions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20" w:type="dxa"/>
            <w:vAlign w:val="bottom"/>
          </w:tcPr>
          <w:p>
            <w:pPr>
              <w:spacing w:after="0"/>
              <w:rPr>
                <w:sz w:val="16"/>
                <w:szCs w:val="16"/>
                <w:color w:val="auto"/>
              </w:rPr>
            </w:pPr>
          </w:p>
        </w:tc>
      </w:tr>
      <w:tr>
        <w:trPr>
          <w:trHeight w:val="185"/>
        </w:trPr>
        <w:tc>
          <w:tcPr>
            <w:tcW w:w="65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Accrued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(1,767)</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Accrued and deferred compensation</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(5,399)</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(4,197)</w:t>
            </w:r>
          </w:p>
        </w:tc>
        <w:tc>
          <w:tcPr>
            <w:tcW w:w="20" w:type="dxa"/>
            <w:vAlign w:val="bottom"/>
          </w:tcPr>
          <w:p>
            <w:pPr>
              <w:spacing w:after="0"/>
              <w:rPr>
                <w:sz w:val="16"/>
                <w:szCs w:val="16"/>
                <w:color w:val="auto"/>
              </w:rPr>
            </w:pPr>
          </w:p>
        </w:tc>
      </w:tr>
      <w:tr>
        <w:trPr>
          <w:trHeight w:val="185"/>
        </w:trPr>
        <w:tc>
          <w:tcPr>
            <w:tcW w:w="65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(8,251)</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(1,777)</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20" w:type="dxa"/>
            <w:vAlign w:val="bottom"/>
          </w:tcPr>
          <w:p>
            <w:pPr>
              <w:spacing w:after="0"/>
              <w:rPr>
                <w:sz w:val="16"/>
                <w:szCs w:val="16"/>
                <w:color w:val="auto"/>
              </w:rPr>
            </w:pPr>
          </w:p>
        </w:tc>
      </w:tr>
      <w:tr>
        <w:trPr>
          <w:trHeight w:val="178"/>
        </w:trPr>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20,044</w:t>
            </w:r>
          </w:p>
        </w:tc>
        <w:tc>
          <w:tcPr>
            <w:tcW w:w="1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45,799</w:t>
            </w:r>
          </w:p>
        </w:tc>
        <w:tc>
          <w:tcPr>
            <w:tcW w:w="20" w:type="dxa"/>
            <w:vAlign w:val="bottom"/>
          </w:tcPr>
          <w:p>
            <w:pPr>
              <w:spacing w:after="0"/>
              <w:rPr>
                <w:sz w:val="15"/>
                <w:szCs w:val="15"/>
                <w:color w:val="auto"/>
              </w:rPr>
            </w:pPr>
          </w:p>
        </w:tc>
      </w:tr>
      <w:tr>
        <w:trPr>
          <w:trHeight w:val="17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(12,318)</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Property and equipment additions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(14,982)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(13,315)</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Capitalized software additions</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(9,246)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(12,345)</w:t>
            </w:r>
          </w:p>
        </w:tc>
        <w:tc>
          <w:tcPr>
            <w:tcW w:w="20" w:type="dxa"/>
            <w:vAlign w:val="bottom"/>
          </w:tcPr>
          <w:p>
            <w:pPr>
              <w:spacing w:after="0"/>
              <w:rPr>
                <w:sz w:val="16"/>
                <w:szCs w:val="16"/>
                <w:color w:val="auto"/>
              </w:rPr>
            </w:pPr>
          </w:p>
        </w:tc>
      </w:tr>
      <w:tr>
        <w:trPr>
          <w:trHeight w:val="178"/>
        </w:trPr>
        <w:tc>
          <w:tcPr>
            <w:tcW w:w="6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(36,546)</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(25,660)</w:t>
            </w:r>
          </w:p>
        </w:tc>
        <w:tc>
          <w:tcPr>
            <w:tcW w:w="20" w:type="dxa"/>
            <w:vAlign w:val="bottom"/>
          </w:tcPr>
          <w:p>
            <w:pPr>
              <w:spacing w:after="0"/>
              <w:rPr>
                <w:sz w:val="15"/>
                <w:szCs w:val="15"/>
                <w:color w:val="auto"/>
              </w:rPr>
            </w:pPr>
          </w:p>
        </w:tc>
      </w:tr>
      <w:tr>
        <w:trPr>
          <w:trHeight w:val="175"/>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increase in customer funds obligations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from line of credit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Principal payments on line of credit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(12,500)</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175,000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Principal payments on long-term debt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(226,029)</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Payments for deferred financing costs, net</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(2,436)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issuance of shares in connection with Offering</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423,024</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Payments for offering costs</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(6,222)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Payments for taxes on exercised options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(11,999)</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0" w:type="dxa"/>
            <w:vAlign w:val="bottom"/>
          </w:tcPr>
          <w:p>
            <w:pPr>
              <w:spacing w:after="0"/>
              <w:rPr>
                <w:sz w:val="16"/>
                <w:szCs w:val="16"/>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Distributions to stockholders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(146,084)</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(22,252)</w:t>
            </w:r>
          </w:p>
        </w:tc>
        <w:tc>
          <w:tcPr>
            <w:tcW w:w="20" w:type="dxa"/>
            <w:vAlign w:val="bottom"/>
          </w:tcPr>
          <w:p>
            <w:pPr>
              <w:spacing w:after="0"/>
              <w:rPr>
                <w:sz w:val="16"/>
                <w:szCs w:val="16"/>
                <w:color w:val="auto"/>
              </w:rPr>
            </w:pPr>
          </w:p>
        </w:tc>
      </w:tr>
      <w:tr>
        <w:trPr>
          <w:trHeight w:val="178"/>
        </w:trPr>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212,435</w:t>
            </w:r>
          </w:p>
        </w:tc>
        <w:tc>
          <w:tcPr>
            <w:tcW w:w="1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(25,484)</w:t>
            </w:r>
          </w:p>
        </w:tc>
        <w:tc>
          <w:tcPr>
            <w:tcW w:w="20" w:type="dxa"/>
            <w:vAlign w:val="bottom"/>
          </w:tcPr>
          <w:p>
            <w:pPr>
              <w:spacing w:after="0"/>
              <w:rPr>
                <w:sz w:val="15"/>
                <w:szCs w:val="15"/>
                <w:color w:val="auto"/>
              </w:rPr>
            </w:pPr>
          </w:p>
        </w:tc>
      </w:tr>
      <w:tr>
        <w:trPr>
          <w:trHeight w:val="17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0" w:type="dxa"/>
            <w:vAlign w:val="bottom"/>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195,521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(5,521)</w:t>
            </w:r>
          </w:p>
        </w:tc>
        <w:tc>
          <w:tcPr>
            <w:tcW w:w="20" w:type="dxa"/>
            <w:vAlign w:val="bottom"/>
          </w:tcPr>
          <w:p>
            <w:pPr>
              <w:spacing w:after="0"/>
              <w:rPr>
                <w:sz w:val="15"/>
                <w:szCs w:val="15"/>
                <w:color w:val="auto"/>
              </w:rPr>
            </w:pPr>
          </w:p>
        </w:tc>
      </w:tr>
      <w:tr>
        <w:trPr>
          <w:trHeight w:val="18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83,495</w:t>
            </w:r>
          </w:p>
        </w:tc>
        <w:tc>
          <w:tcPr>
            <w:tcW w:w="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59,174</w:t>
            </w:r>
          </w:p>
        </w:tc>
        <w:tc>
          <w:tcPr>
            <w:tcW w:w="20" w:type="dxa"/>
            <w:vAlign w:val="bottom"/>
          </w:tcPr>
          <w:p>
            <w:pPr>
              <w:spacing w:after="0"/>
              <w:rPr>
                <w:sz w:val="16"/>
                <w:szCs w:val="16"/>
                <w:color w:val="auto"/>
              </w:rPr>
            </w:pPr>
          </w:p>
        </w:tc>
      </w:tr>
      <w:tr>
        <w:trPr>
          <w:trHeight w:val="218"/>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279,016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53,653</w:t>
            </w:r>
          </w:p>
        </w:tc>
        <w:tc>
          <w:tcPr>
            <w:tcW w:w="20" w:type="dxa"/>
            <w:vAlign w:val="bottom"/>
          </w:tcPr>
          <w:p>
            <w:pPr>
              <w:spacing w:after="0"/>
              <w:rPr>
                <w:sz w:val="18"/>
                <w:szCs w:val="18"/>
                <w:color w:val="auto"/>
              </w:rPr>
            </w:pPr>
          </w:p>
        </w:tc>
      </w:tr>
      <w:tr>
        <w:trPr>
          <w:trHeight w:val="125"/>
        </w:trPr>
        <w:tc>
          <w:tcPr>
            <w:tcW w:w="65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Consolidated Balance Sheets, end of</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9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period: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6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270,271</w:t>
            </w:r>
          </w:p>
        </w:tc>
        <w:tc>
          <w:tcPr>
            <w:tcW w:w="18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49,094</w:t>
            </w:r>
          </w:p>
        </w:tc>
        <w:tc>
          <w:tcPr>
            <w:tcW w:w="20" w:type="dxa"/>
            <w:vAlign w:val="bottom"/>
          </w:tcPr>
          <w:p>
            <w:pPr>
              <w:spacing w:after="0"/>
              <w:rPr>
                <w:sz w:val="16"/>
                <w:szCs w:val="16"/>
                <w:color w:val="auto"/>
              </w:rPr>
            </w:pPr>
          </w:p>
        </w:tc>
      </w:tr>
      <w:tr>
        <w:trPr>
          <w:trHeight w:val="18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Restricted cash—funds held for customers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8,745</w:t>
            </w:r>
          </w:p>
        </w:tc>
        <w:tc>
          <w:tcPr>
            <w:tcW w:w="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20" w:type="dxa"/>
            <w:vAlign w:val="bottom"/>
          </w:tcPr>
          <w:p>
            <w:pPr>
              <w:spacing w:after="0"/>
              <w:rPr>
                <w:sz w:val="16"/>
                <w:szCs w:val="16"/>
                <w:color w:val="auto"/>
              </w:rPr>
            </w:pPr>
          </w:p>
        </w:tc>
      </w:tr>
      <w:tr>
        <w:trPr>
          <w:trHeight w:val="178"/>
        </w:trPr>
        <w:tc>
          <w:tcPr>
            <w:tcW w:w="6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cash, cash equivalents and restricted cash, end of period</w:t>
            </w:r>
          </w:p>
        </w:tc>
        <w:tc>
          <w:tcPr>
            <w:tcW w:w="2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279,016</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53,653</w:t>
            </w:r>
          </w:p>
        </w:tc>
        <w:tc>
          <w:tcPr>
            <w:tcW w:w="2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9" w:name="page10"/>
    <w:bookmarkEnd w:id="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Vertex, Inc.</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8255</wp:posOffset>
            </wp:positionV>
            <wp:extent cx="56616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660" cy="7620"/>
                    </a:xfrm>
                    <a:prstGeom prst="rect">
                      <a:avLst/>
                    </a:prstGeom>
                    <a:noFill/>
                  </pic:spPr>
                </pic:pic>
              </a:graphicData>
            </a:graphic>
          </wp:anchor>
        </w:drawing>
      </w:r>
    </w:p>
    <w:p>
      <w:pPr>
        <w:spacing w:after="0" w:line="182" w:lineRule="exact"/>
        <w:rPr>
          <w:sz w:val="20"/>
          <w:szCs w:val="20"/>
          <w:color w:val="auto"/>
        </w:rPr>
      </w:pPr>
    </w:p>
    <w:p>
      <w:pPr>
        <w:ind w:left="340" w:right="4399" w:hanging="297"/>
        <w:spacing w:after="0" w:line="518" w:lineRule="auto"/>
        <w:tabs>
          <w:tab w:leader="none" w:pos="331"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Nature of Business</w:t>
      </w: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Vertex, Inc. (“Vertex”) and its direct and indirect wholly-owned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62"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Effective January 7, 2020, the Company acquired a 60% controlling interest in Systax Sistemas Fiscais LTDA (“Systax”), a provider of Brazilian transaction tax content and software. Systax is considered a Variable Interest Entity (“VIE”) and its accounts have been included in the consolidated financial statements from the acquisition date. Systax was determined to be a VIE as the Company is the primary beneficiary of the equity interests in Systax and participates significantly in the variability in the fair value of Systax’s net assets. Although the Company does not have full decision-making authority as it is shared with the minority interest owners, as the minority interest owners are considered related parties, the Company is considered the most closely associated party to Systax and is required to consolidate. Systax’s assets may only be used to settle its own obligations and this will continue until such time as the Company owns 100% of the VIE. As of September 30, 2020, the net assets of Systax were $20,556 (unaudited). The Company is at risk to the extent of its current 60% ownership of Systax, which risk will increase over time in proportion to increases in percentage ownership as the Company exercises its future share purchase commitment through 2024. See Note 2.</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Registration of Company Stock and Initial Public Offering</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On July 28, 2020, the Company filed its amended and restated certificate of incorporation with the Delaware Secretary of State to:</w:t>
      </w:r>
    </w:p>
    <w:p>
      <w:pPr>
        <w:spacing w:after="0" w:line="31" w:lineRule="exact"/>
        <w:rPr>
          <w:sz w:val="20"/>
          <w:szCs w:val="20"/>
          <w:color w:val="auto"/>
        </w:rPr>
      </w:pPr>
    </w:p>
    <w:p>
      <w:pPr>
        <w:jc w:val="both"/>
        <w:ind w:left="40" w:right="59" w:firstLine="3"/>
        <w:spacing w:after="0" w:line="260" w:lineRule="auto"/>
        <w:tabs>
          <w:tab w:leader="none" w:pos="26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the Share Exchange are recognized retrospectively in the Consolidated Financial Statements.</w:t>
      </w:r>
    </w:p>
    <w:p>
      <w:pPr>
        <w:spacing w:after="0" w:line="167"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Company’s Registration Statement on Form S-1 (the “S-1”) with the Securities and Exchange Commission (“SEC”) was declared effective on July 28, 2020, resulting in the Class A shares being registered and available for trading on the NASDAQ exchange (the “Offering”).</w:t>
      </w:r>
    </w:p>
    <w:p>
      <w:pPr>
        <w:spacing w:after="0" w:line="153" w:lineRule="exact"/>
        <w:rPr>
          <w:sz w:val="20"/>
          <w:szCs w:val="20"/>
          <w:color w:val="auto"/>
        </w:rPr>
      </w:pPr>
    </w:p>
    <w:p>
      <w:pPr>
        <w:jc w:val="both"/>
        <w:ind w:left="40" w:right="59" w:firstLine="296"/>
        <w:spacing w:after="0" w:line="274" w:lineRule="auto"/>
        <w:rPr>
          <w:sz w:val="20"/>
          <w:szCs w:val="20"/>
          <w:color w:val="auto"/>
        </w:rPr>
      </w:pPr>
      <w:r>
        <w:rPr>
          <w:rFonts w:ascii="Times New Roman" w:cs="Times New Roman" w:eastAsia="Times New Roman" w:hAnsi="Times New Roman"/>
          <w:sz w:val="16"/>
          <w:szCs w:val="16"/>
          <w:color w:val="auto"/>
        </w:rPr>
        <w:t>The Company received $423,024 in proceeds from the sale of 23,812 shares of Class A at a public offering price of $19.00 per share on July 28, 2020, net of underwriting fees, and used a portion of the proceeds to pay off $175,000 in outstanding debt. The net proceeds remaining after payment of Offering costs will be used for working capital and other corporate purposes as described in the S-1.</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0" w:name="page11"/>
    <w:bookmarkEnd w:id="1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215" w:lineRule="exact"/>
        <w:rPr>
          <w:sz w:val="20"/>
          <w:szCs w:val="20"/>
          <w:color w:val="auto"/>
        </w:rPr>
      </w:pPr>
    </w:p>
    <w:p>
      <w:pPr>
        <w:jc w:val="both"/>
        <w:ind w:left="40" w:right="59" w:firstLine="296"/>
        <w:spacing w:after="0" w:line="260" w:lineRule="auto"/>
        <w:rPr>
          <w:sz w:val="20"/>
          <w:szCs w:val="20"/>
          <w:color w:val="auto"/>
        </w:rPr>
      </w:pPr>
      <w:r>
        <w:rPr>
          <w:rFonts w:ascii="Times New Roman" w:cs="Times New Roman" w:eastAsia="Times New Roman" w:hAnsi="Times New Roman"/>
          <w:sz w:val="16"/>
          <w:szCs w:val="16"/>
          <w:color w:val="auto"/>
        </w:rPr>
        <w:t>The accompanying unaudited condensed consolidated balance sheet as of December 31, 2019, which has been derived from audited financial statements, and the unaudited interim condensed consolidated financial statements have been prepared pursuant to the rules and regulations of the SEC for interim financial information and include the accounts of the Company. All intercompany transactions have been eliminated in consolidation. Certain information and disclosures normally included in consolidated financial statements prepared in accordance with accounting principles generally accepted in the U.S. (“GAAP”) have been condensed or omitted. Accordingly, these consolidated financial statements should be read in conjunction with the audited consolidated financial statements and the related notes for the year ended December 31, 2019 included in the Company’s final S-1 dated July 28, 2020 and filed with the SEC pursuant to Rule 424(b)(4) under the Securities Act of 1933, as amended, (the “Securities Act”), on July 30, 2020 (the “Prospectus”). The accompanying interim condensed consolidated balance sheet as of September 30, 2020, the interim condensed consolidated statement of comprehensive income (loss) for the three and nine months ended September 30, 2020 and 2019, and the interim condensed consolidated statements of changes in equity (deficit) and cash flows for the nine months ended September 30, 2020 and 2019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consolidated financial statements. The operating results for the three and nine months ended September 30, 2020 and 2019 are not necessarily indicative of the results expected for the full year periods ending December 31, 2020 and 2019, respectively.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The Company operates its business as one operating segment. Operating segments are defined as components of an enterprise about which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 For the three and nine months ended September 30, 2020 and 2019, approximately 3% of the Company’s revenues were generated outside the U.S. in each respective period. As of December 31, 2019, none of the Company’s long-lived assets were held outside of the U.S. As of September 30, 2020, 18%, or $18,870, of the Company’s long-lived assets were held outside of the U.S. (unaudited) and consists primarily of goodwill of $18,667 (unaudited) at September 30, 2020 related to the acquisition of the controlling interest in Systax, which is located in Brazil. See Note 2.</w:t>
      </w: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Fair Value Measurement</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A three-level fair value hierarchy (the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 Inputs are unadjusted quoted prices in active markets for identical assets or liabilities.</w:t>
      </w:r>
    </w:p>
    <w:p>
      <w:pPr>
        <w:spacing w:after="0" w:line="211" w:lineRule="exact"/>
        <w:rPr>
          <w:sz w:val="20"/>
          <w:szCs w:val="20"/>
          <w:color w:val="auto"/>
        </w:rPr>
      </w:pPr>
    </w:p>
    <w:p>
      <w:pPr>
        <w:jc w:val="both"/>
        <w:ind w:left="940" w:right="59" w:hanging="592"/>
        <w:spacing w:after="0" w:line="279"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 Inputs are quoted prices for similar assets and liabilities in active markets or quoted prices for identical or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instruments in markets that are not active and model-derived valuations in which all significant inputs and significant value drivers are observable in active markets.</w:t>
      </w:r>
    </w:p>
    <w:p>
      <w:pPr>
        <w:spacing w:after="0" w:line="149" w:lineRule="exact"/>
        <w:rPr>
          <w:sz w:val="20"/>
          <w:szCs w:val="20"/>
          <w:color w:val="auto"/>
        </w:rPr>
      </w:pPr>
    </w:p>
    <w:p>
      <w:pPr>
        <w:jc w:val="both"/>
        <w:ind w:left="940" w:right="59" w:hanging="592"/>
        <w:spacing w:after="0" w:line="30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 Inputs are unobservable inputs based on the Company’s assumptions and valuation techniques used to measure assets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at fair value. The inputs require significant management judgment or estimation.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1" w:name="page12"/>
    <w:bookmarkEnd w:id="1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Company’s assessment of the significance of an input to the fair value measurement requires judgment, which may affect the valuation of fair value assets and liabilities and their placement within the fair value hierarchy levels.</w:t>
      </w:r>
    </w:p>
    <w:p>
      <w:pPr>
        <w:spacing w:after="0" w:line="137" w:lineRule="exact"/>
        <w:rPr>
          <w:sz w:val="20"/>
          <w:szCs w:val="20"/>
          <w:color w:val="auto"/>
        </w:rPr>
      </w:pPr>
    </w:p>
    <w:p>
      <w:pPr>
        <w:jc w:val="both"/>
        <w:ind w:left="40" w:right="59" w:firstLine="296"/>
        <w:spacing w:after="0" w:line="269" w:lineRule="auto"/>
        <w:rPr>
          <w:sz w:val="20"/>
          <w:szCs w:val="20"/>
          <w:color w:val="auto"/>
        </w:rPr>
      </w:pPr>
      <w:r>
        <w:rPr>
          <w:rFonts w:ascii="Times New Roman" w:cs="Times New Roman" w:eastAsia="Times New Roman" w:hAnsi="Times New Roman"/>
          <w:sz w:val="16"/>
          <w:szCs w:val="16"/>
          <w:color w:val="auto"/>
        </w:rPr>
        <w:t>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 The fair value of the Company’s investments in money market accounts were $159,851 and $38,520 at September 30, 2020 and December 31, 2019, respectively.</w:t>
      </w:r>
    </w:p>
    <w:p>
      <w:pPr>
        <w:spacing w:after="0" w:line="361"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carrying amounts reported in the consolidated balance sheets for cash and cash equivalents, funds held for customers, accounts receivable, accounts payable, accrued expenses and debt approximate their related fair values.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15"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the reserve for self-insurance, (iii) assumptions related to achievement of technological feasibility for software developed for sale, (iv) product life cycles, (v) estimated useful lives and potential impairment of long-lived assets, intangible assets and goodwill, (vi) determination of the fair value of tangible and intangible assets acquired, liabilities assumed and consideration transferred in an acquisition,</w:t>
      </w:r>
    </w:p>
    <w:p>
      <w:pPr>
        <w:spacing w:after="0" w:line="2" w:lineRule="exact"/>
        <w:rPr>
          <w:sz w:val="20"/>
          <w:szCs w:val="20"/>
          <w:color w:val="auto"/>
        </w:rPr>
      </w:pPr>
    </w:p>
    <w:p>
      <w:pPr>
        <w:jc w:val="both"/>
        <w:ind w:left="40" w:right="59" w:firstLine="3"/>
        <w:spacing w:after="0" w:line="263"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period of material rights and deferred commissions (viii) valuation of the Company’s stock used to determine the intrinsic value of stock-based compensation awards, (iv) Black-Scholes-Merton option pricing model (“Black-Scholes model”) input assumptions used to determine the fair value of stock-based compensation awards and (x) the potential outcome of future tax consequences of events that have been recognized in the consolidated financial statements or tax returns. Actual results may differ from these estimates.</w:t>
      </w: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Funds Held for Customers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funds obligations are included in current liabilities in the consolidated balance sheets, as the obligations are expected to be settled within one year.</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Property and equipment are stated at cost or fair value when acquired in a business combination and presented net of accumulated depreciation. Normal maintenance and repairs are charged to expense, while major renewals and betterments are capitalized. Assets under capital leases are recorded at the lower of the present value of the minimum lease payments or the fair value of the assets and are depreciated over the shorter of the asset’s useful life or lease term.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15"/>
        </w:trPr>
        <w:tc>
          <w:tcPr>
            <w:tcW w:w="7860" w:type="dxa"/>
            <w:vAlign w:val="bottom"/>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92"/>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are computed straight-line over the estimated useful lives of the assets, as follows: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1</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 years</w:t>
            </w:r>
          </w:p>
        </w:tc>
      </w:tr>
      <w:tr>
        <w:trPr>
          <w:trHeight w:val="198"/>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Internal-use software developed</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3</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 years</w:t>
            </w:r>
          </w:p>
        </w:tc>
      </w:tr>
      <w:tr>
        <w:trPr>
          <w:trHeight w:val="19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3</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 years</w:t>
            </w:r>
          </w:p>
        </w:tc>
      </w:tr>
      <w:tr>
        <w:trPr>
          <w:trHeight w:val="198"/>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Equipment</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3</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 years</w:t>
            </w:r>
          </w:p>
        </w:tc>
      </w:tr>
      <w:tr>
        <w:trPr>
          <w:trHeight w:val="19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Automobiles</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 years</w:t>
            </w:r>
          </w:p>
        </w:tc>
      </w:tr>
      <w:tr>
        <w:trPr>
          <w:trHeight w:val="215"/>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7</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 years</w:t>
            </w:r>
          </w:p>
        </w:tc>
      </w:tr>
    </w:tbl>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Software Development Costs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Internal-Use Software</w:t>
      </w:r>
    </w:p>
    <w:p>
      <w:pPr>
        <w:spacing w:after="0" w:line="213"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 xml:space="preserve">The Company follows Accounting Standard Codification (“ASC”) 350-40, </w:t>
      </w:r>
      <w:r>
        <w:rPr>
          <w:rFonts w:ascii="Times New Roman" w:cs="Times New Roman" w:eastAsia="Times New Roman" w:hAnsi="Times New Roman"/>
          <w:sz w:val="16"/>
          <w:szCs w:val="16"/>
          <w:i w:val="1"/>
          <w:iCs w:val="1"/>
          <w:color w:val="auto"/>
        </w:rPr>
        <w:t>Goodwill and Other, Internal-Use Software,</w:t>
      </w:r>
      <w:r>
        <w:rPr>
          <w:rFonts w:ascii="Times New Roman" w:cs="Times New Roman" w:eastAsia="Times New Roman" w:hAnsi="Times New Roman"/>
          <w:sz w:val="16"/>
          <w:szCs w:val="16"/>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purpose.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and is depreciated over periods between 3 to 5 years. Depreciation expense for internal-use software utilized for cloud-based solutions and for software for internal systems and tools is included in cost of revenues, software subscriptions and depreciation and amortization expense, respectively, in the consolidated statements of comprehensive income (loss).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Software Developed for Sale</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6"/>
          <w:szCs w:val="16"/>
          <w:i w:val="1"/>
          <w:iCs w:val="1"/>
          <w:color w:val="auto"/>
        </w:rPr>
        <w:t>Costs of Software to be Sold, Leased or Marketed</w:t>
      </w:r>
      <w:r>
        <w:rPr>
          <w:rFonts w:ascii="Times New Roman" w:cs="Times New Roman" w:eastAsia="Times New Roman" w:hAnsi="Times New Roman"/>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labor and related expenses for software development for new products and enhancements to existing products and acquired software.</w:t>
      </w:r>
    </w:p>
    <w:p>
      <w:pPr>
        <w:spacing w:after="0" w:line="16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Amortization of capitalized software development costs begins when the product is available for general release. Amortization is provided on a product-by-product basis using the straight-line method over periods between 3 to 5 years. Unamortized capitalized software development costs determined to be in excess of the net realizable value of the product are expensed immediately.</w:t>
      </w:r>
    </w:p>
    <w:p>
      <w:pPr>
        <w:spacing w:after="0" w:line="153"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 In event of an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3" w:name="page14"/>
    <w:bookmarkEnd w:id="1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is the estimated future gross revenues from the related product reduced by the estimated future costs of completing and disposing of such product, including the costs of providing related maintenance and customer support.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Assessment of Long-Lived Assets</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215" w:lineRule="exact"/>
        <w:rPr>
          <w:sz w:val="20"/>
          <w:szCs w:val="20"/>
          <w:color w:val="auto"/>
        </w:rPr>
      </w:pPr>
    </w:p>
    <w:p>
      <w:pPr>
        <w:jc w:val="both"/>
        <w:ind w:left="40" w:right="59" w:firstLine="296"/>
        <w:spacing w:after="0" w:line="259" w:lineRule="auto"/>
        <w:rPr>
          <w:sz w:val="20"/>
          <w:szCs w:val="20"/>
          <w:color w:val="auto"/>
        </w:rPr>
      </w:pPr>
      <w:r>
        <w:rPr>
          <w:rFonts w:ascii="Times New Roman" w:cs="Times New Roman" w:eastAsia="Times New Roman" w:hAnsi="Times New Roman"/>
          <w:sz w:val="16"/>
          <w:szCs w:val="16"/>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reflected in the consolidated statements of comprehensive income (loss) in the period in which they arise.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215"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net tangible and intangible assets acquired in a business combination. The Company evaluates goodwill for impairment annually at December 31 and whenever events or circumstances make it more likely than not that impairment may have occurred. 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364"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4" w:name="page15"/>
    <w:bookmarkEnd w:id="1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Deferred Financing Costs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 xml:space="preserve">The Company capitalizes costs related to obtaining, renewing or extending loan agreements and amortizes these costs on a straight-line basis, which approximates the interest method, over the life of the loan. Deferred financing costs related to outstanding borrowings under bank debt are reflected as a reduction of current portion of long-term debt and long-term debt, net of current portion. Deferred financing costs related to undrawn debt are reflected in deposits and other assets in the consolidated balance sheets in accordance with ASC 835-30, </w:t>
      </w:r>
      <w:r>
        <w:rPr>
          <w:rFonts w:ascii="Times New Roman" w:cs="Times New Roman" w:eastAsia="Times New Roman" w:hAnsi="Times New Roman"/>
          <w:sz w:val="16"/>
          <w:szCs w:val="16"/>
          <w:i w:val="1"/>
          <w:iCs w:val="1"/>
          <w:color w:val="auto"/>
        </w:rPr>
        <w:t>Interest—Imputation of Interest</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Accounting for Stock-Based Compensation</w:t>
      </w:r>
    </w:p>
    <w:p>
      <w:pPr>
        <w:spacing w:after="0" w:line="215" w:lineRule="exact"/>
        <w:rPr>
          <w:sz w:val="20"/>
          <w:szCs w:val="20"/>
          <w:color w:val="auto"/>
        </w:rPr>
      </w:pPr>
    </w:p>
    <w:p>
      <w:pPr>
        <w:jc w:val="both"/>
        <w:ind w:left="40" w:right="59" w:firstLine="296"/>
        <w:spacing w:after="0" w:line="269" w:lineRule="auto"/>
        <w:rPr>
          <w:sz w:val="20"/>
          <w:szCs w:val="20"/>
          <w:color w:val="auto"/>
        </w:rPr>
      </w:pPr>
      <w:r>
        <w:rPr>
          <w:rFonts w:ascii="Times New Roman" w:cs="Times New Roman" w:eastAsia="Times New Roman" w:hAnsi="Times New Roman"/>
          <w:sz w:val="16"/>
          <w:szCs w:val="16"/>
          <w:color w:val="auto"/>
        </w:rPr>
        <w:t xml:space="preserve">On the effective date of the Offering, the Company adopted the 2020 Incentive Award Plan (the “2020 Plan”) and the 2020 Employee Stock Purchase Plan (the “ESPP”), which provides for the award of stock appreciation rights (“SARs”) stock options (“options”), restricted stock awards (“RSAs”), restricted stock units (“RSUs”), and participation in the ESPP (collectively, the "awards"), which are subject to guidance set forth in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for the award of equity-based instruments.</w:t>
      </w:r>
    </w:p>
    <w:p>
      <w:pPr>
        <w:spacing w:after="0" w:line="361"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37"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the Company measured SARs based on their intrinsic value which reflected the difference between the fair value of the Company’s former Class B common stock less the grant date fair value of the underlying shares as this was the value the SAR participant could derive from exercise of the SAR award. Prior to the Offering, the fair value of the Company’s common stock was determined periodically by the Board with the assistance of management and a third-party valuation firm. Upon becoming a public entity, and up to the effective date of the Offering, management remeasured outstanding SARs using the fair value-based method under ASC 718. See Note 9 for discussion of the impact of the resulting change in accounting policy. Outstanding SARs are included in deferred compensation, current and deferred compensation, net of current portion in the consolidated balance sheets.</w:t>
      </w:r>
    </w:p>
    <w:p>
      <w:pPr>
        <w:spacing w:after="0" w:line="16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Stock-based compensation expense for new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153"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Stock-based compensation expense for RSAs and RSUs is based on the the fair value of the Company’s underlying common stock on the date of grant. Compensation cost is recognized on a straight-line basis over the requisite service or performance period associated with the award.</w:t>
      </w:r>
    </w:p>
    <w:p>
      <w:pPr>
        <w:spacing w:after="0" w:line="15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The ESPP permits participants to purchase Class A common stock through payroll deductions up to a specified percentage of their eligible compensation, or a lump sum contribution amount for the initial offering period (July 28 to November 30, 2020), subject to the plan’s maximum purchase provisions during the specified offering periods. The plan is a compensatory plan as it allows participants to purchase stock at a 15% discount from the lower of the fair value of the Class A common on the first or last day of the ESPP offering period (the “ESPP discount”). The ESPP is accounted for as an equity-classified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 which is estimated using the Black-Scholes model. Compensation cost is recognized on a straight-line basis over the respective offering period.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5" w:name="page16"/>
    <w:bookmarkEnd w:id="1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has elected to recognize award forfeitures as they occur.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Operating Leases and Deferred Rent</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Rent expense for operating leases is recognized on a straight-line basis over the period of the related lease. For lease agreements that include future specific rent increases, rent concessions and/or tenant improvement allowances, the difference between the rent payments and the straight-line rent expense is included in deferred rent liability in the consolidated balance sheets.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Self-insurance</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$1,473 and $2,068 at December 31, 2019 and September 30, 2020 (unaudited), respectively, and are reflected in accrued salaries and benefits in the consolidated balance sheets. Material differences may result in the amount and timing of insurance expense if actual experience differs significantly from management’s estimates.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p>
      <w:pPr>
        <w:spacing w:after="0" w:line="213"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 xml:space="preserve">The Company recognizes revenue in accordance with Accounting Standards Update (“ASU”) 2014-09, </w:t>
      </w:r>
      <w:r>
        <w:rPr>
          <w:rFonts w:ascii="Times New Roman" w:cs="Times New Roman" w:eastAsia="Times New Roman" w:hAnsi="Times New Roman"/>
          <w:sz w:val="16"/>
          <w:szCs w:val="16"/>
          <w:i w:val="1"/>
          <w:iCs w:val="1"/>
          <w:color w:val="auto"/>
        </w:rPr>
        <w:t>Revenue from 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Customers</w:t>
      </w:r>
      <w:r>
        <w:rPr>
          <w:rFonts w:ascii="Times New Roman" w:cs="Times New Roman" w:eastAsia="Times New Roman" w:hAnsi="Times New Roman"/>
          <w:sz w:val="16"/>
          <w:szCs w:val="16"/>
          <w:color w:val="auto"/>
        </w:rPr>
        <w:t>, (“ASC 606”). Revenue is recognized upon transfer of control of promised products or services to customers 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Nature of goods and services</w:t>
      </w:r>
    </w:p>
    <w:p>
      <w:pPr>
        <w:spacing w:after="0" w:line="215"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The Company’s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spacing w:after="0" w:line="170"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6" w:name="page17"/>
    <w:bookmarkEnd w:id="1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ratably over the related subscription period. Revenue recognition begins on the later of the beginning of the subscription period or the date the customer is provided access to the cloud-based solutions.</w:t>
      </w:r>
    </w:p>
    <w:p>
      <w:pPr>
        <w:spacing w:after="0" w:line="137"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Revenue from deliverable-based services is recognized as services are delivered. Revenue from fixed fee services is recognized as services are performed using the percentage of completion input method.</w:t>
      </w:r>
    </w:p>
    <w:p>
      <w:pPr>
        <w:spacing w:after="0" w:line="137"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 has elected the "right to invoice" practical expedient for revenue related to services that are billed on an hourly basis, which enables revenue to be recognized as the services are performed.</w:t>
      </w:r>
    </w:p>
    <w:p>
      <w:pPr>
        <w:spacing w:after="0" w:line="137"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Significant Judgments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7" w:name="page18"/>
    <w:bookmarkEnd w:id="1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table reflects revenue by major source for the following periods: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1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left="286"/>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5"/>
          </w:tcPr>
          <w:p>
            <w:pPr>
              <w:jc w:val="center"/>
              <w:ind w:right="22"/>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jc w:val="center"/>
              <w:ind w:right="2058"/>
              <w:spacing w:after="0"/>
              <w:rPr>
                <w:sz w:val="20"/>
                <w:szCs w:val="20"/>
                <w:color w:val="auto"/>
              </w:rPr>
            </w:pPr>
            <w:r>
              <w:rPr>
                <w:rFonts w:ascii="Times New Roman" w:cs="Times New Roman" w:eastAsia="Times New Roman" w:hAnsi="Times New Roman"/>
                <w:sz w:val="16"/>
                <w:szCs w:val="16"/>
                <w:color w:val="auto"/>
              </w:rPr>
              <w:t>Sources of revenue:</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Software subscriptions</w:t>
            </w:r>
          </w:p>
        </w:tc>
        <w:tc>
          <w:tcPr>
            <w:tcW w:w="20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79,778</w:t>
            </w:r>
          </w:p>
        </w:tc>
        <w:tc>
          <w:tcPr>
            <w:tcW w:w="42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71,041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180" w:type="dxa"/>
            <w:vAlign w:val="bottom"/>
          </w:tcPr>
          <w:p>
            <w:pPr>
              <w:spacing w:after="0"/>
              <w:rPr>
                <w:sz w:val="17"/>
                <w:szCs w:val="17"/>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202,692</w:t>
            </w: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18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14,827</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11,398</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w:t>
            </w:r>
          </w:p>
        </w:tc>
      </w:tr>
      <w:tr>
        <w:trPr>
          <w:trHeight w:val="190"/>
        </w:trPr>
        <w:tc>
          <w:tcPr>
            <w:tcW w:w="20" w:type="dxa"/>
            <w:vAlign w:val="bottom"/>
          </w:tcPr>
          <w:p>
            <w:pPr>
              <w:spacing w:after="0"/>
              <w:rPr>
                <w:sz w:val="16"/>
                <w:szCs w:val="16"/>
                <w:color w:val="auto"/>
              </w:rPr>
            </w:pPr>
          </w:p>
        </w:tc>
        <w:tc>
          <w:tcPr>
            <w:tcW w:w="3440" w:type="dxa"/>
            <w:vAlign w:val="bottom"/>
          </w:tcPr>
          <w:p>
            <w:pPr>
              <w:jc w:val="center"/>
              <w:ind w:right="2098"/>
              <w:spacing w:after="0"/>
              <w:rPr>
                <w:sz w:val="20"/>
                <w:szCs w:val="20"/>
                <w:color w:val="auto"/>
              </w:rPr>
            </w:pPr>
            <w:r>
              <w:rPr>
                <w:rFonts w:ascii="Times New Roman" w:cs="Times New Roman" w:eastAsia="Times New Roman" w:hAnsi="Times New Roman"/>
                <w:sz w:val="16"/>
                <w:szCs w:val="16"/>
                <w:color w:val="auto"/>
              </w:rPr>
              <w:t>Total revenue</w:t>
            </w:r>
          </w:p>
        </w:tc>
        <w:tc>
          <w:tcPr>
            <w:tcW w:w="184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94,605</w:t>
            </w:r>
          </w:p>
        </w:tc>
        <w:tc>
          <w:tcPr>
            <w:tcW w:w="180" w:type="dxa"/>
            <w:vAlign w:val="bottom"/>
          </w:tcPr>
          <w:p>
            <w:pPr>
              <w:spacing w:after="0"/>
              <w:rPr>
                <w:sz w:val="16"/>
                <w:szCs w:val="16"/>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82,439</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275,121</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235,428</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215"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$7,515 and $7,567 at December 31, 2019 and September 30, 2020 (unaudited), respectively. The allowance is based on management’s assessment of uncollectible accounts on a specific identification basis, with the estimate of potential cancellations being determined based on management’s review of historical cancellation rates.</w:t>
      </w: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beginning and ending balances of accounts receivable, net of allowance,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6"/>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center"/>
              <w:ind w:right="27"/>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28"/>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center"/>
              <w:ind w:right="27"/>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70,367</w:t>
            </w:r>
          </w:p>
        </w:tc>
      </w:tr>
      <w:tr>
        <w:trPr>
          <w:trHeight w:val="198"/>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1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70,367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66,789</w:t>
            </w:r>
          </w:p>
        </w:tc>
      </w:tr>
      <w:tr>
        <w:trPr>
          <w:trHeight w:val="190"/>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net</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A contract liability is recorded as deferred revenue on the consolidated balance sheets when customers are billed in advance of performance obligations being satisfied, and revenue is recognized ratably over the subscription period or over the amortization period of material rights. Deferred revenue is reflected net of a related deferred allowance for subscription cancellations (the “deferred allowance”) of $5,614 and $5,170 at December 31, 2019 and September 30, 2020 (unaudited), respectively. The deferred allowance represents the portion of the allowance for subscription cancellations associated with deferred revenue.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8" w:name="page19"/>
    <w:bookmarkEnd w:id="1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beginning and ending balances of and changes to the allowance and the deferred allowance are as follows:</w:t>
      </w:r>
    </w:p>
    <w:p>
      <w:pPr>
        <w:spacing w:after="0" w:line="21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jc w:val="center"/>
        <w:ind w:left="68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 2020</w:t>
      </w:r>
    </w:p>
    <w:tbl>
      <w:tblPr>
        <w:tblLayout w:type="fixed"/>
        <w:tblInd w:w="4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gridSpan w:val="10"/>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balance, July 1</w:t>
            </w:r>
          </w:p>
        </w:tc>
        <w:tc>
          <w:tcPr>
            <w:tcW w:w="3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balance, September 30</w:t>
            </w:r>
          </w:p>
        </w:tc>
        <w:tc>
          <w:tcPr>
            <w:tcW w:w="3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allowance</w:t>
            </w:r>
          </w:p>
        </w:tc>
        <w:tc>
          <w:tcPr>
            <w:tcW w:w="3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Deferred allowance balance, July 1</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allowance balance, September 30</w:t>
            </w:r>
          </w:p>
        </w:tc>
        <w:tc>
          <w:tcPr>
            <w:tcW w:w="3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Change in deferred allowance</w:t>
            </w: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amount charged to revenue</w:t>
            </w:r>
          </w:p>
        </w:tc>
        <w:tc>
          <w:tcPr>
            <w:tcW w:w="3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0"/>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10"/>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gridSpan w:val="9"/>
          </w:tcPr>
          <w:p>
            <w:pPr>
              <w:jc w:val="center"/>
              <w:ind w:right="114"/>
              <w:spacing w:after="0" w:line="10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0" w:type="dxa"/>
            <w:vAlign w:val="bottom"/>
          </w:tcPr>
          <w:p>
            <w:pPr>
              <w:spacing w:after="0"/>
              <w:rPr>
                <w:sz w:val="1"/>
                <w:szCs w:val="1"/>
                <w:color w:val="auto"/>
              </w:rPr>
            </w:pPr>
          </w:p>
        </w:tc>
      </w:tr>
      <w:tr>
        <w:trPr>
          <w:trHeight w:val="190"/>
        </w:trPr>
        <w:tc>
          <w:tcPr>
            <w:tcW w:w="3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balance. July 1</w:t>
            </w:r>
          </w:p>
        </w:tc>
        <w:tc>
          <w:tcPr>
            <w:tcW w:w="3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balance, September 30</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allowance</w:t>
            </w:r>
          </w:p>
        </w:tc>
        <w:tc>
          <w:tcPr>
            <w:tcW w:w="3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allowance balance, July 1</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allowance balance, September 30</w:t>
            </w:r>
          </w:p>
        </w:tc>
        <w:tc>
          <w:tcPr>
            <w:tcW w:w="3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Change in deferred allowance</w:t>
            </w: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amount charged to revenue</w:t>
            </w:r>
          </w:p>
        </w:tc>
        <w:tc>
          <w:tcPr>
            <w:tcW w:w="3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0"/>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10"/>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balance. January 1</w:t>
            </w:r>
          </w:p>
        </w:tc>
        <w:tc>
          <w:tcPr>
            <w:tcW w:w="328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balance, September 30</w:t>
            </w:r>
          </w:p>
        </w:tc>
        <w:tc>
          <w:tcPr>
            <w:tcW w:w="3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allowance</w:t>
            </w:r>
          </w:p>
        </w:tc>
        <w:tc>
          <w:tcPr>
            <w:tcW w:w="3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Deferred allowance balance, January 1</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allowance balance, September 30</w:t>
            </w:r>
          </w:p>
        </w:tc>
        <w:tc>
          <w:tcPr>
            <w:tcW w:w="3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Change in deferred allowance</w:t>
            </w: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amount charged to revenue</w:t>
            </w:r>
          </w:p>
        </w:tc>
        <w:tc>
          <w:tcPr>
            <w:tcW w:w="3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0"/>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10"/>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balance. January 1</w:t>
            </w:r>
          </w:p>
        </w:tc>
        <w:tc>
          <w:tcPr>
            <w:tcW w:w="328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balance, September 30</w:t>
            </w:r>
          </w:p>
        </w:tc>
        <w:tc>
          <w:tcPr>
            <w:tcW w:w="3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allowance</w:t>
            </w:r>
          </w:p>
        </w:tc>
        <w:tc>
          <w:tcPr>
            <w:tcW w:w="3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allowance balance, January 1</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allowance balance, September 30</w:t>
            </w:r>
          </w:p>
        </w:tc>
        <w:tc>
          <w:tcPr>
            <w:tcW w:w="3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Change in deferred allowance</w:t>
            </w: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amount charged to revenue</w:t>
            </w:r>
          </w:p>
        </w:tc>
        <w:tc>
          <w:tcPr>
            <w:tcW w:w="3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6"/>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40" w:type="dxa"/>
            <w:vAlign w:val="bottom"/>
            <w:vMerge w:val="restart"/>
          </w:tcPr>
          <w:p>
            <w:pPr>
              <w:jc w:val="right"/>
              <w:ind w:right="2138"/>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7" w:right="1440" w:bottom="1440" w:gutter="0" w:footer="0" w:header="0"/>
        </w:sectPr>
      </w:pPr>
    </w:p>
    <w:bookmarkStart w:id="19" w:name="page20"/>
    <w:bookmarkEnd w:id="1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table provides information about the balances of and changes to deferred revenue for the following periods: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As of September 30,</w:t>
            </w:r>
          </w:p>
        </w:tc>
      </w:tr>
      <w:tr>
        <w:trPr>
          <w:trHeight w:val="158"/>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28"/>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24"/>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3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191,745</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185,445</w:t>
            </w:r>
          </w:p>
        </w:tc>
      </w:tr>
      <w:tr>
        <w:trPr>
          <w:trHeight w:val="198"/>
        </w:trPr>
        <w:tc>
          <w:tcPr>
            <w:tcW w:w="20" w:type="dxa"/>
            <w:vAlign w:val="bottom"/>
          </w:tcPr>
          <w:p>
            <w:pPr>
              <w:spacing w:after="0"/>
              <w:rPr>
                <w:sz w:val="17"/>
                <w:szCs w:val="17"/>
                <w:color w:val="auto"/>
              </w:rPr>
            </w:pPr>
          </w:p>
        </w:tc>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12,095</w:t>
            </w:r>
          </w:p>
        </w:tc>
      </w:tr>
      <w:tr>
        <w:trPr>
          <w:trHeight w:val="190"/>
        </w:trPr>
        <w:tc>
          <w:tcPr>
            <w:tcW w:w="20" w:type="dxa"/>
            <w:vAlign w:val="bottom"/>
          </w:tcPr>
          <w:p>
            <w:pPr>
              <w:spacing w:after="0"/>
              <w:rPr>
                <w:sz w:val="16"/>
                <w:szCs w:val="16"/>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205,791</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197,540</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5"/>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3"/>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5"/>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1"/>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116"/>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4"/>
          </w:tcPr>
          <w:p>
            <w:pPr>
              <w:jc w:val="right"/>
              <w:ind w:right="465"/>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to deferred revenue:</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Beginning balance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198,437</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205,791</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178,703</w:t>
            </w: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amounts deferred</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236,481</w:t>
            </w:r>
          </w:p>
        </w:tc>
      </w:tr>
      <w:tr>
        <w:trPr>
          <w:trHeight w:val="198"/>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Revenue recognized</w:t>
            </w:r>
          </w:p>
        </w:tc>
        <w:tc>
          <w:tcPr>
            <w:tcW w:w="15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(82,439)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(235,428)</w:t>
            </w:r>
          </w:p>
        </w:tc>
      </w:tr>
      <w:tr>
        <w:trPr>
          <w:trHeight w:val="190"/>
        </w:trPr>
        <w:tc>
          <w:tcPr>
            <w:tcW w:w="20" w:type="dxa"/>
            <w:vAlign w:val="bottom"/>
          </w:tcPr>
          <w:p>
            <w:pPr>
              <w:spacing w:after="0"/>
              <w:rPr>
                <w:sz w:val="16"/>
                <w:szCs w:val="16"/>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197,540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179,756</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197,540</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179,756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Contract costs</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table provides information about the changes to contract cost balances as of and for the following periods: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5"/>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3"/>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5"/>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1"/>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116"/>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4"/>
          </w:tcPr>
          <w:p>
            <w:pPr>
              <w:jc w:val="right"/>
              <w:ind w:right="485"/>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Beginning balance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3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3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w:t>
            </w: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198"/>
        </w:trPr>
        <w:tc>
          <w:tcPr>
            <w:tcW w:w="20" w:type="dxa"/>
            <w:vAlign w:val="bottom"/>
          </w:tcPr>
          <w:p>
            <w:pPr>
              <w:spacing w:after="0"/>
              <w:rPr>
                <w:sz w:val="17"/>
                <w:szCs w:val="17"/>
                <w:color w:val="auto"/>
              </w:rPr>
            </w:pPr>
          </w:p>
        </w:tc>
        <w:tc>
          <w:tcPr>
            <w:tcW w:w="3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Amortization</w:t>
            </w:r>
          </w:p>
        </w:tc>
        <w:tc>
          <w:tcPr>
            <w:tcW w:w="18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w:t>
            </w:r>
          </w:p>
        </w:tc>
      </w:tr>
      <w:tr>
        <w:trPr>
          <w:trHeight w:val="190"/>
        </w:trPr>
        <w:tc>
          <w:tcPr>
            <w:tcW w:w="20" w:type="dxa"/>
            <w:vAlign w:val="bottom"/>
          </w:tcPr>
          <w:p>
            <w:pPr>
              <w:spacing w:after="0"/>
              <w:rPr>
                <w:sz w:val="16"/>
                <w:szCs w:val="16"/>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Payment terms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Payment terms and conditions vary by contract, although the Company’s terms generally include a requirement of payment within 30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0" w:name="page21"/>
    <w:bookmarkEnd w:id="2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Cost of revenues, software subscriptions includes the direct cost to develop, host and distribute software products, the direct cost to provide customer support, and amortization of costs capitalized for software developed for sale and for internal-use software utilized for cloud-based subscriptions. Cost of revenues, services includes the direct costs of implementation, training, transaction tax returns outsourcing and other tax-related services.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Reimbursable Costs</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Reimbursable costs passed through and invoiced to customers of the Company are recorded as services revenues with the associated expenses recorded as cost of revenues, services in the consolidated statements of comprehensive income (loss).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and are included in the consolidated statements of comprehensive income (loss).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Foreign Currency</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stockholders’ (equity) deficit as a component of accumulated other comprehensive loss in the consolidated balance sheets. Related periodic movements in exchange rates are included in other comprehensive income (loss) in the consolidated statements of comprehensive income (loss).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15"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On July 27, 2020, the Company’s S-corporation election (the “S election”) was terminated by the Company’s stockholders in connection with the Offering. As a result, Vertex will now be taxed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that arises after the effective date of the S election termination (the “Tax Sharing Agreement”). In 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to the extent that such unpaid tax liabilities are attributable to a decrease in S-corporation stockholders’ taxable income for any period and a corresponding increase in our taxable income for any period.</w:t>
      </w:r>
    </w:p>
    <w:p>
      <w:pPr>
        <w:spacing w:after="0" w:line="16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Prior to July 27, 2020, as Vertex was taxed as an S-corporation for U.S. federal income tax purposes and for most states, net income or loss was allocated to the stockholders and was included on their individual income tax returns. Historically the Company distributed amounts to the stockholders to satisfy their tax liabilities resulting from allocated net income or loss. In certain states, Vertex was taxed at the corporate level. Accordingly, the income tax provision or benefit was based on taxable income allocated to these states. In certain foreign jurisdictions, Vertex subsidiaries were taxed at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1" w:name="page22"/>
    <w:bookmarkEnd w:id="2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the corporate level. Similar to states, the income tax provision or benefit is based on taxable income sourced to these foreign jurisdictions.</w:t>
      </w:r>
    </w:p>
    <w:p>
      <w:pPr>
        <w:spacing w:after="0" w:line="387"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Certain foreign subsidiaries in which we own greater than 50% of the equity by measure of vote or value are treated as controlled foreign companies (“CFCs”) for U.S. federal income tax purposes and most states under the IRS foreign tax regulations. The income and loss from these entities is reported on the Company’s U.S. federal and some state income tax returns when the foreign earnings are repatriated or deemed to be repatriated to the U.S. In conjunction with the termination of the S election, certain direct and indirect wholly-owned foreign subsidiaries that were previously treated as disregarded entities for U.S. federal income tax purposes and most states under the Internal Revenue Service (“IRS”) “check-the-box” regulations, “unchecked-the-box” to become regarded entities and as a result, became CFCs. Prior to these elections, the income and loss from these entities was reported on the Company’s U.S. federal and most state income tax returns in addition to being reported on a foreign jurisdiction tax return regardless of whether or not the earnings were repatriated.</w:t>
      </w:r>
    </w:p>
    <w:p>
      <w:pPr>
        <w:spacing w:after="0" w:line="168"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Company records deferred income taxes using the liability method. The Company recognizes deferred tax assets and liabilities for future tax consequences of events that have been previously recognized in the Company’s consolidated financial statements and tax returns. The measurement of deferred tax assets and liabilities is based on provisions of the enacted tax law. The effects of future changes in tax laws or rates are not anticipated. A valuation allowance is recorded when it is more likely than not that some or all of the deferred tax assets will not be realized.</w:t>
      </w:r>
    </w:p>
    <w:p>
      <w:pPr>
        <w:spacing w:after="0" w:line="160"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 xml:space="preserve">The Company records uncertain tax positions in accordance with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w:t>
      </w:r>
    </w:p>
    <w:p>
      <w:pPr>
        <w:spacing w:after="0" w:line="166"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The Company recorded a $32,440 deferred tax asset during the three months ended September 30, 2020 as a result of the conversion from an S-corporation to a C-corporation. The deferred tax asset is primarily due to future stock-based compensation deductions for tax purposes resulting from SARs that were previously issued by the Company, converted to options and immediately exercised upon the effective date of the Offering. The exercise of these options is projected to result in a net operating loss for the C-corporation short tax year beginning July 27, 2020 and ending December 31, 2020, for which it is more likely than not the Company will realize this benefit within the next several tax years. Based on Management’s evaluation of the positive and negative evidence, it is more likely than not that the Company will realize these benefits on future U.S. tax returns.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Total comprehensive income (loss) consists of net (loss) income and other comprehensive income (loss). Other comprehensive income (loss) refers to revenues, expenses, gains and losses that under U.S. GAAP are recorded as elements of stockholders’ equity (deficit) but are excluded from net income. Other comprehensive income (loss) is comprised solely of foreign currency translation adjustments and revaluations.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Earnings Per Share (“EPS”)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 Basic and diluted net (loss) income per share attributable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2" w:name="page23"/>
    <w:bookmarkEnd w:id="2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to common stockholders is calculated using the treasury stock method. The basic net (loss) income per share attributable to Class A common stockholders includes RSAs, RSUs and ESPP shares once vesting or purchase contingencies are resolved and the related shares are deemed to be outstanding. The diluted net (loss) income per share attributable to Class A common stockholders is computed by giving effect to all potential dilutive common stock equivalents outstanding for the period. For purposes of this calculation, options to purchase shares of Class A common stock, RSAs and RSUs, and ESPP shares for which the Company has received payments for are considered common stock equivalents.</w:t>
      </w:r>
    </w:p>
    <w:p>
      <w:pPr>
        <w:spacing w:after="0" w:line="162"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 xml:space="preserve">In accordance with ASC 260,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the historical EPS was retrospectively restated similar to the treatment of a stock split to reflect the Share Exchange for all periods presented prior to the Offering as management concluded that there was no economic value attributable to the exchange of shares in connection with the Recapitalization. Class A common stock issued in connection with the Offering are reflected in the weighted average share calculation from their issuance date.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Unaudited Pro Forma Income Taxes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Effective July 27, 2020, the Company converted to and will be taxed as a C-corporation for U.S. income tax purposes. Accordingly, a pro forma income tax provision has been disclosed as if the Company was a taxable corporation for the three and nine months ended September 30, 2020. The Company has computed pro forma entity level income tax expense using an estimated effective tax rate of approximately 25% for these periods, inclusive of all applicable U.S. federal, state, local and foreign income taxes.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Unaudited Pro Forma Earnings Per Share</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 has presented pro forma earnings per share for the three and nine months ended September 30, 2020 to reflect the pro forma adjustment to income taxes resulting from the conversion to a C-corporation effective July 27, 2020.</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For the three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For the nine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20" w:type="dxa"/>
            <w:vAlign w:val="bottom"/>
            <w:gridSpan w:val="3"/>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40" w:type="dxa"/>
            <w:vAlign w:val="bottom"/>
          </w:tcPr>
          <w:p>
            <w:pPr>
              <w:spacing w:after="0"/>
              <w:rPr>
                <w:sz w:val="11"/>
                <w:szCs w:val="11"/>
                <w:color w:val="auto"/>
              </w:rPr>
            </w:pPr>
          </w:p>
        </w:tc>
        <w:tc>
          <w:tcPr>
            <w:tcW w:w="1100" w:type="dxa"/>
            <w:vAlign w:val="bottom"/>
            <w:gridSpan w:val="3"/>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0" w:type="dxa"/>
            <w:vAlign w:val="bottom"/>
          </w:tcPr>
          <w:p>
            <w:pPr>
              <w:spacing w:after="0"/>
              <w:rPr>
                <w:sz w:val="1"/>
                <w:szCs w:val="1"/>
                <w:color w:val="auto"/>
              </w:rPr>
            </w:pPr>
          </w:p>
        </w:tc>
      </w:tr>
      <w:tr>
        <w:trPr>
          <w:trHeight w:val="158"/>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48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4180" w:type="dxa"/>
            <w:vAlign w:val="bottom"/>
            <w:gridSpan w:val="2"/>
            <w:vMerge w:val="continue"/>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4"/>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2"/>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642"/>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 forma net loss attributable to all stockholders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A stock as a percentage of total shares outstanding</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13.08 %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Pro forma net loss attributable to Class A stockholders</w:t>
            </w:r>
          </w:p>
        </w:tc>
        <w:tc>
          <w:tcPr>
            <w:tcW w:w="24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Class A common stock, basic and diluted</w:t>
            </w:r>
          </w:p>
        </w:tc>
        <w:tc>
          <w:tcPr>
            <w:tcW w:w="2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18,124</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 forma net loss per Class A share, basic and diluted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978"/>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7" w:right="1440" w:bottom="1440" w:gutter="0" w:footer="0" w:header="0"/>
        </w:sectPr>
      </w:pPr>
    </w:p>
    <w:bookmarkStart w:id="23" w:name="page24"/>
    <w:bookmarkEnd w:id="2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For the three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For the nine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40" w:type="dxa"/>
            <w:vAlign w:val="bottom"/>
          </w:tcPr>
          <w:p>
            <w:pPr>
              <w:spacing w:after="0"/>
              <w:rPr>
                <w:sz w:val="11"/>
                <w:szCs w:val="11"/>
                <w:color w:val="auto"/>
              </w:rPr>
            </w:pPr>
          </w:p>
        </w:tc>
        <w:tc>
          <w:tcPr>
            <w:tcW w:w="1100" w:type="dxa"/>
            <w:vAlign w:val="bottom"/>
            <w:gridSpan w:val="3"/>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0" w:type="dxa"/>
            <w:vAlign w:val="bottom"/>
          </w:tcPr>
          <w:p>
            <w:pPr>
              <w:spacing w:after="0"/>
              <w:rPr>
                <w:sz w:val="1"/>
                <w:szCs w:val="1"/>
                <w:color w:val="auto"/>
              </w:rPr>
            </w:pPr>
          </w:p>
        </w:tc>
      </w:tr>
      <w:tr>
        <w:trPr>
          <w:trHeight w:val="15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64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60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4"/>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2"/>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642"/>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 forma net loss attributable to all stockholders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B stock as a percentage of total shares outstanding</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86.92 %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95.16 %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Pro forma net loss attributable to Class B stockholders</w:t>
            </w:r>
          </w:p>
        </w:tc>
        <w:tc>
          <w:tcPr>
            <w:tcW w:w="6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(33,633)</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(78,670)</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Class B common stock outstanding, basic and diluted</w:t>
            </w: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 forma net loss per Class B share, basic and 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Supplemental cash flow disclosures are as follows for the respective periods: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p>
      <w:pPr>
        <w:jc w:val="center"/>
        <w:ind w:left="678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w:t>
            </w: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48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40" w:type="dxa"/>
            <w:vAlign w:val="bottom"/>
            <w:tcBorders>
              <w:top w:val="single" w:sz="8" w:color="CCEEFF"/>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Income taxes</w:t>
            </w: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Acquisition purchase commitment liability at acquisition date</w:t>
            </w: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14,344</w:t>
            </w:r>
          </w:p>
        </w:tc>
        <w:tc>
          <w:tcPr>
            <w:tcW w:w="4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Equipment acquired through capital leases</w:t>
            </w:r>
          </w:p>
        </w:tc>
        <w:tc>
          <w:tcPr>
            <w:tcW w:w="12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54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826</w:t>
            </w:r>
          </w:p>
        </w:tc>
        <w:tc>
          <w:tcPr>
            <w:tcW w:w="2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1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4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Remeasurement of options for redeemable shares</w:t>
            </w:r>
          </w:p>
        </w:tc>
        <w:tc>
          <w:tcPr>
            <w:tcW w:w="1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51,833</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Conversions of SAR's in connection with the Offering</w:t>
            </w:r>
          </w:p>
        </w:tc>
        <w:tc>
          <w:tcPr>
            <w:tcW w:w="1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54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128,870</w:t>
            </w:r>
          </w:p>
        </w:tc>
        <w:tc>
          <w:tcPr>
            <w:tcW w:w="2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1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4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Exchange of Amended Options in connection with the Offering</w:t>
            </w:r>
          </w:p>
        </w:tc>
        <w:tc>
          <w:tcPr>
            <w:tcW w:w="1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69,177</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60"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 xml:space="preserve">In February 2016, the FASB issued ASU No.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This standard amends several of aspects of lease accounting, including requiring lessees to recognize operating leases with a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and after December 15, 2020 for all other companies, with early adoption permitted. The Company intends to adopt this standard effective January 1, 2021 using the modified retrospective transition method and therefore will not restate comparative periods. The Company expects to elect the "package of three" practical expedients permitted under the transition guidance, which allows (i) a carry forward of the historical lease classification conclusions, (ii) management’s assessment on whether a contract is or contains a lease, and (iii) the initial direct costs for any leases that exist prior to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4" w:name="page25"/>
    <w:bookmarkEnd w:id="2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adoption of the new standard. The Company is currently evaluating the impact this guidance will have on the Company’s consolidated financial statements. While the Company has not yet quantified the impact, resulting adjustments are expected to materially increase total assets and total liabilities relative to such amounts reported prior to adoption, but not have a material impact on the consolidated statements of comprehensive income (loss) or consolidated statements of cash flows.</w:t>
      </w:r>
    </w:p>
    <w:p>
      <w:pPr>
        <w:spacing w:after="0" w:line="15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Measurement of Credit Losses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Financial Instruments</w:t>
      </w:r>
      <w:r>
        <w:rPr>
          <w:rFonts w:ascii="Times New Roman" w:cs="Times New Roman" w:eastAsia="Times New Roman" w:hAnsi="Times New Roman"/>
          <w:sz w:val="16"/>
          <w:szCs w:val="16"/>
          <w:color w:val="auto"/>
        </w:rPr>
        <w:t>, (“ASU 2016-13”) which replaces the existing incurred loss impairment model with an expected credit loss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 and requires financial assets, 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has elected to delay adoption of this guidance until January 1, 2021. The implementation of ASU 2016-13 is not expected to have a material impact on the Company’s financial position.</w:t>
      </w:r>
    </w:p>
    <w:p>
      <w:pPr>
        <w:spacing w:after="0" w:line="164"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 xml:space="preserve">In January 2017, the FASB issued ASU 2017-04, </w:t>
      </w:r>
      <w:r>
        <w:rPr>
          <w:rFonts w:ascii="Times New Roman" w:cs="Times New Roman" w:eastAsia="Times New Roman" w:hAnsi="Times New Roman"/>
          <w:sz w:val="16"/>
          <w:szCs w:val="16"/>
          <w:i w:val="1"/>
          <w:iCs w:val="1"/>
          <w:color w:val="auto"/>
        </w:rPr>
        <w:t>Simplifying the Test for Goodwill Impairment</w:t>
      </w:r>
      <w:r>
        <w:rPr>
          <w:rFonts w:ascii="Times New Roman" w:cs="Times New Roman" w:eastAsia="Times New Roman" w:hAnsi="Times New Roman"/>
          <w:sz w:val="16"/>
          <w:szCs w:val="16"/>
          <w:color w:val="auto"/>
        </w:rPr>
        <w:t>, (“ASU 2017-04”) to eliminate step two of the goodwill impairment test requiring a 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In addition, income tax effects from any tax-deductible goodwill on the carrying amount of the reporting unit should be considered when measuring the goodwill impairment loss, if applicable. ASU 2017-04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has adopted this guidance effective as of January 1, 2020.</w:t>
      </w:r>
    </w:p>
    <w:p>
      <w:pPr>
        <w:spacing w:after="0" w:line="363"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 xml:space="preserve">In December 2019, the FASB issued ASU Update No. 2019-12, </w:t>
      </w:r>
      <w:r>
        <w:rPr>
          <w:rFonts w:ascii="Times New Roman" w:cs="Times New Roman" w:eastAsia="Times New Roman" w:hAnsi="Times New Roman"/>
          <w:sz w:val="16"/>
          <w:szCs w:val="16"/>
          <w:i w:val="1"/>
          <w:iCs w:val="1"/>
          <w:color w:val="auto"/>
        </w:rPr>
        <w:t>Income Taxes (Topic 740): Simplifying the Accounting for 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Taxes, </w:t>
      </w:r>
      <w:r>
        <w:rPr>
          <w:rFonts w:ascii="Times New Roman" w:cs="Times New Roman" w:eastAsia="Times New Roman" w:hAnsi="Times New Roman"/>
          <w:sz w:val="16"/>
          <w:szCs w:val="16"/>
          <w:color w:val="auto"/>
        </w:rPr>
        <w:t>(“ASU 2019-12”) which simplifies the accounting for income taxes. The guidance in ASU 2019-12 is required for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will adopt this guidance on January 1, 2021. The Company is currently evaluating the impact this guidance will have on the Company’s consolidated financial statements.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21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In December 2019, a novel strain of coronavirus (“COVID-19”) appeared. In March 2020, the World Health Organization declared the outbreak of COVID-19 to be a pandemic. The COVID-19 pandemic is having widespread, rapidly evolving and unpredictable impacts on global society, economies, financial markets and business practices. To protect the health and well-being of Company employees and customers, substantial modifications were made to employee travel policies, our offices were closed and employees advised to work from home, and conferences and other marketing events were cancelled or shifted to virtual-only. The COVID-19 pandemic has impacted and may continue to impact Company operations, including employees, customers and partners, and there is substantial uncertainty in the nature and degree of its continued effects over time.</w:t>
      </w:r>
    </w:p>
    <w:p>
      <w:pPr>
        <w:spacing w:after="0" w:line="164"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Company did not experience any significant reductions in sales, revenues or collections through September 30, 2020 as a result of COVID-19. The uncertainty caused by the COVID-19 pandemic could, however, impact Company billings to new customers for the remainder of 2020, and may also negatively impact Company efforts to expand revenues from existing customers as they continue to evaluate certain long-term projects and budget constraints. In addition to the potential impact on sales, the Company may see delays in collections over the coming months. However, these delays are not expected to materially impact the business, and thus the Company has not recorded an additional allowance for doubtful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5" w:name="page26"/>
    <w:bookmarkEnd w:id="2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accounts in connection with any delays. The Company believes it has ample liquidity and capital resources to continue to meet its operating needs, and to service debt and other financial obligations.</w:t>
      </w:r>
    </w:p>
    <w:p>
      <w:pPr>
        <w:spacing w:after="0" w:line="137"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60" w:lineRule="exact"/>
        <w:rPr>
          <w:sz w:val="20"/>
          <w:szCs w:val="20"/>
          <w:color w:val="auto"/>
        </w:rPr>
      </w:pPr>
    </w:p>
    <w:p>
      <w:pPr>
        <w:ind w:left="40"/>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2.</w:t>
        <w:tab/>
        <w:t>ACQUISITION</w:t>
      </w:r>
    </w:p>
    <w:p>
      <w:pPr>
        <w:spacing w:after="0" w:line="215" w:lineRule="exact"/>
        <w:rPr>
          <w:sz w:val="20"/>
          <w:szCs w:val="20"/>
          <w:color w:val="auto"/>
        </w:rPr>
      </w:pPr>
    </w:p>
    <w:p>
      <w:pPr>
        <w:jc w:val="both"/>
        <w:ind w:left="40" w:right="59" w:firstLine="296"/>
        <w:spacing w:after="0" w:line="260" w:lineRule="auto"/>
        <w:rPr>
          <w:sz w:val="20"/>
          <w:szCs w:val="20"/>
          <w:color w:val="auto"/>
        </w:rPr>
      </w:pPr>
      <w:r>
        <w:rPr>
          <w:rFonts w:ascii="Times New Roman" w:cs="Times New Roman" w:eastAsia="Times New Roman" w:hAnsi="Times New Roman"/>
          <w:sz w:val="16"/>
          <w:szCs w:val="16"/>
          <w:color w:val="auto"/>
        </w:rPr>
        <w:t>On January 7, 2020, the Company acquired a 60% controlling interest in Systax, a provider of Brazilian transaction tax content and software. Cash consideration for the purchase was $12,374 and was funded through borrowings under the revolving line of credit (the “Line of Credit”). This acquisition provides the Company with full access to a sizeable database of Brazilian tax content that is critical to supporting its global multi-national customers’ business expansion into Brazil. The Company has a contractual purchase commitment to acquire the remaining 40%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payment in 2024. Management has determined these future purchase commitments to be a forward contract, resulting in the Company being required to estimate and record an estimated future purchase commitment amount (the “Purchase Commitment Liability”) in connection with recording the initial purchase. The Purchase Commitment Liability is estimated to be $14,344 at the acquisition date based on information available at that time. This amount will fluctuate as a result of foreign currency translation adjustments and is reflected in future acquisition commitment in the consolidated balance sheet at September 30, 2020. Any adjustments to the acquisition date fair value of this commitment will be adjusted to goodwill during the Measurement Period. Adjustments to the settlement date value that arise as a result of remeasurement after the acquisition date will be recorded as interest expense related to financing costs in the consolidated statements of comprehensive income (loss) in the period the change is identified.</w:t>
      </w:r>
    </w:p>
    <w:p>
      <w:pPr>
        <w:spacing w:after="0" w:line="369"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The acquisition was accounted for as a business combination and the total preliminary purchase price was allocated to the net tangible assets acquired and liabilities assumed based on their estimated fair values on the acquisition date, with the excess being recorded as goodwill. The net tangible assets acquired and liabilities assumed were valued at their respective carrying amounts as of the acquisition date pending the receipt of additional information during the Measurement Period. The contractual value of accounts receivable was $867 at acquisition date. The excess of the purchase consideration over the net tangible assets is recorded as goodwill and primarily reflects the value of the tax content database, the customer list, the assembled workforce and expected future synergies. Goodwill is deductible for tax purposes. The preliminary values recorded will be adjusted during the Measurement Period as more detailed analyses are performed and further information becomes available regarding the fair values of these amounts as of the acquisition date. Any such adjustments may be material. Subsequent adjustments to these values not associated with determination of their fair values on the acquisition date would be recorded in the consolidated statements of comprehensive income (loss) in the period the change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6" w:name="page27"/>
    <w:bookmarkEnd w:id="2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following table presents the preliminary purchase price allocation recorded in the Company’s consolidated balance sheet as of the acquisition date (unaudited):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Assets and Assumed Liabilities</w:t>
            </w:r>
          </w:p>
        </w:tc>
        <w:tc>
          <w:tcPr>
            <w:tcW w:w="14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Initial Purchase</w:t>
            </w:r>
          </w:p>
        </w:tc>
        <w:tc>
          <w:tcPr>
            <w:tcW w:w="0" w:type="dxa"/>
            <w:vAlign w:val="bottom"/>
          </w:tcPr>
          <w:p>
            <w:pPr>
              <w:spacing w:after="0"/>
              <w:rPr>
                <w:sz w:val="1"/>
                <w:szCs w:val="1"/>
                <w:color w:val="auto"/>
              </w:rPr>
            </w:pPr>
          </w:p>
        </w:tc>
      </w:tr>
      <w:tr>
        <w:trPr>
          <w:trHeight w:val="158"/>
        </w:trPr>
        <w:tc>
          <w:tcPr>
            <w:tcW w:w="7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 Allocation</w:t>
            </w:r>
          </w:p>
        </w:tc>
        <w:tc>
          <w:tcPr>
            <w:tcW w:w="0" w:type="dxa"/>
            <w:vAlign w:val="bottom"/>
          </w:tcPr>
          <w:p>
            <w:pPr>
              <w:spacing w:after="0"/>
              <w:rPr>
                <w:sz w:val="1"/>
                <w:szCs w:val="1"/>
                <w:color w:val="auto"/>
              </w:rPr>
            </w:pPr>
          </w:p>
        </w:tc>
      </w:tr>
      <w:tr>
        <w:trPr>
          <w:trHeight w:val="112"/>
        </w:trPr>
        <w:tc>
          <w:tcPr>
            <w:tcW w:w="76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62"/>
              <w:spacing w:after="0" w:line="112"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consideration at acquisition date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The Company has included the financial results of Systax in the consolidated statement of comprehensive income (loss) from the date of acquisition in accordance with ASC 810 due to the Company having a controlling financial interest in Systax. Systax revenue and net loss for the three months ended September 30, 2020 (unaudited) reflected in the consolidated statement of comprehensive income (loss), after elimination of intercompany activity, were $915 and $(242), respectively. Systax revenue and net loss for the nine months ended September 30, 2020 (unaudited) reflected in the consolidated statement of comprehensive income (loss), after elimination of intercompany activity, were $3,002 and $(523), respectively. As the Systax acquisition did not have a material impact on the Company’s reported revenue or net loss for the three and nine months ended September 30, 2020, pro forma financial information has not been presented. The transaction costs associated with the acquisition were approximately $504 and were recorded in general and administrative expense in the year ending December 31, 2019.</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52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major components of property and equipment are as follows: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As of September 30,</w:t>
            </w:r>
          </w:p>
        </w:tc>
      </w:t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1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20,887</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20,890</w:t>
            </w: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Equipment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41,918</w:t>
            </w: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 acquired</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11,391</w:t>
            </w: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Internal-use software developed</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Cloud-based services</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59,518</w:t>
            </w:r>
          </w:p>
        </w:tc>
      </w:tr>
      <w:tr>
        <w:trPr>
          <w:trHeight w:val="198"/>
        </w:trPr>
        <w:tc>
          <w:tcPr>
            <w:tcW w:w="20" w:type="dxa"/>
            <w:vAlign w:val="bottom"/>
          </w:tcPr>
          <w:p>
            <w:pPr>
              <w:spacing w:after="0"/>
              <w:rPr>
                <w:sz w:val="17"/>
                <w:szCs w:val="17"/>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Internal systems and tools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25,083</w:t>
            </w: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w:t>
            </w: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Automobiles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In-process internal-use software</w:t>
            </w:r>
          </w:p>
        </w:tc>
        <w:tc>
          <w:tcPr>
            <w:tcW w:w="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156,403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170,692</w:t>
            </w: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(114,757)</w:t>
            </w:r>
          </w:p>
        </w:tc>
      </w:tr>
      <w:tr>
        <w:trPr>
          <w:trHeight w:val="190"/>
        </w:trPr>
        <w:tc>
          <w:tcPr>
            <w:tcW w:w="20" w:type="dxa"/>
            <w:vAlign w:val="bottom"/>
          </w:tcPr>
          <w:p>
            <w:pPr>
              <w:spacing w:after="0"/>
              <w:rPr>
                <w:sz w:val="16"/>
                <w:szCs w:val="16"/>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20" w:type="dxa"/>
            <w:vAlign w:val="bottom"/>
          </w:tcPr>
          <w:p>
            <w:pPr>
              <w:spacing w:after="0"/>
              <w:rPr>
                <w:sz w:val="16"/>
                <w:szCs w:val="16"/>
                <w:color w:val="auto"/>
              </w:rPr>
            </w:pPr>
          </w:p>
        </w:tc>
        <w:tc>
          <w:tcPr>
            <w:tcW w:w="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54,727</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Depreciation expense for property and equipment, excluding all internal-use software and capital leases, was $1,970 and $1,707 for the three months ended September 30, 2020 and 2019 (unaudited), respectively, and $5,918 and $4,495 for the nine months ended September 30, 2020 and 2019 (unaudited), respectively. Depreciation for property and equipment,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7" w:name="page28"/>
    <w:bookmarkEnd w:id="2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excluding cloud-based internal-use software, is reflected in depreciation and amortization in the consolidated statements of comprehensive income (loss).</w:t>
      </w:r>
    </w:p>
    <w:p>
      <w:pPr>
        <w:spacing w:after="0" w:line="137"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Assets under capital leases of $1,455 and $1,769, net of accumulated depreciation of $627 and $1,140, at December 31, 2019 and September 30, 2020 (unaudited), respectively, are included in property and equipment in the consolidated balance sheets. Depreciation expense for assets held under capital leases was $178 and $168 for the three months ended September 30, 2020 and 2019 (unaudited), respectively, and $513 and $397 for the nine months ended September 30, 2020 and 2019 (unaudited), respectively. Depreciation expense for assets held under capital leases is included in depreciation and amortization expense in the consolidated statements of comprehensive income (loss).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major components of internal-use software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As of September 30,</w:t>
            </w:r>
          </w:p>
        </w:tc>
      </w:tr>
      <w:tr>
        <w:trPr>
          <w:trHeight w:val="158"/>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28"/>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Internal-use software developed</w:t>
            </w:r>
          </w:p>
        </w:tc>
        <w:tc>
          <w:tcPr>
            <w:tcW w:w="21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75,399</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84,601</w:t>
            </w:r>
          </w:p>
        </w:tc>
      </w:tr>
      <w:tr>
        <w:trPr>
          <w:trHeight w:val="198"/>
        </w:trPr>
        <w:tc>
          <w:tcPr>
            <w:tcW w:w="20" w:type="dxa"/>
            <w:vAlign w:val="bottom"/>
          </w:tcPr>
          <w:p>
            <w:pPr>
              <w:spacing w:after="0"/>
              <w:rPr>
                <w:sz w:val="17"/>
                <w:szCs w:val="17"/>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(62,028)</w:t>
            </w:r>
          </w:p>
        </w:tc>
      </w:tr>
      <w:tr>
        <w:trPr>
          <w:trHeight w:val="190"/>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21,547</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22,573</w:t>
            </w:r>
          </w:p>
        </w:tc>
      </w:tr>
      <w:tr>
        <w:trPr>
          <w:trHeight w:val="198"/>
        </w:trPr>
        <w:tc>
          <w:tcPr>
            <w:tcW w:w="20" w:type="dxa"/>
            <w:vAlign w:val="bottom"/>
          </w:tcPr>
          <w:p>
            <w:pPr>
              <w:spacing w:after="0"/>
              <w:rPr>
                <w:sz w:val="17"/>
                <w:szCs w:val="17"/>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In-process internal-use software</w:t>
            </w:r>
          </w:p>
        </w:tc>
        <w:tc>
          <w:tcPr>
            <w:tcW w:w="1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4,164</w:t>
            </w:r>
          </w:p>
        </w:tc>
      </w:tr>
      <w:tr>
        <w:trPr>
          <w:trHeight w:val="190"/>
        </w:trPr>
        <w:tc>
          <w:tcPr>
            <w:tcW w:w="20" w:type="dxa"/>
            <w:vAlign w:val="bottom"/>
          </w:tcPr>
          <w:p>
            <w:pPr>
              <w:spacing w:after="0"/>
              <w:rPr>
                <w:sz w:val="16"/>
                <w:szCs w:val="16"/>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Internal-use software developed, net</w:t>
            </w:r>
          </w:p>
        </w:tc>
        <w:tc>
          <w:tcPr>
            <w:tcW w:w="18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22,356</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26,737</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Amounts capitalized for internal-use software and included in property and equipment additions on the consolidated statements of cash flows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12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0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2"/>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tcPr>
          <w:p>
            <w:pPr>
              <w:jc w:val="right"/>
              <w:ind w:right="38"/>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60" w:type="dxa"/>
            <w:vAlign w:val="bottom"/>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Cloud-based solutions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w:t>
            </w:r>
          </w:p>
        </w:tc>
      </w:tr>
      <w:tr>
        <w:trPr>
          <w:trHeight w:val="198"/>
        </w:trPr>
        <w:tc>
          <w:tcPr>
            <w:tcW w:w="20" w:type="dxa"/>
            <w:vAlign w:val="bottom"/>
          </w:tcPr>
          <w:p>
            <w:pPr>
              <w:spacing w:after="0"/>
              <w:rPr>
                <w:sz w:val="17"/>
                <w:szCs w:val="17"/>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Internal systems and tools</w:t>
            </w:r>
          </w:p>
        </w:tc>
        <w:tc>
          <w:tcPr>
            <w:tcW w:w="2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190"/>
        </w:trPr>
        <w:tc>
          <w:tcPr>
            <w:tcW w:w="20" w:type="dxa"/>
            <w:vAlign w:val="bottom"/>
          </w:tcPr>
          <w:p>
            <w:pPr>
              <w:spacing w:after="0"/>
              <w:rPr>
                <w:sz w:val="16"/>
                <w:szCs w:val="16"/>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w:t>
            </w: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In-process internal-use software is not depreciated until it is available for its intended use. Depreciation expense for internal-use software used for cloud-based solutions for the three months ended September 30, 2020 and 2019 (unaudited) was $2,183 and $1,899, respectively, and $6,647 and $6,118 for the nine months ended September 30, 2020 and 2019 (unaudited), respectively. Depreciation expense for internal-use software used for cloud-based solutions is included in cost of revenues, software subscriptions in the consolidated statements of comprehensive income (loss).</w:t>
      </w:r>
    </w:p>
    <w:p>
      <w:pPr>
        <w:spacing w:after="0" w:line="162"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Depreciation expense for internal-use software utilized for internal systems and tools for the three months ended September 30, 2020 and 2019 (unaudited) was $587 and $436, respectively, and $1,678 and $1,636 for the nine months ended September 30, 2020 and 2019 (unaudited), respectively. Depreciation expense for internal-use software utilized for internal systems and tools is included in depreciation and amortization in the consolidated statements of comprehensive income (loss).</w:t>
      </w:r>
    </w:p>
    <w:p>
      <w:pPr>
        <w:spacing w:after="0" w:line="157"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Research and development costs associated with internal-use software were $3,119 and $2,778 for the three months ended September 30, 2020 and 2019 (unaudited), respectively, and $7,119 and $8,639 for the nine months ended September 30, 2020 and 2019 (unaudited), respectively.</w:t>
      </w:r>
    </w:p>
    <w:p>
      <w:pPr>
        <w:spacing w:after="0" w:line="149"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4.</w:t>
        <w:tab/>
        <w:t>CAPITALIZED SOFTWARE</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Capitalized software includes acquired software and direct labor and related expenses for software developed for sale for new products and enhancements to existing products. Software development costs capitalized for the three months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8" w:name="page29"/>
    <w:bookmarkEnd w:id="2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ended September 30, 2020 and 2019 (unaudited) were $2,591 and $4,244, respectively, and $9,246 and $12,345 for the nine months ended September 30, 2020 and 2019 (audited), respectively.</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major components of capitalized software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As of September 30,</w:t>
            </w:r>
          </w:p>
        </w:tc>
      </w:t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28"/>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software</w:t>
            </w:r>
          </w:p>
        </w:tc>
        <w:tc>
          <w:tcPr>
            <w:tcW w:w="238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47,862</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60,557</w:t>
            </w:r>
          </w:p>
        </w:tc>
      </w:tr>
      <w:tr>
        <w:trPr>
          <w:trHeight w:val="198"/>
        </w:trPr>
        <w:tc>
          <w:tcPr>
            <w:tcW w:w="20" w:type="dxa"/>
            <w:vAlign w:val="bottom"/>
          </w:tcPr>
          <w:p>
            <w:pPr>
              <w:spacing w:after="0"/>
              <w:rPr>
                <w:sz w:val="17"/>
                <w:szCs w:val="17"/>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28,983</w:t>
            </w:r>
          </w:p>
        </w:tc>
      </w:tr>
      <w:tr>
        <w:trPr>
          <w:trHeight w:val="190"/>
        </w:trPr>
        <w:tc>
          <w:tcPr>
            <w:tcW w:w="20" w:type="dxa"/>
            <w:vAlign w:val="bottom"/>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31,574</w:t>
            </w:r>
          </w:p>
        </w:tc>
      </w:tr>
      <w:tr>
        <w:trPr>
          <w:trHeight w:val="198"/>
        </w:trPr>
        <w:tc>
          <w:tcPr>
            <w:tcW w:w="20" w:type="dxa"/>
            <w:vAlign w:val="bottom"/>
          </w:tcPr>
          <w:p>
            <w:pPr>
              <w:spacing w:after="0"/>
              <w:rPr>
                <w:sz w:val="17"/>
                <w:szCs w:val="17"/>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In-process capitalized software</w:t>
            </w:r>
          </w:p>
        </w:tc>
        <w:tc>
          <w:tcPr>
            <w:tcW w:w="2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190"/>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Capitalized software, net</w:t>
            </w:r>
          </w:p>
        </w:tc>
        <w:tc>
          <w:tcPr>
            <w:tcW w:w="2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32,075</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32,619</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Capitalized software amortization expense for the three months ended September 30, 2020 and 2019 was $3,124 and $1,788, respectively, and $8,702 and $5,506 for the nine months ended September 30, 2020 and 2019, respectively, and is included in cost of revenues, software subscriptions in the consolidated statements of comprehensive income (loss).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changes in the carrying amount of goodwill for the nine months ended September 30, 2020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42"/>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Systax, January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 for the three months ended March 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adjustment for the three months ended 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 for the three months ended September 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190"/>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18,667</w:t>
            </w:r>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7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0" w:type="dxa"/>
            <w:vAlign w:val="bottom"/>
            <w:gridSpan w:val="2"/>
            <w:vMerge w:val="continue"/>
          </w:tcPr>
          <w:p>
            <w:pPr>
              <w:spacing w:after="0"/>
              <w:rPr>
                <w:sz w:val="24"/>
                <w:szCs w:val="24"/>
                <w:color w:val="auto"/>
              </w:rPr>
            </w:pPr>
          </w:p>
        </w:tc>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New Credit Agreement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On March 31, 2020, the Company entered into a new credit agreement with a bank, which was subsequently amended on April 3, 2020 to permit another bank to be a party to the agreement, consisting of a $175,000 term loan (the “New Term Loan”) and a $100,000 committed line of credit (the “New Line of Credit”) (collectively, the “New Credit Agreement”). Net proceeds from the New Term Loan after payment of financing fees of $2,904 and repayment of aggregate amounts outstanding at March 31, 2020 under the previous credit agreement term loan and line of credit of $61,656, were used to fund a portion of the $123,185 distribution made to the stockholders on May 29, 2020.</w:t>
      </w:r>
    </w:p>
    <w:p>
      <w:pPr>
        <w:spacing w:after="0" w:line="164"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A portion of the Offering proceeds was used to repay the $175,000 New Term Loan in full on July 31, 2020. The Company received a refund of $468 of financing fees as a result of repayment of the New Term Loan within 90 days of execution of the New Credit Agreement, which was recorded as a reduction of deferred financing costs associated with the New Term Loan. The Company wrote off the remaining balance of deferred financing costs associated with the New Term Loan of $1,174, which was recorded as interest expense in the consolidated statement of comprehensive income (loss) for the three and nine months ended September 30, 2020.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29" w:name="page30"/>
    <w:bookmarkEnd w:id="2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New Line of Credit matures in March 2025 and had no outstanding borrowings at closing or at September 30, 2020. The Company has the option to select an applicable interest rate at either the bank base rate plus an applicable margin (the “New Base Rate Option”) or the LIBOR plus an applicable margin (the “New LIBOR Option”). The applicable margins are determined by certain financial covenant performance as defined in the New Credit Agreement. At September 30, 2020, the New Base Rate Option and New LIBOR Option were 3.75% and 2.50%, respectively. The New Credit Agreement is collateralized by certain assets of the Company and contains financial and operating covenants. The Company was in compliance with these covenants at September 30, 2020.</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At December 31, 2019, the Company had a credit agreement (the “Credit Agreement”) consisting of a term loan (the “Term Loan”) with an outstanding principal balance of $50,375 and a $40,000 committed Line of Credit with no outstanding borrowings. The Company had the option to select an applicable interest rate at either the bank base rate plus an applicable margin (the "Base Rate Option") or the London Interbank Offered Rate (“LIBOR”) plus an applicable margin (the “LIBOR Option”). The applicable margins were determined by certain financial covenant performance as defined in the Credit Agreement. At December 31, 2019, the Base Rate Option and LIBOR Option resulted in rates of 4.75% and 2.69%, respectively. The Credit Agreement was collateralized by certain assets of the Company and contained financial and operating covenants, which included limitations on the amount of dividends payable in a given period. The Company was in compliance with these covenants at December 31, 2019.</w:t>
      </w:r>
    </w:p>
    <w:p>
      <w:pPr>
        <w:spacing w:after="0" w:line="16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Term Loan required quarterly principal payments over five years, with a balloon payment in November 2020. The interest rate on the Term Loan was 2.69% at December 31, 2019 as the Company selected the LIBOR Option. Term Loan outstanding amounts are reported in current portion of long-term debt and long-term debt, net of current portion, in the consolidated balance sheets. As a result of the Term Loan becoming due in November 2020, the balance outstanding of $50,375 was included in current portion of long-term debt on the consolidated balance sheet at December 31, 2019.</w:t>
      </w:r>
    </w:p>
    <w:p>
      <w:pPr>
        <w:spacing w:after="0" w:line="162"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Line of Credit was due to expire on November 1, 2020. The Company was required to pay a quarterly fee on the difference between the $40,000 maximum borrowings allowed under the Line of Credit and the unpaid principal balance outstanding under the line at an applicable rate. The applicable rate, determined by certain financial covenant performance as defined in the Credit Agreement, was 0.20%.</w:t>
      </w:r>
    </w:p>
    <w:p>
      <w:pPr>
        <w:spacing w:after="0" w:line="157"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Unamortized deferred financing costs of $221 at December 31, 2019 are included as a reduction in current portion of long-term debt in the consolidated balance sheets. Amortization expense of deferred financing costs on the Term Loan was $44 for the nine months ended September 30, 2020. The Company wrote off the remaining unamortized deferred financing costs associated with the Term Loan of $177, which was recorded as interest expense in the consolidated statement of comprehensive income for the three and nine months ended September 30,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Capital Leases</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Capital lease obligations were $1,333 and $1,509 at December 31, 2019 and September 30, 2020 (unaudited), respectively, and are included in current portion of long-term debt and long-term debt, net of current portion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0" w:name="page31"/>
    <w:bookmarkEnd w:id="3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STOCKHOLDERS’ EQUITY (DEFICIT)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Termination of S-Corporation status</w:t>
      </w:r>
    </w:p>
    <w:p>
      <w:pPr>
        <w:spacing w:after="0" w:line="215" w:lineRule="exact"/>
        <w:rPr>
          <w:sz w:val="20"/>
          <w:szCs w:val="20"/>
          <w:color w:val="auto"/>
        </w:rPr>
      </w:pPr>
    </w:p>
    <w:p>
      <w:pPr>
        <w:ind w:left="40" w:right="219" w:firstLine="296"/>
        <w:spacing w:after="0" w:line="277" w:lineRule="auto"/>
        <w:rPr>
          <w:sz w:val="20"/>
          <w:szCs w:val="20"/>
          <w:color w:val="auto"/>
        </w:rPr>
      </w:pPr>
      <w:r>
        <w:rPr>
          <w:rFonts w:ascii="Times New Roman" w:cs="Times New Roman" w:eastAsia="Times New Roman" w:hAnsi="Times New Roman"/>
          <w:sz w:val="16"/>
          <w:szCs w:val="16"/>
          <w:color w:val="auto"/>
        </w:rPr>
        <w:t>In connection with termination of the Company’s S-corporation status effective July 27, 2020, the Company had an accumulated deficit of $354,291 pertaining to the S-corporation shareholders which was reclassified to additional paid in capital upon such termination.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In connection with the Recapitalization, the Company: (i) effected the three-for-one Stock Split, which is reflected retrospectively in the condensed consolidated financial statements; (ii) established the New Capital Structure; and (iii) effected the Share Exchange.</w:t>
      </w:r>
    </w:p>
    <w:p>
      <w:pPr>
        <w:spacing w:after="0" w:line="137"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Prior to the Share Exchange, the Company had 147 shares of former Class A common stock and 120,443 shares of former Class B common stock outstanding. Members of a family (the “Family”) owned 99.9% of all outstanding shares of both former classes of common stock, which was comprised of 100% of the former Class A common stock and 120,270 shares of the former Class B common stock. The remaining 173 shares of former Class B common stock were owned by non-Family members. There were no dividend or liquidation preference differences between the former Class A and former Class B shares.</w:t>
      </w:r>
    </w:p>
    <w:p>
      <w:pPr>
        <w:spacing w:after="0" w:line="162"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In connection with establishing the New Capital Structure, the shareholders authorized 450,000 shares of common stock, par value $0.001 per share, and 30,000 shares of preferred stock, par value $0.001 per share. Common stock is divided into two classes, Class A with one vote per share, and Class B with ten votes per share. The rights of the holders of Class A and Class B are identical, except with respect to voting and conversion rights. Upon transfer of Class B shares to a non-Family member,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64"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In connection with the Share Exchange,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 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w:t>
      </w:r>
    </w:p>
    <w:p>
      <w:pPr>
        <w:spacing w:after="0" w:line="127"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In April 2020, Vertex issued 173 shares of former Class B common stock in connection with the exercise of stock options by option holders for cash of $53. These shares were exchanged for Class A common stock in connection with the Recapitalization on July 28, 2020. Also on July 28, 2020, the Company sold 23,812 shares of Class A in connection with the Offering for $423,024, net of underwriting fees. Offering costs paid from these proceeds aggregated $6,222 and are reflected as a reduction of additional paid in capital in stockholders’ equity. In addition, the company issued 510 shares of Class A in connection with the exercise of stock options by option holders, net of 381 shares returned to the Company in lieu of payment of the exercise price and taxes due on these exercises. In connection with the Offering, the Company also issued an aggregate 564 shares of Class A related to the conversion of SARs into options and the immediate exercise of these options into shares, net of 860 shares returned to the Company in lieu of payment of the exercise price and taxes due on these exercises. The Company also issued 610 Class A shares in connection with the exercise of outstanding options and 19 Class A shares in connection with RSAs granted at the Offering, which vested immediately.</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1" w:name="page32"/>
    <w:bookmarkEnd w:id="3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In April 2019, Vertex issued 225 shares of former Class B common stock in connection with the exercise of stock options by option holders for cash of $68, net of 51 shares that were immediately returned to Vertex upon exercise in lieu of payment of income taxes payable by the option holders.</w:t>
      </w:r>
    </w:p>
    <w:p>
      <w:pPr>
        <w:spacing w:after="0" w:line="153" w:lineRule="exact"/>
        <w:rPr>
          <w:sz w:val="20"/>
          <w:szCs w:val="20"/>
          <w:color w:val="auto"/>
        </w:rPr>
      </w:pPr>
    </w:p>
    <w:p>
      <w:pPr>
        <w:jc w:val="both"/>
        <w:ind w:left="40" w:right="59" w:firstLine="296"/>
        <w:spacing w:after="0" w:line="269" w:lineRule="auto"/>
        <w:rPr>
          <w:sz w:val="20"/>
          <w:szCs w:val="20"/>
          <w:color w:val="auto"/>
        </w:rPr>
      </w:pPr>
      <w:r>
        <w:rPr>
          <w:rFonts w:ascii="Times New Roman" w:cs="Times New Roman" w:eastAsia="Times New Roman" w:hAnsi="Times New Roman"/>
          <w:sz w:val="16"/>
          <w:szCs w:val="16"/>
          <w:color w:val="auto"/>
        </w:rPr>
        <w:t>At December 31, 2019 the Company repurchased shares (“Treasury Stock”) aggregating 41,910 which are carried at cost and included in Treasury Stock in the consolidated balance sheet. Such amount is comprised of 41,757 shares of former Class B common stock and 153 shares of former Class A common stock. In connection with the Recapitalization, the Treasury Stock was retired and amounts associated with the Treasury Stock were reclassified to additional paid in capital. At September 30, 2020, there was no Treasury Stock outstanding.</w:t>
      </w:r>
    </w:p>
    <w:p>
      <w:pPr>
        <w:spacing w:after="0" w:line="361"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Board declared distributions of $4,010 ($0.03 per share) and $123,185 ($1.02 per share) during the three months ended March 31 and June 30, 2020, respectively, and $5,706 ($0.05 per share) through July 25, 2020, pro rata to stockholders of former Class A and former Class B common stock. No distributions were declared subsequent to the termination of the S election.</w:t>
      </w:r>
    </w:p>
    <w:p>
      <w:pPr>
        <w:spacing w:after="0" w:line="153"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Board declared distributions of $5,255 ($0.04 per share) and $6,105 ($0.05 per share) during the three months ended March 31 and June 30, 2019, respectively, pro rata to stockholders of former Class A and former Class B common stock. No distributions were declared during the three months ended September 30, 2019.</w:t>
      </w:r>
    </w:p>
    <w:p>
      <w:pPr>
        <w:spacing w:after="0" w:line="149"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EARNINGS PER SHARE</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table below illustrates the calculation of basic and diluted net (loss) income per common share for the Class A common and Class B common for the periods reflected below. The weighted average shares outstanding have been retrospectively restated to reflect the Share Exchange for all periods prior to the Offering, resulting in the Class A shares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2" w:name="page33"/>
    <w:bookmarkEnd w:id="3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right="59"/>
        <w:spacing w:after="0" w:line="297" w:lineRule="auto"/>
        <w:rPr>
          <w:sz w:val="20"/>
          <w:szCs w:val="20"/>
          <w:color w:val="auto"/>
        </w:rPr>
      </w:pPr>
      <w:r>
        <w:rPr>
          <w:rFonts w:ascii="Times New Roman" w:cs="Times New Roman" w:eastAsia="Times New Roman" w:hAnsi="Times New Roman"/>
          <w:sz w:val="16"/>
          <w:szCs w:val="16"/>
          <w:color w:val="auto"/>
        </w:rPr>
        <w:t>representing non-Family owned shares and Class B representing Family-owned shares for all periods presented. See Note 7 for further information on the Share Exchange.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For the nine months ended</w:t>
            </w:r>
          </w:p>
        </w:tc>
        <w:tc>
          <w:tcPr>
            <w:tcW w:w="0" w:type="dxa"/>
            <w:vAlign w:val="bottom"/>
          </w:tcPr>
          <w:p>
            <w:pPr>
              <w:spacing w:after="0"/>
              <w:rPr>
                <w:sz w:val="1"/>
                <w:szCs w:val="1"/>
                <w:color w:val="auto"/>
              </w:rPr>
            </w:pPr>
          </w:p>
        </w:tc>
      </w:tr>
      <w:tr>
        <w:trPr>
          <w:trHeight w:val="158"/>
        </w:trPr>
        <w:tc>
          <w:tcPr>
            <w:tcW w:w="4820" w:type="dxa"/>
            <w:vAlign w:val="bottom"/>
            <w:gridSpan w:val="2"/>
            <w:vMerge w:val="restart"/>
          </w:tcPr>
          <w:p>
            <w:pPr>
              <w:jc w:val="right"/>
              <w:ind w:right="3418"/>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48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6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5"/>
          </w:tcPr>
          <w:p>
            <w:pPr>
              <w:jc w:val="right"/>
              <w:ind w:right="501"/>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Numerator, basic:</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all stockholders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80" w:type="dxa"/>
            <w:vAlign w:val="bottom"/>
          </w:tcPr>
          <w:p>
            <w:pPr>
              <w:spacing w:after="0"/>
              <w:rPr>
                <w:sz w:val="17"/>
                <w:szCs w:val="17"/>
                <w:color w:val="auto"/>
              </w:rPr>
            </w:pPr>
          </w:p>
        </w:tc>
        <w:tc>
          <w:tcPr>
            <w:tcW w:w="2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stock as a percentage of total shares outstanding, basic</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13.08 %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0.19 %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3.07 %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Class A stockholders, basic</w:t>
            </w:r>
          </w:p>
        </w:tc>
        <w:tc>
          <w:tcPr>
            <w:tcW w:w="2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Numerator, diluted: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all stockholders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(79,167)</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stock as a percentage of total shares outstanding, diluted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13.08 %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3.07 %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Class A stockholders, diluted</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Denominator, 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Class A common stock, basic</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Dilutive effect of common stock equivalents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Weighted average Class A common stock, diluted</w:t>
            </w:r>
          </w:p>
        </w:tc>
        <w:tc>
          <w:tcPr>
            <w:tcW w:w="2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18,124</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per Class A share, 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80" w:type="dxa"/>
            <w:vAlign w:val="bottom"/>
          </w:tcPr>
          <w:p>
            <w:pPr>
              <w:spacing w:after="0"/>
              <w:rPr>
                <w:sz w:val="20"/>
                <w:szCs w:val="20"/>
                <w:color w:val="auto"/>
              </w:rPr>
            </w:pPr>
          </w:p>
        </w:tc>
        <w:tc>
          <w:tcPr>
            <w:tcW w:w="2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per Class A share, diluted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80" w:type="dxa"/>
            <w:vAlign w:val="bottom"/>
          </w:tcPr>
          <w:p>
            <w:pPr>
              <w:spacing w:after="0"/>
              <w:rPr>
                <w:sz w:val="17"/>
                <w:szCs w:val="17"/>
                <w:color w:val="auto"/>
              </w:rPr>
            </w:pPr>
          </w:p>
        </w:tc>
        <w:tc>
          <w:tcPr>
            <w:tcW w:w="2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7" w:right="1440" w:bottom="1440" w:gutter="0" w:footer="0" w:header="0"/>
        </w:sectPr>
      </w:pPr>
    </w:p>
    <w:bookmarkStart w:id="33" w:name="page34"/>
    <w:bookmarkEnd w:id="3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4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jc w:val="right"/>
              <w:ind w:right="481"/>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Numerator, basic:</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all stockholders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(79,167)</w:t>
            </w:r>
          </w:p>
        </w:tc>
        <w:tc>
          <w:tcPr>
            <w:tcW w:w="240" w:type="dxa"/>
            <w:vAlign w:val="bottom"/>
          </w:tcPr>
          <w:p>
            <w:pPr>
              <w:spacing w:after="0"/>
              <w:rPr>
                <w:sz w:val="17"/>
                <w:szCs w:val="17"/>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stock as a percentage of total shares outstanding, basic</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86.92 %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99.81 %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96.93 %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Class B stockholders, basic</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(18,277)</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Numerator, diluted: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all stockholders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(79,167)</w:t>
            </w:r>
          </w:p>
        </w:tc>
        <w:tc>
          <w:tcPr>
            <w:tcW w:w="2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stock as a percentage of total shares outstanding, diluted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86.92 %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96.87 %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96.93 %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96.86 %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Class B stockholders, diluted</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Denominator, basic and diluted: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Class B common stock, basic</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Dilutive effect of common stock equivalents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Weighted average Class B common stock, diluted</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120,417</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per Class B share, 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40" w:type="dxa"/>
            <w:vAlign w:val="bottom"/>
          </w:tcPr>
          <w:p>
            <w:pPr>
              <w:spacing w:after="0"/>
              <w:rPr>
                <w:sz w:val="20"/>
                <w:szCs w:val="20"/>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per Class B share, 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40" w:type="dxa"/>
            <w:vAlign w:val="bottom"/>
          </w:tcPr>
          <w:p>
            <w:pPr>
              <w:spacing w:after="0"/>
              <w:rPr>
                <w:sz w:val="17"/>
                <w:szCs w:val="17"/>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EMPLOYEE BENEFIT AND DEFERRED COMPENSATION PLANS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The Company maintains a 401(k) plan that covers eligible employees subject to certain age and length of service requirements. The Company matches up to 3% of eligible compensation during the period in which an eligible participant contributes to the plan. Matching contributions were $913 and $818 for the three months ended September 30, 2020 and 2019 (unaudited), respectively, and $3,003 and $2,747 for the nine months ended September 30, 2020 and 2019 (unaudited), respectively. In addition, a discretionary profit-sharing contribution of 3% of eligible compensation for eligible employees was approved and aggregated $3,363 for the year ended December 31, 2019 and is reflected in accrued salaries and benefits in the consolidated balance sheet. Accrued salaries and benefits includes $981 and $2,923 for the three and nine months ended September 30, 2020 (unaudited), respectively, for an estimated discretionary profit-sharing contribution for 2020.</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Long-Term Rewards Plan</w:t>
      </w:r>
    </w:p>
    <w:p>
      <w:pPr>
        <w:spacing w:after="0" w:line="21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The Company has a long-term rewards (“LTR”) plan for certain key employees which provides for compensation related to growth in certain financial measures over a three-year period (the “Reward Performance Period’), subject to achieving an annual minimum net income target (the “Net Income Target”) during each year of the Reward Performance Period. Each year, eligible LTR plan participants receive an individual target award opportunity (“Award Opportunity”) for a new three-year Reward Performance Period (i.e. target award grant made in 2018 is for years 2018 through 2020). For Reward Performance Periods prior to 2018, compensation earned for growth in the financial measures over each Reward Performance Period is paid in cash in the year following the end of the respective Reward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-825500</wp:posOffset>
            </wp:positionV>
            <wp:extent cx="419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910" cy="7620"/>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4" w:name="page35"/>
    <w:bookmarkEnd w:id="3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6"/>
          <w:szCs w:val="16"/>
          <w:color w:val="auto"/>
        </w:rPr>
        <w:t>assuming the Net Income Target was achieved for each year of the respective Reward Performance Period. Starting in 2018, the Net Income Target is only required to be achieved in the final year of the Reward Performance Period. Estimated compensation is recorded during each year of a Reward Performance Period (“accrued LTR Award Opportunities”).</w:t>
      </w:r>
    </w:p>
    <w:p>
      <w:pPr>
        <w:spacing w:after="0" w:line="153"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Compensation expense included $732 and $817 for the three months ended September 30, 2020 and 2019 (unaudited), respectively, and $2,329 and $1,802 for the nine months ended September 30, 2020 and 2019 (unaudited), respectively, for open Reward Performance Periods. Amounts paid to participants in 2020 for the Reward Performance Period starting in 2017 of $2,717 is reflected in deferred compensation, current in the consolidated balance sheet as of December 31, 2019. Amounts estimated to be paid in 2021 for performance through September 30, 2020 for the Reward Performance Period starting in 2018 of $2,096 (unaudited) is reflected in deferred compensation, current in the consolidated balance sheet as of September 30, 2020. The remaining balances of accrued LTR Award Opportunities for open Reward Performance Periods of $1,812 and $1,965 at December 31, 2019 and September 30, 2020 (unaudited) are reflected in deferred compensation, net of current portion, in the consolidated balance sheets.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Stock-Based Award Plans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On the effective date of the Offering, the Company adopted the 2020 Plan and the ESPP. 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 The Company granted 694 RSAs and 10 RSUs on the effective date of the Offering.</w:t>
      </w:r>
    </w:p>
    <w:p>
      <w:pPr>
        <w:spacing w:after="0" w:line="157"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ESPP provides eligible employees with rights during each six-month ESPP offering period to purchase shares of the Company’s Class A common at the ESPP discount through payroll deductions, or through lump sum payments during the initial offering period (July 28 to November 30, 2020). Amounts withheld or received from participants are reflected in accrued salaries and benefits in the consolidated balance sheet until such shares are purchased. Lump sum payments from ESPP participants for the initial offering period will be due prior to the end of the offering period, and none were received by September 30,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award plan events and related activity are described further below.</w:t>
      </w:r>
    </w:p>
    <w:p>
      <w:pPr>
        <w:spacing w:after="0" w:line="211"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which aggregated 12,038, converted to stock options with equivalent terms under the 2020 Plan at the Offering effective date (the “Converted SARs”). This was considered a modification of these SAR awards as described further below. The SAR plan was retired (“Retired SAR Plan”) and any future SARs will be granted under the 2020 Plan. This activity is described further below.</w:t>
      </w:r>
    </w:p>
    <w:p>
      <w:pPr>
        <w:spacing w:after="0" w:line="363"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Prior to the adoption of the 2020 Plan, the Company had options outstanding to purchase 3,676 shares of former Class B common stock. Upon the effectiveness of the Offering, these options were amended and exchanged for options to purchase an equivalent number of Class A shares at the same exercise price and vesting, subject to many of the terms of the 2020 Plan. These options remain subject to expiration in connection with a Triggering Event under the terms of the original option agreements (the “Amended Options”). This activity is described further below.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5" w:name="page36"/>
    <w:bookmarkEnd w:id="3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reflects the exchanges and new issuances of stock-based awards in connection with the Offering:</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Units outstanding</w:t>
            </w:r>
          </w:p>
        </w:tc>
        <w:tc>
          <w:tcPr>
            <w:tcW w:w="1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Units (exchanged) issued in</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outstanding</w:t>
            </w:r>
          </w:p>
        </w:tc>
        <w:tc>
          <w:tcPr>
            <w:tcW w:w="0" w:type="dxa"/>
            <w:vAlign w:val="bottom"/>
          </w:tcPr>
          <w:p>
            <w:pPr>
              <w:spacing w:after="0"/>
              <w:rPr>
                <w:sz w:val="1"/>
                <w:szCs w:val="1"/>
                <w:color w:val="auto"/>
              </w:rPr>
            </w:pPr>
          </w:p>
        </w:tc>
      </w:tr>
      <w:tr>
        <w:trPr>
          <w:trHeight w:val="136"/>
        </w:trPr>
        <w:tc>
          <w:tcPr>
            <w:tcW w:w="354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6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July 28, 2020</w:t>
            </w: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6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July 27, 2020</w:t>
            </w:r>
          </w:p>
        </w:tc>
        <w:tc>
          <w:tcPr>
            <w:tcW w:w="240" w:type="dxa"/>
            <w:vAlign w:val="bottom"/>
          </w:tcPr>
          <w:p>
            <w:pPr>
              <w:spacing w:after="0"/>
              <w:rPr>
                <w:sz w:val="13"/>
                <w:szCs w:val="13"/>
                <w:color w:val="auto"/>
              </w:rPr>
            </w:pPr>
          </w:p>
        </w:tc>
        <w:tc>
          <w:tcPr>
            <w:tcW w:w="1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connection with Offering</w:t>
            </w:r>
          </w:p>
        </w:tc>
        <w:tc>
          <w:tcPr>
            <w:tcW w:w="22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(prior to exercises)</w:t>
            </w: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2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(12,038)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8"/>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Amended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240" w:type="dxa"/>
            <w:vAlign w:val="bottom"/>
          </w:tcPr>
          <w:p>
            <w:pPr>
              <w:spacing w:after="0"/>
              <w:rPr>
                <w:sz w:val="17"/>
                <w:szCs w:val="17"/>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(3,676)</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2020 Plan options</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0" w:type="dxa"/>
            <w:vAlign w:val="bottom"/>
          </w:tcPr>
          <w:p>
            <w:pPr>
              <w:spacing w:after="0"/>
              <w:rPr>
                <w:sz w:val="1"/>
                <w:szCs w:val="1"/>
                <w:color w:val="auto"/>
              </w:rPr>
            </w:pPr>
          </w:p>
        </w:tc>
      </w:tr>
      <w:tr>
        <w:trPr>
          <w:trHeight w:val="198"/>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RSA's</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Compensation expense and additional information pertaining to stock-based awards is described further below.</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2020 Plan</w:t>
      </w:r>
    </w:p>
    <w:p>
      <w:pPr>
        <w:spacing w:after="0" w:line="215" w:lineRule="exact"/>
        <w:rPr>
          <w:sz w:val="20"/>
          <w:szCs w:val="20"/>
          <w:color w:val="auto"/>
        </w:rPr>
      </w:pPr>
    </w:p>
    <w:p>
      <w:pPr>
        <w:jc w:val="both"/>
        <w:ind w:left="40" w:right="59" w:firstLine="593"/>
        <w:spacing w:after="0" w:line="261" w:lineRule="auto"/>
        <w:rPr>
          <w:sz w:val="20"/>
          <w:szCs w:val="20"/>
          <w:color w:val="auto"/>
        </w:rPr>
      </w:pPr>
      <w:r>
        <w:rPr>
          <w:rFonts w:ascii="Times New Roman" w:cs="Times New Roman" w:eastAsia="Times New Roman" w:hAnsi="Times New Roman"/>
          <w:sz w:val="16"/>
          <w:szCs w:val="16"/>
          <w:color w:val="auto"/>
        </w:rPr>
        <w:t>An aggregate of 16,500 shares of our Class A common stock was initially available for issuance under the 2020 Plan. The number of shares initially available for issuance will be increased annually on January 1 of each calendar year beginning in 2021 and ending in and including 2030, equal to the lesser of (i) 4% of the shares of Class A and Class B common stock outstanding on the final day of the immediately preceding calendar year and (ii) a smaller number of shares as determined by the Board. No more than 3,000 shares of Class A common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w:t>
      </w:r>
    </w:p>
    <w:p>
      <w:pPr>
        <w:spacing w:after="0" w:line="368"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Awards issued under the 2020 Plan vest based on service criteria established by the Board. The company has elected to account for forfeitures as they occur rather than estimate forfeitures at date of grant.</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Amended and Retired SAR Plan</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Retired SAR Plan enabled the Company to grant awards (“SAR Awards”) as a fixed number of shares of former Class B common stock (“SAR Units”). SAR Units outstanding aggregated 12,276 at December 31, 2019. SAR Units were issued at the equivalent of the fair value of the equivalent number of shares of the Company’s former Class B common stock on the grant date (“Base Value”), as determined by the Board with assistance from management and an independent third-party valuation provider, and compensation recorded based upon the appreciation of the SAR Units in excess of the Base Value over the requisite service period. SAR Awards were exercisable upon 50% vesting or upon the occurrence of a triggering event.</w:t>
      </w:r>
    </w:p>
    <w:p>
      <w:pPr>
        <w:spacing w:after="0" w:line="164"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Prior to the SAR Exchange Offer being made, vested SAR Units were redeemable upon the occurrence of a triggering event which included: (i) expiration of the term of the SAR; (ii) a change of control of the Company whereby stockholders holding at least 50% of the voting stock of the company sell their shares; (iii) a merger of the Company with an unrelated third-party; (iv) an initial public offering; and (v) death, disability or retirement of a SAR participant.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6" w:name="page37"/>
    <w:bookmarkEnd w:id="3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SAR participants were limited to exercising no more than 25% of their vested SAR Units in any given year. SAR Awards generally vested 50% and 100% after two years and five years, respectively, from the grant date, or as determined by the Board. Maximum contractual terms ranged from ten years to term of employment of the participant. SAR Awards were settled in cash only, not through the issuance of shares. SAR Award exercises were limited each year to the proportion of the vested SAR Units to the total units outstanding multiplied by adjusted net cash from operating activities (the “Liquidity Pool”), which was defined as cash from operating activities less cash paid for property and equipment and capitalized software for a given period.</w:t>
      </w:r>
    </w:p>
    <w:p>
      <w:pPr>
        <w:spacing w:after="0" w:line="164"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SAR Exchange Offer resulted in eligible SAR participants amending their SARs pursuant to which, upon effectiveness of the Company’s 2020 Plan, such SARs were exchanged for options under the 2020 Plan. Effective July 13, 2020, the SAR Exchange Offer period ended and all SAR participants eligible to receive the offer accepted and had their outstanding SARs converted to stock options with equivalent terms under the 2020 Plan on the effective date of the plan upon the Offering. This was considered a modification of these SAR Awards.</w:t>
      </w:r>
    </w:p>
    <w:p>
      <w:pPr>
        <w:spacing w:after="0" w:line="162"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Converted SARs with either no expiration date or that expired during calendar year 2020 were converted to options and automatically exercised into shares (the “Auto Exercise New Options”) on the effective date of the Offering. Shares issued in connection with the Auto Exercise New Options were net of the number of shares of common stock necessary to satisfy the aggregate exercise price and the tax withholding obligation of such options of $13,835. The Auto Exercise New Option participants also had the ability to require the Company to repurchase all or a portion of these on the Offering effective date for cash based on the Offering price of $19, which aggregated $9,054 (unaudited). The aggregate of these amounts of $22,889 is reflected as a reduction of cash provided by operating activities as these payment requirements arose when the original SARs were liability-classified prior to their conversion and exercise.</w:t>
      </w:r>
    </w:p>
    <w:p>
      <w:pPr>
        <w:spacing w:after="0" w:line="367" w:lineRule="exact"/>
        <w:rPr>
          <w:sz w:val="20"/>
          <w:szCs w:val="20"/>
          <w:color w:val="auto"/>
        </w:rPr>
      </w:pPr>
    </w:p>
    <w:p>
      <w:pPr>
        <w:jc w:val="both"/>
        <w:ind w:left="40" w:right="59" w:firstLine="296"/>
        <w:spacing w:after="0" w:line="260" w:lineRule="auto"/>
        <w:rPr>
          <w:sz w:val="20"/>
          <w:szCs w:val="20"/>
          <w:color w:val="auto"/>
        </w:rPr>
      </w:pPr>
      <w:r>
        <w:rPr>
          <w:rFonts w:ascii="Times New Roman" w:cs="Times New Roman" w:eastAsia="Times New Roman" w:hAnsi="Times New Roman"/>
          <w:sz w:val="16"/>
          <w:szCs w:val="16"/>
          <w:color w:val="auto"/>
        </w:rPr>
        <w:t>Management continued to record changes in the intrinsic value of the SARs in 2020 up to July 2, 2020, the date on which management determined the Company was considered to have become a public entity. Management recorded the change in accounting policy of $2,422 in accordance with ASC 718 during the three months ended September 30, 2020, which included $1,299 of vested Converted SARs that was recognized as compensation expense during this period, with the remaining $1,122 of unvested Converted SARs being recognized as compensation expense over the remaining service period of one to five years through 2025. The additional incremental increase in fair value of the Converted SARs after July 2, 2020 and up to the time of the exchange on the Offering effective date resulting from the modification was recorded as compensation expense. The fair value of the Converted SARs, estimated using the Black-Scholes model, was $197,708 (unaudited), of which $153,366 (unaudited) is vested. Management recorded additional compensation expense of $57,079 (unaudited) for vested Converted SARs from July 1 to the Offering effective date, which included the $1,299 impact of the change in accounting of vested Converted SARs. The remaining $44,342 (unaudited) of unvested Converted SAR liability, which includes the $1,122 of unvested Converted SARs in connection with the change in accounting policy on July 2, 2020, will be recognized as compensation expense over the remaining service period of one to five years through 2025. Upon modification, the Converted SARs are no longer being recorded as a liability under ASC 718 and the accumulated liability balance, net of amounts for paymentof taxwithholding and redemption, was reclassified to stockholders’ equity. No incremental compensation expense arose in connection with the SAR modification.</w:t>
      </w:r>
    </w:p>
    <w:p>
      <w:pPr>
        <w:spacing w:after="0" w:line="172"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assumptions used in the Black-Scholes model to determine the fair value of the Converted SARs on the modification date are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market value of common stock</w:t>
            </w:r>
          </w:p>
        </w:tc>
        <w:tc>
          <w:tcPr>
            <w:tcW w:w="464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19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4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19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4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9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4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791"/>
        </w:trPr>
        <w:tc>
          <w:tcPr>
            <w:tcW w:w="3340" w:type="dxa"/>
            <w:vAlign w:val="bottom"/>
          </w:tcPr>
          <w:p>
            <w:pPr>
              <w:spacing w:after="0"/>
              <w:rPr>
                <w:sz w:val="24"/>
                <w:szCs w:val="24"/>
                <w:color w:val="auto"/>
              </w:rPr>
            </w:pPr>
          </w:p>
        </w:tc>
        <w:tc>
          <w:tcPr>
            <w:tcW w:w="4640" w:type="dxa"/>
            <w:vAlign w:val="bottom"/>
          </w:tcPr>
          <w:p>
            <w:pPr>
              <w:jc w:val="right"/>
              <w:ind w:right="3298"/>
              <w:spacing w:after="0"/>
              <w:rPr>
                <w:sz w:val="20"/>
                <w:szCs w:val="20"/>
                <w:color w:val="auto"/>
              </w:rPr>
            </w:pPr>
            <w:r>
              <w:rPr>
                <w:rFonts w:ascii="Times New Roman" w:cs="Times New Roman" w:eastAsia="Times New Roman" w:hAnsi="Times New Roman"/>
                <w:sz w:val="16"/>
                <w:szCs w:val="16"/>
                <w:color w:val="auto"/>
              </w:rPr>
              <w:t>-37-</w:t>
            </w:r>
          </w:p>
        </w:tc>
        <w:tc>
          <w:tcPr>
            <w:tcW w:w="940" w:type="dxa"/>
            <w:vAlign w:val="bottom"/>
          </w:tcPr>
          <w:p>
            <w:pPr>
              <w:spacing w:after="0"/>
              <w:rPr>
                <w:sz w:val="24"/>
                <w:szCs w:val="24"/>
                <w:color w:val="auto"/>
              </w:rPr>
            </w:pPr>
          </w:p>
        </w:tc>
      </w:tr>
      <w:tr>
        <w:trPr>
          <w:trHeight w:val="510"/>
        </w:trPr>
        <w:tc>
          <w:tcPr>
            <w:tcW w:w="33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7" w:right="1440" w:bottom="1440" w:gutter="0" w:footer="0" w:header="0"/>
        </w:sectPr>
      </w:pPr>
    </w:p>
    <w:bookmarkStart w:id="37" w:name="page38"/>
    <w:bookmarkEnd w:id="3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Converted SARs, which ranges from within one year to ten years. The Company does not expect to pay dividends after the Offering. The risk-free interest rate was based on the rate for a U.S. Treasury zero-coupon issue with a term that closely approximates the expected term of the SAR grants.</w:t>
      </w:r>
    </w:p>
    <w:p>
      <w:pPr>
        <w:spacing w:after="0" w:line="162"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Prior to the Offering,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three and nine months ended September 30, 2020 which exceeded historical results.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below table represents SAR activity for the following periods: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Range of</w:t>
            </w:r>
          </w:p>
        </w:tc>
      </w:tr>
      <w:tr>
        <w:trPr>
          <w:trHeight w:val="128"/>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620" w:type="dxa"/>
            <w:vAlign w:val="bottom"/>
            <w:tcBorders>
              <w:bottom w:val="single" w:sz="8" w:color="auto"/>
            </w:tcBorders>
          </w:tcPr>
          <w:p>
            <w:pPr>
              <w:jc w:val="right"/>
              <w:ind w:right="59"/>
              <w:spacing w:after="0" w:line="128" w:lineRule="exact"/>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ind w:right="41"/>
              <w:spacing w:after="0" w:line="128" w:lineRule="exact"/>
              <w:rPr>
                <w:sz w:val="20"/>
                <w:szCs w:val="20"/>
                <w:color w:val="auto"/>
              </w:rPr>
            </w:pPr>
            <w:r>
              <w:rPr>
                <w:rFonts w:ascii="Times New Roman" w:cs="Times New Roman" w:eastAsia="Times New Roman" w:hAnsi="Times New Roman"/>
                <w:sz w:val="13"/>
                <w:szCs w:val="13"/>
                <w:b w:val="1"/>
                <w:bCs w:val="1"/>
                <w:color w:val="auto"/>
              </w:rPr>
              <w:t>Nonvested</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0"/>
              <w:spacing w:after="0" w:line="128" w:lineRule="exact"/>
              <w:rPr>
                <w:sz w:val="20"/>
                <w:szCs w:val="20"/>
                <w:color w:val="auto"/>
              </w:rPr>
            </w:pP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b w:val="1"/>
                <w:bCs w:val="1"/>
                <w:color w:val="auto"/>
              </w:rPr>
              <w:t>rant values</w:t>
            </w:r>
          </w:p>
        </w:tc>
      </w:tr>
      <w:tr>
        <w:trPr>
          <w:trHeight w:val="116"/>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3"/>
          </w:tcPr>
          <w:p>
            <w:pPr>
              <w:jc w:val="right"/>
              <w:ind w:right="199"/>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0.92–$3.17</w:t>
            </w:r>
          </w:p>
        </w:tc>
      </w:tr>
      <w:tr>
        <w:trPr>
          <w:trHeight w:val="198"/>
        </w:trPr>
        <w:tc>
          <w:tcPr>
            <w:tcW w:w="20" w:type="dxa"/>
            <w:vAlign w:val="bottom"/>
          </w:tcPr>
          <w:p>
            <w:pPr>
              <w:spacing w:after="0"/>
              <w:rPr>
                <w:sz w:val="17"/>
                <w:szCs w:val="17"/>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1.31–$2.50</w:t>
            </w:r>
          </w:p>
        </w:tc>
      </w:tr>
      <w:tr>
        <w:trPr>
          <w:trHeight w:val="198"/>
        </w:trPr>
        <w:tc>
          <w:tcPr>
            <w:tcW w:w="20" w:type="dxa"/>
            <w:vAlign w:val="bottom"/>
          </w:tcPr>
          <w:p>
            <w:pPr>
              <w:spacing w:after="0"/>
              <w:rPr>
                <w:sz w:val="17"/>
                <w:szCs w:val="17"/>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2.13–$2.50</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0.92–$3.73</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198"/>
        </w:trPr>
        <w:tc>
          <w:tcPr>
            <w:tcW w:w="20" w:type="dxa"/>
            <w:vAlign w:val="bottom"/>
          </w:tcPr>
          <w:p>
            <w:pPr>
              <w:spacing w:after="0"/>
              <w:rPr>
                <w:sz w:val="17"/>
                <w:szCs w:val="17"/>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1.31–$2.50</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198"/>
        </w:trPr>
        <w:tc>
          <w:tcPr>
            <w:tcW w:w="20" w:type="dxa"/>
            <w:vAlign w:val="bottom"/>
          </w:tcPr>
          <w:p>
            <w:pPr>
              <w:spacing w:after="0"/>
              <w:rPr>
                <w:sz w:val="17"/>
                <w:szCs w:val="17"/>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0.92–$4.70</w:t>
            </w:r>
          </w:p>
        </w:tc>
      </w:tr>
      <w:tr>
        <w:trPr>
          <w:trHeight w:val="190"/>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September 30, 2020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Prior to July 2, 2020, the weighted average grant date intrinsic value of the SARs on grant date was zero as the Company’s Board granted all awards at a price per share not less than the per share fair value of the Company’s former Class B common stock underlying such awards on the date of grant.</w:t>
      </w:r>
    </w:p>
    <w:p>
      <w:pPr>
        <w:spacing w:after="0" w:line="153"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Accrued SAR Awards of $5,790 and $1,051 at December 31, 2019 and September 30, 2020 (unaudited), respectively, representing SAR Units scheduled for redemption and 25% of the vested SAR Units eligible for exercise within 12-months of the balance sheet date are reflected in deferred compensation, current in the consolidated balance sheets. The remaining balance of accrued SAR Awards of $16,506 at December 31, 2019 is reflected as deferred compensation, net of current portion, in the consolidated balance sheet. We had approximately $3,900 of total unrecognized compensation expense for unvested SAR Awards at December 31, 2019 which we expect to recognize over the respective service periods of one to five years.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8" w:name="page39"/>
    <w:bookmarkEnd w:id="3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At the Offering effective date, the total unrecognized compensation for unvested SAR Awards of $44,342 was reclassified to additional paid in capital as these awards were reclassified to equity-based awards on this date subject to the terms of the 2020 Plan. This amount will be recognized as compensation expense under the 2020 Plan over the respective service periods of one to five years.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Amended Options</w:t>
      </w:r>
    </w:p>
    <w:p>
      <w:pPr>
        <w:spacing w:after="0" w:line="215"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On July 20, 2020, the Amended Options resulted from the Board amending the outstanding options to provide for their exchange for options to purchase an equivalent number of Class A shares available under the 2020 Plan at the same exercise price, vesting and term. The amendment of the options was deemed a modification. No incremental compensation was recorded in connection with this modification as it was determined that the value of the Amended Options was the same both before and after the modification. The Amended Options remain exercisable upon: (i) the option holder no longer serving as an employee of the Company or a member of the Board; (ii) the Grantee’s death or disability; (iii) the occurrence of a Partial Triggering Event (as defined below); or (iv) the occurrence of a Triggering Event (as defined below). Prior to being amended, the option agreements provided employee option holders with the ability to exercise a portion of their options between April 15 and April 30 of each year based upon the fair value of the Class B common stock as of December 31 of the prior calendar year, provided that certain Company performance is achieved. Upon amendment, the options are instead now subject to restrictions on trading during certain periods (“blackout dates”). Option holders are permitted to satisfy tax withholding obligations incurred in connection with the exercise by exchanging exercised options in lieu of payment of income taxes paid by the Company on their behalf.</w:t>
      </w:r>
    </w:p>
    <w:p>
      <w:pPr>
        <w:spacing w:after="0" w:line="168"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In the event of the sale of at least 50% of the Company’s stock or all the assets of the Company (“Triggering Event”) in a single or multiple transactions, the option holders have the right to exercise their options and sell their related shares in connection with the transactions. Unexercised options expire after a Triggering Event. In the event of a sale of at least 25% of the Company’s assets to an unrelated third-party in a single or multiple transactions (“Partial Triggering Event”), the option holders have the right to exercise a portion of their options pro rata based on the sales price and sell their related shares in connection with the transaction. Unexercised options remaining after a Partial Triggering Event remain outstanding. In addition, in the event stockholders owning at least 51% of the outstanding stock of the Company (the “selling stockholders”) sell a portion of their stock to an unrelated third-party, the option holders have the right to exercise and sell an amount of options in the same proportion as the selling stockholders (a “tag-along right”). The option holders may also be required to exercise all their outstanding options and sell all related shares in the event the selling stockholders sell at least 51% of their ownership to an unrelated third-party (a “drag-along right”).</w:t>
      </w:r>
    </w:p>
    <w:p>
      <w:pPr>
        <w:spacing w:after="0" w:line="16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Prior to the amendment, the options permitted holders to put their exercised shares back to the Company, thus the options were classified as temporary equity and included in “Options for Redeemable Shares” on the consolidated balance sheets. The Company recorded increases in the value of Options for Redeemable Shares of $21,954 and $579 for the three months ended September 30, 2020 and 2019 (unaudited), respectively, and $69,177 and $762 for the nine months ended September 20, 2020 and 2019 (unaudited), respectively. The option holders’ ability to put the exercised Amended Option shares to the Company in order to attain liquidity was exchanged for the right by the holders to exercise these options and sell the related shares on the NASDAQ exchange. As a result of this put right no longer being applicable, the options were no longer considered temporary equity and were reclassified to stockholders’ equity in the amount of $69,177 during the three months ended September 30, 2020.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39" w:name="page40"/>
    <w:bookmarkEnd w:id="3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activity for the Amended Options from January 1, 2019:</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9"/>
              </w:rPr>
              <w:t>intrinsic</w:t>
            </w: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7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Amended Option Activity</w:t>
            </w:r>
          </w:p>
        </w:tc>
        <w:tc>
          <w:tcPr>
            <w:tcW w:w="3860" w:type="dxa"/>
            <w:vAlign w:val="bottom"/>
          </w:tcPr>
          <w:p>
            <w:pPr>
              <w:spacing w:after="0"/>
              <w:rPr>
                <w:sz w:val="15"/>
                <w:szCs w:val="15"/>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14,581</w:t>
            </w:r>
          </w:p>
        </w:tc>
      </w:tr>
      <w:tr>
        <w:trPr>
          <w:trHeight w:val="198"/>
        </w:trPr>
        <w:tc>
          <w:tcPr>
            <w:tcW w:w="20" w:type="dxa"/>
            <w:vAlign w:val="bottom"/>
          </w:tcPr>
          <w:p>
            <w:pPr>
              <w:spacing w:after="0"/>
              <w:rPr>
                <w:sz w:val="17"/>
                <w:szCs w:val="17"/>
                <w:color w:val="auto"/>
              </w:rPr>
            </w:pPr>
          </w:p>
        </w:tc>
        <w:tc>
          <w:tcPr>
            <w:tcW w:w="53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190"/>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17,344</w:t>
            </w:r>
          </w:p>
        </w:tc>
      </w:tr>
      <w:tr>
        <w:trPr>
          <w:trHeight w:val="198"/>
        </w:trPr>
        <w:tc>
          <w:tcPr>
            <w:tcW w:w="20" w:type="dxa"/>
            <w:vAlign w:val="bottom"/>
          </w:tcPr>
          <w:p>
            <w:pPr>
              <w:spacing w:after="0"/>
              <w:rPr>
                <w:sz w:val="17"/>
                <w:szCs w:val="17"/>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Exercised through June 30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198"/>
        </w:trPr>
        <w:tc>
          <w:tcPr>
            <w:tcW w:w="20" w:type="dxa"/>
            <w:vAlign w:val="bottom"/>
          </w:tcPr>
          <w:p>
            <w:pPr>
              <w:spacing w:after="0"/>
              <w:rPr>
                <w:sz w:val="17"/>
                <w:szCs w:val="17"/>
                <w:color w:val="auto"/>
              </w:rPr>
            </w:pPr>
          </w:p>
        </w:tc>
        <w:tc>
          <w:tcPr>
            <w:tcW w:w="5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Amendment and exchange of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69,177</w:t>
            </w:r>
          </w:p>
        </w:tc>
      </w:tr>
      <w:tr>
        <w:trPr>
          <w:trHeight w:val="190"/>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Outstanding at September 30, 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*Options have indefinite contractual lives</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Options under 2020 Plan</w:t>
      </w:r>
    </w:p>
    <w:p>
      <w:pPr>
        <w:spacing w:after="0" w:line="215" w:lineRule="exact"/>
        <w:rPr>
          <w:sz w:val="20"/>
          <w:szCs w:val="20"/>
          <w:color w:val="auto"/>
        </w:rPr>
      </w:pPr>
    </w:p>
    <w:p>
      <w:pPr>
        <w:ind w:left="40" w:right="79" w:firstLine="296"/>
        <w:spacing w:after="0" w:line="277" w:lineRule="auto"/>
        <w:rPr>
          <w:sz w:val="20"/>
          <w:szCs w:val="20"/>
          <w:color w:val="auto"/>
        </w:rPr>
      </w:pPr>
      <w:r>
        <w:rPr>
          <w:rFonts w:ascii="Times New Roman" w:cs="Times New Roman" w:eastAsia="Times New Roman" w:hAnsi="Times New Roman"/>
          <w:sz w:val="16"/>
          <w:szCs w:val="16"/>
          <w:color w:val="auto"/>
        </w:rPr>
        <w:t>The Company issued no options under the 2020 Plan through September 30, 2020 other than those associated with the Converted SARs and the Amended Options previously discussed. The following table summarizes activity for options outstanding under the 2020 Plan:</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intrinsic</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exercise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0"/>
        </w:trPr>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2020 Plan Option Activity</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5"/>
        </w:trPr>
        <w:tc>
          <w:tcPr>
            <w:tcW w:w="146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00" w:type="dxa"/>
            <w:vAlign w:val="bottom"/>
            <w:gridSpan w:val="2"/>
            <w:vMerge w:val="continue"/>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Issued in connection with Converted SARs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Issued in connection with Amended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2020 Plan options outstanding as of September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253,006</w:t>
            </w:r>
          </w:p>
        </w:tc>
        <w:tc>
          <w:tcPr>
            <w:tcW w:w="0" w:type="dxa"/>
            <w:vAlign w:val="bottom"/>
          </w:tcPr>
          <w:p>
            <w:pPr>
              <w:spacing w:after="0"/>
              <w:rPr>
                <w:sz w:val="1"/>
                <w:szCs w:val="1"/>
                <w:color w:val="auto"/>
              </w:rPr>
            </w:pPr>
          </w:p>
        </w:tc>
      </w:tr>
      <w:tr>
        <w:trPr>
          <w:trHeight w:val="175"/>
        </w:trPr>
        <w:tc>
          <w:tcPr>
            <w:tcW w:w="530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2020 Plan options exercisable as of September 30, 2020</w:t>
            </w:r>
          </w:p>
        </w:tc>
        <w:tc>
          <w:tcPr>
            <w:tcW w:w="8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7,224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1.76</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7.14</w:t>
            </w:r>
          </w:p>
        </w:tc>
        <w:tc>
          <w:tcPr>
            <w:tcW w:w="260" w:type="dxa"/>
            <w:vAlign w:val="bottom"/>
            <w:tcBorders>
              <w:bottom w:val="single" w:sz="8" w:color="CCEEFF"/>
            </w:tcBorders>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153,414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*Amended Options have indefinite contractual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0" w:name="page41"/>
    <w:bookmarkEnd w:id="4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detail of options outstanding, vested and exercisable under the 2020 Plan as of September 30, 2020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2000" w:type="dxa"/>
            <w:vAlign w:val="bottom"/>
            <w:gridSpan w:val="3"/>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Options vested and exercisable</w:t>
            </w:r>
          </w:p>
        </w:tc>
        <w:tc>
          <w:tcPr>
            <w:tcW w:w="0" w:type="dxa"/>
            <w:vAlign w:val="bottom"/>
          </w:tcPr>
          <w:p>
            <w:pPr>
              <w:spacing w:after="0"/>
              <w:rPr>
                <w:sz w:val="1"/>
                <w:szCs w:val="1"/>
                <w:color w:val="auto"/>
              </w:rPr>
            </w:pPr>
          </w:p>
        </w:tc>
      </w:tr>
      <w:tr>
        <w:trPr>
          <w:trHeight w:val="106"/>
        </w:trPr>
        <w:tc>
          <w:tcPr>
            <w:tcW w:w="4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36"/>
        </w:trPr>
        <w:tc>
          <w:tcPr>
            <w:tcW w:w="4680" w:type="dxa"/>
            <w:vAlign w:val="bottom"/>
            <w:vMerge w:val="restart"/>
          </w:tcPr>
          <w:p>
            <w:pPr>
              <w:ind w:left="1920"/>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160" w:type="dxa"/>
            <w:vAlign w:val="bottom"/>
            <w:vMerge w:val="restart"/>
          </w:tcPr>
          <w:p>
            <w:pPr>
              <w:spacing w:after="0"/>
              <w:rPr>
                <w:sz w:val="11"/>
                <w:szCs w:val="11"/>
                <w:color w:val="auto"/>
              </w:rPr>
            </w:pPr>
          </w:p>
        </w:tc>
        <w:tc>
          <w:tcPr>
            <w:tcW w:w="92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average</w:t>
            </w:r>
          </w:p>
        </w:tc>
        <w:tc>
          <w:tcPr>
            <w:tcW w:w="90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6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58"/>
        </w:trPr>
        <w:tc>
          <w:tcPr>
            <w:tcW w:w="46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6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jc w:val="right"/>
              <w:ind w:right="561"/>
              <w:spacing w:after="0" w:line="12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$0.15 to $0.71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$2.67</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$3.17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consolidated statements of operations over the period during which the participant is required to perform the requisite services. The vesting period is generally one to four years. The grant date fair value of options is estimated using the Black-Scholes model. No new options were granted subsequent to the Offering through September 30, 2020. Unrecognized compensation expense associated with the Converted SARs was $40,434 at September 30, 2020 (unaudited), which will be recognized over the respective remaining service periods of one to five years.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issued RSUs to eligible participants during the quarter ended September 30, 2020. The following table summarizes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RSU activity for the nine months ended September 30, 2020:</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7"/>
              <w:spacing w:after="0" w:line="136"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7"/>
              <w:spacing w:after="0" w:line="136" w:lineRule="exact"/>
              <w:rPr>
                <w:sz w:val="20"/>
                <w:szCs w:val="20"/>
                <w:color w:val="auto"/>
              </w:rPr>
            </w:pPr>
            <w:r>
              <w:rPr>
                <w:rFonts w:ascii="Times New Roman" w:cs="Times New Roman" w:eastAsia="Times New Roman" w:hAnsi="Times New Roman"/>
                <w:sz w:val="13"/>
                <w:szCs w:val="13"/>
                <w:b w:val="1"/>
                <w:bCs w:val="1"/>
                <w:color w:val="auto"/>
              </w:rPr>
              <w:t>grant date fair</w:t>
            </w: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16"/>
        </w:trPr>
        <w:tc>
          <w:tcPr>
            <w:tcW w:w="6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5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19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2020</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Stock-based compensation cost for RSUs is measured based on the fair value of the Company’s underlying common stock on the date of grant and aggregated $1,958. This cost will be recognized on a straight-line basis in the consolidated statements of operations over the period during which the participant is required to perform services in exchange for the award, which is generally one to four years. During the three and nine months ended September 30, 2020, the Company recorded stock-based compensation expense of $18 related to these awards. At September 30, 2020, $1,940 of unrecognized compensation cost is expected to be recognized over a weighted average period of approximately 4.0 years.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1" w:name="page42"/>
    <w:bookmarkEnd w:id="4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issued RSAs to eligible participants during the quarter ended September 30, 2020. The following table summarizes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RSA activity for the nine months ended September 30, 2020:</w:t>
      </w: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5"/>
              <w:spacing w:after="0" w:line="136"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9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5"/>
              <w:spacing w:after="0" w:line="136" w:lineRule="exact"/>
              <w:rPr>
                <w:sz w:val="20"/>
                <w:szCs w:val="20"/>
                <w:color w:val="auto"/>
              </w:rPr>
            </w:pPr>
            <w:r>
              <w:rPr>
                <w:rFonts w:ascii="Times New Roman" w:cs="Times New Roman" w:eastAsia="Times New Roman" w:hAnsi="Times New Roman"/>
                <w:sz w:val="13"/>
                <w:szCs w:val="13"/>
                <w:b w:val="1"/>
                <w:bCs w:val="1"/>
                <w:color w:val="auto"/>
              </w:rPr>
              <w:t>grant date fair</w:t>
            </w: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16"/>
        </w:trPr>
        <w:tc>
          <w:tcPr>
            <w:tcW w:w="6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198"/>
        </w:trPr>
        <w:tc>
          <w:tcPr>
            <w:tcW w:w="7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198"/>
        </w:trPr>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19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2020</w:t>
            </w: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Stock-based compensation cost for RSAs is measured based on the fair value of the Company’s underlying common stock on the date of grant and aggregated $13,190 during the three months ended September 30, 2020. This cost will be recognized on a straight-line basis in the consolidated statements of operations over the period during which the participants are required to perform services in exchange for the award, which is generally one to four years. During the three and nine months ended September 30, 2020, the Company recorded stock-based compensation expense of $2,014, net of forfeitures, related to these awards. At September 30, 2020, $11,158 of unrecognized compensation cost is expected to be recognized over a weighted average period of approximately 2.2 years.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252"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ESPP permits participants to purchase Class A common stock through payroll deductions of up to a specified percentage of their eligible compensation, provided that participants will be permitted to make lump sum contributions to the ESPP during the initial offering period (July 28 to November 30, 2020). The maximum number of shares that may be purchased by a participant during any offering period is determined by the plan adminstrator in advance of each offering period.</w:t>
      </w:r>
    </w:p>
    <w:p>
      <w:pPr>
        <w:spacing w:after="0" w:line="182"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spacing w:after="0" w:line="202"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2" w:name="page43"/>
    <w:bookmarkEnd w:id="4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determined by the Board, provided that no more than 16,000 shares of Class A common stock may be issued. The ESPP is administered by a committee of the Board.</w:t>
      </w:r>
    </w:p>
    <w:p>
      <w:pPr>
        <w:spacing w:after="0" w:line="137"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During the three and nine months ended September 30, 2020, the Company recorded stock-based compensation expense of $121 related to the ESPP initial offering period. No shares of Class A common stock were purchased under the ESPP as no amounts were withheld through payroll or contributed by participants through this date. As of September 30, 2020, there was approximately $116 of unrecognized stock-based compensation cost related to the ESPP’s initial offering period that is expected to be recognized on a straight-line basis over the remaining term of the offering period that ends on November 30, 2020.</w:t>
      </w:r>
    </w:p>
    <w:p>
      <w:pPr>
        <w:spacing w:after="0" w:line="162"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For the periods presented, the fair value of ESPP purchase rights is comprised of the value of the 15% ESPP discount and the value associated with the the Call over the ESPP offering period. The value of the Call was estimated using the Black-Scholes model with the following assumptions: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3680" w:type="dxa"/>
            <w:vAlign w:val="bottom"/>
            <w:tcBorders>
              <w:bottom w:val="single" w:sz="8" w:color="CCEEFF"/>
            </w:tcBorders>
          </w:tcPr>
          <w:p>
            <w:pPr>
              <w:spacing w:after="0"/>
              <w:rPr>
                <w:sz w:val="11"/>
                <w:szCs w:val="11"/>
                <w:color w:val="auto"/>
              </w:rPr>
            </w:pPr>
          </w:p>
        </w:tc>
        <w:tc>
          <w:tcPr>
            <w:tcW w:w="13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10"/>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4"/>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190"/>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market value of common stock</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   19.00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n/a</w:t>
            </w: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80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w:t>
            </w:r>
          </w:p>
        </w:tc>
      </w:tr>
      <w:tr>
        <w:trPr>
          <w:trHeight w:val="198"/>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n/a</w:t>
            </w: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w:t>
            </w:r>
          </w:p>
        </w:tc>
      </w:tr>
      <w:tr>
        <w:trPr>
          <w:trHeight w:val="198"/>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1"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except for the initial offering period which is from July 28 to November 30, 2020.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recognized total stock-based compensation cost related to incentive awards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 w:type="dxa"/>
            <w:vAlign w:val="bottom"/>
          </w:tcPr>
          <w:p>
            <w:pPr>
              <w:spacing w:after="0"/>
              <w:rPr>
                <w:sz w:val="12"/>
                <w:szCs w:val="12"/>
                <w:color w:val="auto"/>
              </w:rPr>
            </w:pP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64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2"/>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82"/>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4"/>
          </w:tcPr>
          <w:p>
            <w:pPr>
              <w:jc w:val="right"/>
              <w:ind w:right="443"/>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SARs</w:t>
            </w:r>
          </w:p>
        </w:tc>
        <w:tc>
          <w:tcPr>
            <w:tcW w:w="21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62,141</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138,737</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options</w:t>
            </w: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RSUs</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RSAs</w:t>
            </w: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ESPP</w:t>
            </w:r>
          </w:p>
        </w:tc>
        <w:tc>
          <w:tcPr>
            <w:tcW w:w="1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cost</w:t>
            </w:r>
          </w:p>
        </w:tc>
        <w:tc>
          <w:tcPr>
            <w:tcW w:w="19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64,294</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140,890</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vMerge w:val="restart"/>
          </w:tcPr>
          <w:p>
            <w:pPr>
              <w:jc w:val="right"/>
              <w:ind w:right="658"/>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7" w:right="1440" w:bottom="1440" w:gutter="0" w:footer="0" w:header="0"/>
        </w:sectPr>
      </w:pPr>
    </w:p>
    <w:bookmarkStart w:id="43" w:name="page44"/>
    <w:bookmarkEnd w:id="4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Company recognized stock-based compensation cost in the condensed consolidated statements of comprehensive income (loss)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8"/>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2"/>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4"/>
          </w:tcPr>
          <w:p>
            <w:pPr>
              <w:jc w:val="right"/>
              <w:ind w:right="463"/>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 software subscriptions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 services</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190"/>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3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64,294</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140,890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10.  RELATED PARTIES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Company advanced amounts to certain stockholders of the Company of $283 and $2 at December 31, 2019 and September 30, 2020 (unaudited), respectively. The 2019 amounts are short-term in nature and repaid within three months. The amounts in 2020 are related to settlement of S-Corporation tax obligations as permitted under the Tax Sharing Agreement. These amounts are included in advances to stockholders in the consolidated balance sheets.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Company leases office space under operating leases that expire at various dates through September 2028. Rent expense under all property operating leases was $1,736 and $1,628 for the three months ended September 30, 2020 and 2019 (unaudited), respectively, and $5,187 and $4,720 for the nine months ended September 30, 2020 and 2019 (unaudited), respectively. These amounts are reflected in general and administrative expense in the consolidated statements of comprehensive income (loss).</w:t>
      </w:r>
    </w:p>
    <w:p>
      <w:pPr>
        <w:spacing w:after="0" w:line="157"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The Company is not aware of any such legal proceedings or claims that management believes will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4" w:name="page45"/>
    <w:bookmarkEnd w:id="4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999" w:hanging="592"/>
        <w:spacing w:after="0" w:line="302"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32"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the consolidated financial statements and the notes thereto included elsewhere in this Quarterly Report on Form 10-Q.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“Risk Factors” in Part II, Item 1A.</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Vertex delivers comprehensive tax solutions that enable global businesses to transact, comply and grow with confidence. Companies with complex tax operations rely on Vertex to automate their end-to-end indirect tax processes. Indirect tax is the largest corporate tax category, encompassing sales tax, sellers use tax, consumer use tax and value added tax (“VAT”), among others. Indirect tax accounts for more than $3.5 trillion of annual tax revenue, which is 2.5 times the amount of corporate income taxes, according to the 2019 OECD Tax Database.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367"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We have pioneered tax technology for over 40 years. We first began electronic delivery of tax rules in the early 1980s and we first sold transaction tax processing software in 1982.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In order to maintain the quality of our content, our team includes many global tax and regulatory experts from industry and the public sector, who deliver monthly updates to our tax content, which are then incorporated directly into our software. Our solutions can be deployed on-premise, in the cloud, or both, with implementation services available to enable optimal customer outcomes and satisfy their unique business requirements.</w:t>
      </w:r>
    </w:p>
    <w:p>
      <w:pPr>
        <w:spacing w:after="0" w:line="363" w:lineRule="exact"/>
        <w:rPr>
          <w:sz w:val="20"/>
          <w:szCs w:val="20"/>
          <w:color w:val="auto"/>
        </w:rPr>
      </w:pPr>
    </w:p>
    <w:p>
      <w:pPr>
        <w:jc w:val="both"/>
        <w:ind w:left="40" w:right="59" w:firstLine="296"/>
        <w:spacing w:after="0" w:line="269" w:lineRule="auto"/>
        <w:rPr>
          <w:sz w:val="20"/>
          <w:szCs w:val="20"/>
          <w:color w:val="auto"/>
        </w:rPr>
      </w:pPr>
      <w:r>
        <w:rPr>
          <w:rFonts w:ascii="Times New Roman" w:cs="Times New Roman" w:eastAsia="Times New Roman" w:hAnsi="Times New Roman"/>
          <w:sz w:val="16"/>
          <w:szCs w:val="16"/>
          <w:color w:val="auto"/>
        </w:rPr>
        <w:t>We have accumulated industry-specific tax knowledge for over four decades and our customers leverage our in-depth content through their use of our software. This allows our customers to comply with the dynamic regulatory landscape in real time and mitigates our customers’ risk exposure. As our customers expand their global footprint and business models, we are actively supporting their expansion by continuously strengthening our content offering and allowing for additional jurisdiction-specific tax compliance.</w:t>
      </w:r>
    </w:p>
    <w:p>
      <w:pPr>
        <w:spacing w:after="0" w:line="361"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one-to three-year contracts. We bill almost all of our customers annually in advance of the subscription period.</w:t>
      </w:r>
    </w:p>
    <w:p>
      <w:pPr>
        <w:spacing w:after="0" w:line="157"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We have over 4,000 customers, including the majority of the Fortune 500, as well as a majority of the top 10 companies by revenue in multiple industries such as retail, technology and manufacturing, in addition to leading marketplaces. At September 30, 2020, we had over 4,000 customers and our Annual Recurring Revenue (“ARR”) per customer was over $75,000, while at September 30, 2019, we had over 4,000 customers and our ARR per customer was over $65,000. As our customers expand geographically and pursue omnichannel business models, their tax determination and compliance requirements increase and become more complex, providing sustainable organic growth opportunities for our business. Our pricing model is aligned with our customers’ objectives by adjusting with their growth over time. We principally price our solutions based on a customer’s revenue base, in addition to a number of other factors.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5" w:name="page46"/>
    <w:bookmarkEnd w:id="4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We employ a hybrid deployment model to align to our customers’ technology preferences for their core financial management software across on premise, cloud deployments or any combination of these models. Over time, we expect both existing and newly acquired customers to continue to shift towards cloud deployment models. Cloud-based subscription sales to new customers have grown at a significantly faster rate than on premise software subscription sales, which is a trend that we expect to continue over time. We generated 28.7% and 21.0% of software subscription revenue from cloud-based subscriptions during the three months ended September 30, 2020 and 2019, respectively, and 26.6% and 18.7% for the nine months ended September 30, 2020 and 2019, respectively. While our on-premise software subscription revenue comprises 73.4% of our 2020 software subscription revenue, we anticipate that it will decrease as a percentage of total software subscription revenue as cloud-based subscriptions accelerate.</w:t>
      </w:r>
    </w:p>
    <w:p>
      <w:pPr>
        <w:spacing w:after="0" w:line="16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We sell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53"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pacing w:after="0" w:line="157"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We believe that global commerce and the compliance environment provides durable and accelerating growth opportunities for our business. We generated revenue of $82.4 million and $94.6 million for the three months ended September 30, 2019 and 2020, respectively. We generated revenue of $235.4 million and $275.1 million for the nine months ended September 30, 2019 and 2020, respectively. We had net income of $11.9 million and a net loss of $21.0 million for the three months ended September 30, 2019 and 2020, respectively. We had net income of $26.3 million and a net loss of $79.2 million for the nine months ended September 30, 2019 and 2020, respectively. Adjusted EBITDA was $19.6 million and $22.5 million for the three months ended September 30, 2019 and 2020, respectively. Adjusted EBITDA was $50.8 million and $59.3 million for the nine months ended September 30, 2019 and 2020, respectively. Additionally, we generated net cash provided by operating activities of $45.8 million and $20.0 million in the nine months ended September 30, 2019 and 2020, respectively. Our free cash flow was $3.7 million and $15.8 million in the three months ended September 30, 2019 and 2020, respectively. Our free cash flow was $20.1 million and $18.7 million in the nine months ended September 30, 2019 and 2020, respectively. Adjusted EBITDA and free cash flow are non-GAAP financial measures. Refer to “</w:t>
      </w:r>
      <w:r>
        <w:rPr>
          <w:rFonts w:ascii="Times New Roman" w:cs="Times New Roman" w:eastAsia="Times New Roman" w:hAnsi="Times New Roman"/>
          <w:sz w:val="16"/>
          <w:szCs w:val="16"/>
          <w:i w:val="1"/>
          <w:iCs w:val="1"/>
          <w:color w:val="auto"/>
        </w:rPr>
        <w:t>Use and Reconciliation of Non-GAAP Financial Measures</w:t>
      </w:r>
      <w:r>
        <w:rPr>
          <w:rFonts w:ascii="Times New Roman" w:cs="Times New Roman" w:eastAsia="Times New Roman" w:hAnsi="Times New Roman"/>
          <w:sz w:val="16"/>
          <w:szCs w:val="16"/>
          <w:color w:val="auto"/>
        </w:rPr>
        <w:t>” for further discussion of non-GAAP financial measures and their comparison to GAAP financial measures.</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Initial Public Offering</w:t>
      </w:r>
    </w:p>
    <w:p>
      <w:pPr>
        <w:spacing w:after="0" w:line="215" w:lineRule="exact"/>
        <w:rPr>
          <w:sz w:val="20"/>
          <w:szCs w:val="20"/>
          <w:color w:val="auto"/>
        </w:rPr>
      </w:pPr>
    </w:p>
    <w:p>
      <w:pPr>
        <w:jc w:val="both"/>
        <w:ind w:left="40" w:right="59" w:firstLine="593"/>
        <w:spacing w:after="0" w:line="271" w:lineRule="auto"/>
        <w:rPr>
          <w:sz w:val="20"/>
          <w:szCs w:val="20"/>
          <w:color w:val="auto"/>
        </w:rPr>
      </w:pPr>
      <w:r>
        <w:rPr>
          <w:rFonts w:ascii="Times New Roman" w:cs="Times New Roman" w:eastAsia="Times New Roman" w:hAnsi="Times New Roman"/>
          <w:sz w:val="16"/>
          <w:szCs w:val="16"/>
          <w:color w:val="auto"/>
        </w:rPr>
        <w:t>On July 31, 2020, we completed our initial public offering (“IPO”) in which we sold 23,812,216 shares of our Class A common stock, and certain selling stockholders sold an additional 510,284 shares of Class A common stock, at a public offering price of $19.00 per share. We received proceeds of approximately $423.0 million, after deducting underwriting discounts and commissions, from sales of our shares in the IPO. We did not receive any of the proceeds from the sale of shares by the selling stockholders.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Impact of COVID-19</w:t>
      </w:r>
    </w:p>
    <w:p>
      <w:pPr>
        <w:spacing w:after="0" w:line="215" w:lineRule="exact"/>
        <w:rPr>
          <w:sz w:val="20"/>
          <w:szCs w:val="20"/>
          <w:color w:val="auto"/>
        </w:rPr>
      </w:pPr>
    </w:p>
    <w:p>
      <w:pPr>
        <w:jc w:val="both"/>
        <w:ind w:left="40" w:right="59" w:firstLine="593"/>
        <w:spacing w:after="0" w:line="264" w:lineRule="auto"/>
        <w:rPr>
          <w:sz w:val="20"/>
          <w:szCs w:val="20"/>
          <w:color w:val="auto"/>
        </w:rPr>
      </w:pPr>
      <w:r>
        <w:rPr>
          <w:rFonts w:ascii="Times New Roman" w:cs="Times New Roman" w:eastAsia="Times New Roman" w:hAnsi="Times New Roman"/>
          <w:sz w:val="16"/>
          <w:szCs w:val="16"/>
          <w:color w:val="auto"/>
        </w:rPr>
        <w:t>In March 2020, the World Health Organization declared the outbreak of COVID-19 to be a pandemic.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and customers, we have made substantial modifications to employee travel policies, closed our offices as employees are advised to work from home and cancelled or shifted our conferences and other marketing events to virtual-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6" w:name="page47"/>
    <w:bookmarkEnd w:id="4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only. The COVID-19 pandemic has impacted and may continue to impact our business operations, including our employees, customers and partners, and there is substantial uncertainty in the nature and degree of its continued effects over time.</w:t>
      </w:r>
    </w:p>
    <w:p>
      <w:pPr>
        <w:spacing w:after="0" w:line="137" w:lineRule="exact"/>
        <w:rPr>
          <w:sz w:val="20"/>
          <w:szCs w:val="20"/>
          <w:color w:val="auto"/>
        </w:rPr>
      </w:pPr>
    </w:p>
    <w:p>
      <w:pPr>
        <w:jc w:val="both"/>
        <w:ind w:left="40" w:right="59" w:firstLine="593"/>
        <w:spacing w:after="0" w:line="261" w:lineRule="auto"/>
        <w:rPr>
          <w:sz w:val="20"/>
          <w:szCs w:val="20"/>
          <w:color w:val="auto"/>
        </w:rPr>
      </w:pPr>
      <w:r>
        <w:rPr>
          <w:rFonts w:ascii="Times New Roman" w:cs="Times New Roman" w:eastAsia="Times New Roman" w:hAnsi="Times New Roman"/>
          <w:sz w:val="16"/>
          <w:szCs w:val="16"/>
          <w:color w:val="auto"/>
        </w:rPr>
        <w:t>During the first half of 2020, the COVID-19 pandemic had minimal impact on our revenue or results of operations, as we continue to derive the significant majority of our revenue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the first half of 2020, nor any material declines in revenue associated with declines in our customers’ revenues, and we currently expect our existing customer base to remain largely stable, as it did through the recession in 2008 and 2009. However, significant decreases in non-renewals or concessions to renewal customers would have a material impact on our revenues and cash flows. We did see a decline in new software subscription billings at the end of the first quarter of 2020. It is important to note that our sales metrics are assessed quarterly, and given the size and complexity of our sales process we often see variances from month to month due to legal or procurement processes. In the case of the first quarter of 2020 we achieved our new software billings targets as several deals were completed earlier in the quarter.</w:t>
      </w:r>
    </w:p>
    <w:p>
      <w:pPr>
        <w:spacing w:after="0" w:line="370" w:lineRule="exact"/>
        <w:rPr>
          <w:sz w:val="20"/>
          <w:szCs w:val="20"/>
          <w:color w:val="auto"/>
        </w:rPr>
      </w:pPr>
    </w:p>
    <w:p>
      <w:pPr>
        <w:jc w:val="both"/>
        <w:ind w:left="40" w:right="59" w:firstLine="593"/>
        <w:spacing w:after="0" w:line="264" w:lineRule="auto"/>
        <w:rPr>
          <w:sz w:val="20"/>
          <w:szCs w:val="20"/>
          <w:color w:val="auto"/>
        </w:rPr>
      </w:pPr>
      <w:r>
        <w:rPr>
          <w:rFonts w:ascii="Times New Roman" w:cs="Times New Roman" w:eastAsia="Times New Roman" w:hAnsi="Times New Roman"/>
          <w:sz w:val="16"/>
          <w:szCs w:val="16"/>
          <w:color w:val="auto"/>
        </w:rPr>
        <w:t>For the third quarter of 2020, new software billings exceeded our original third quarter of 2020 forecasts. We have seen some delays due to prospects shifting to working remotely, and some due to economic uncertainty. We expect that the uncertainty caused by the COVID-19 pandemic could continue to impact our billings to new customers for the remainder of 2020, and it may also negatively impact our efforts to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64" w:lineRule="exact"/>
        <w:rPr>
          <w:sz w:val="20"/>
          <w:szCs w:val="20"/>
          <w:color w:val="auto"/>
        </w:rPr>
      </w:pPr>
    </w:p>
    <w:p>
      <w:pPr>
        <w:jc w:val="both"/>
        <w:ind w:left="40" w:right="59" w:firstLine="593"/>
        <w:spacing w:after="0" w:line="261" w:lineRule="auto"/>
        <w:rPr>
          <w:sz w:val="20"/>
          <w:szCs w:val="20"/>
          <w:color w:val="auto"/>
        </w:rPr>
      </w:pPr>
      <w:r>
        <w:rPr>
          <w:rFonts w:ascii="Times New Roman" w:cs="Times New Roman" w:eastAsia="Times New Roman" w:hAnsi="Times New Roman"/>
          <w:sz w:val="16"/>
          <w:szCs w:val="16"/>
          <w:color w:val="auto"/>
        </w:rPr>
        <w:t>In addition to the impacts on our sales, our cash collections from existing customers were lower than expected at the end of the first quarter of 2020. During the second and third quarters of 2020, our collections exceeded our expectation as some of the procedural disruptions that customers experienced as they shifted to remote work in March had stabilized. We believe that we may see delays in collections over the coming months. However, we do not believe that these delays will materially impact our business; we continue to expect that we will be able to collect amounts due under subscription contracts from customer experiencing issues as a result of the COVID-19 pandemic, and we have not recorded an additional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including the New Credit Agreement entered into on March 31, 2020, see “Management’s Discussion and Analysis of Financial Condition and Results of Operations—Liquidity and Capital Resources.”</w:t>
      </w:r>
    </w:p>
    <w:p>
      <w:pPr>
        <w:spacing w:after="0" w:line="143" w:lineRule="exact"/>
        <w:rPr>
          <w:sz w:val="20"/>
          <w:szCs w:val="20"/>
          <w:color w:val="auto"/>
        </w:rPr>
      </w:pPr>
    </w:p>
    <w:p>
      <w:pPr>
        <w:jc w:val="both"/>
        <w:ind w:left="40" w:right="59" w:firstLine="593"/>
        <w:spacing w:after="0" w:line="264" w:lineRule="auto"/>
        <w:rPr>
          <w:sz w:val="20"/>
          <w:szCs w:val="20"/>
          <w:color w:val="auto"/>
        </w:rPr>
      </w:pPr>
      <w:r>
        <w:rPr>
          <w:rFonts w:ascii="Times New Roman" w:cs="Times New Roman" w:eastAsia="Times New Roman" w:hAnsi="Times New Roman"/>
          <w:sz w:val="16"/>
          <w:szCs w:val="16"/>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78"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We regularly review the metrics identified below to evaluate growth trends, measure our performance, formulate financial projections and make strategic decisions.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7" w:name="page48"/>
    <w:bookmarkEnd w:id="4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Annual Recurring Revenue.</w:t>
      </w:r>
    </w:p>
    <w:p>
      <w:pPr>
        <w:spacing w:after="0" w:line="21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5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c>
          <w:tcPr>
            <w:tcW w:w="0" w:type="dxa"/>
            <w:vAlign w:val="bottom"/>
          </w:tcPr>
          <w:p>
            <w:pPr>
              <w:spacing w:after="0"/>
              <w:rPr>
                <w:sz w:val="1"/>
                <w:szCs w:val="1"/>
                <w:color w:val="auto"/>
              </w:rPr>
            </w:pPr>
          </w:p>
        </w:tc>
      </w:tr>
      <w:tr>
        <w:trPr>
          <w:trHeight w:val="128"/>
        </w:trPr>
        <w:tc>
          <w:tcPr>
            <w:tcW w:w="3820" w:type="dxa"/>
            <w:vAlign w:val="bottom"/>
            <w:gridSpan w:val="2"/>
            <w:vMerge w:val="continue"/>
          </w:tcPr>
          <w:p>
            <w:pPr>
              <w:spacing w:after="0"/>
              <w:rPr>
                <w:sz w:val="11"/>
                <w:szCs w:val="11"/>
                <w:color w:val="auto"/>
              </w:rPr>
            </w:pPr>
          </w:p>
        </w:tc>
        <w:tc>
          <w:tcPr>
            <w:tcW w:w="58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1"/>
                <w:szCs w:val="11"/>
                <w:color w:val="auto"/>
              </w:rPr>
            </w:pPr>
          </w:p>
        </w:tc>
        <w:tc>
          <w:tcPr>
            <w:tcW w:w="600" w:type="dxa"/>
            <w:vAlign w:val="bottom"/>
          </w:tcPr>
          <w:p>
            <w:pPr>
              <w:jc w:val="right"/>
              <w:ind w:right="8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Recurring Revenue</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$ 306.5</w:t>
            </w: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$ 265.6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40.9</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ARR increased by $40.9 million or 15.4% for the twelve month period ended September 30, 2020, as compared to the same period in 2019. The increase was primarily driven by $20.0 million of growth in revenues from existing customers through their expanded use of our solutions as well as price increases and $20.9 million of on premise and cloud-based subscription sales of our tax solutions to new customers.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 Revenue Retention Rate.</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as well as any revenue expansion from upgrades, cross sells or upsells of our software.</w:t>
      </w:r>
    </w:p>
    <w:p>
      <w:pPr>
        <w:spacing w:after="0" w:line="183"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5715</wp:posOffset>
            </wp:positionV>
            <wp:extent cx="9486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ind w:left="6580"/>
        <w:spacing w:after="0"/>
        <w:tabs>
          <w:tab w:leader="none" w:pos="7440" w:val="left"/>
        </w:tabs>
        <w:rPr>
          <w:sz w:val="20"/>
          <w:szCs w:val="20"/>
          <w:color w:val="auto"/>
        </w:rPr>
      </w:pPr>
      <w:r>
        <w:rPr>
          <w:rFonts w:ascii="Times New Roman" w:cs="Times New Roman" w:eastAsia="Times New Roman" w:hAnsi="Times New Roman"/>
          <w:sz w:val="13"/>
          <w:szCs w:val="13"/>
          <w:b w:val="1"/>
          <w:bCs w:val="1"/>
          <w:color w:val="auto"/>
        </w:rPr>
        <w:t>2020</w:t>
      </w:r>
      <w:r>
        <w:rPr>
          <w:sz w:val="20"/>
          <w:szCs w:val="20"/>
          <w:color w:val="auto"/>
        </w:rPr>
        <w:tab/>
      </w:r>
      <w:r>
        <w:rPr>
          <w:rFonts w:ascii="Times New Roman" w:cs="Times New Roman" w:eastAsia="Times New Roman" w:hAnsi="Times New Roman"/>
          <w:sz w:val="13"/>
          <w:szCs w:val="13"/>
          <w:b w:val="1"/>
          <w:bCs w:val="1"/>
          <w:color w:val="auto"/>
        </w:rPr>
        <w:t>2019</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54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70"/>
        </w:trPr>
        <w:tc>
          <w:tcPr>
            <w:tcW w:w="54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Net Revenue Retention Rate</w:t>
            </w:r>
          </w:p>
        </w:tc>
        <w:tc>
          <w:tcPr>
            <w:tcW w:w="840" w:type="dxa"/>
            <w:vAlign w:val="bottom"/>
            <w:gridSpan w:val="2"/>
            <w:shd w:val="clear" w:color="auto" w:fill="CCEEFF"/>
          </w:tcPr>
          <w:p>
            <w:pPr>
              <w:jc w:val="right"/>
              <w:ind w:right="100"/>
              <w:spacing w:after="0" w:line="170" w:lineRule="exact"/>
              <w:rPr>
                <w:sz w:val="20"/>
                <w:szCs w:val="20"/>
                <w:color w:val="auto"/>
              </w:rPr>
            </w:pPr>
            <w:r>
              <w:rPr>
                <w:rFonts w:ascii="Times New Roman" w:cs="Times New Roman" w:eastAsia="Times New Roman" w:hAnsi="Times New Roman"/>
                <w:sz w:val="16"/>
                <w:szCs w:val="16"/>
                <w:color w:val="auto"/>
              </w:rPr>
              <w:t>108 %</w:t>
            </w:r>
          </w:p>
        </w:tc>
        <w:tc>
          <w:tcPr>
            <w:tcW w:w="800" w:type="dxa"/>
            <w:vAlign w:val="bottom"/>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6"/>
                <w:szCs w:val="16"/>
                <w:color w:val="auto"/>
              </w:rPr>
              <w:t>109 %</w:t>
            </w:r>
          </w:p>
        </w:tc>
      </w:tr>
    </w:tbl>
    <w:p>
      <w:pPr>
        <w:spacing w:after="0" w:line="181"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 NRR declined from 109% at September 30, 2019 to 108% at September 30, 2020 due primarily to a reduction in new sales to existing customers.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 and Adjusted EBITDA Margin.</w:t>
      </w:r>
    </w:p>
    <w:p>
      <w:pPr>
        <w:spacing w:after="0" w:line="215"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New Credit Agreement. We define Adjusted EBITDA as net income or loss before interest, taxes, depreciation, and amortization, as adjusted to exclude charges for asset impairments, share-based compensation expense, severance charges and offering transaction costs. Adjusted EBITDA margin represents Adjusted EBITDA divided by total revenues for the same period. For purposes of comparison, our net (loss) income was $(21.0) million and $11.9 million for the three months ended September 30, 2020 and 2019, respectively, while our net income margin was (22.2)% and 14.4% over the same periods, respectively. Additionally, our net (loss) income was $(79.2) million and $26.3 million for the nine months ended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9915" cy="1587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8" w:name="page49"/>
    <w:bookmarkEnd w:id="4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September 30, 2020 and 2019, respectively, while our net income margin was (28.8)% and 11.2% over the same periods, respectively.</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9"/>
              </w:rPr>
              <w:t>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9"/>
              </w:rPr>
              <w:t>September 30</w:t>
            </w:r>
          </w:p>
        </w:tc>
        <w:tc>
          <w:tcPr>
            <w:tcW w:w="0" w:type="dxa"/>
            <w:vAlign w:val="bottom"/>
          </w:tcPr>
          <w:p>
            <w:pPr>
              <w:spacing w:after="0"/>
              <w:rPr>
                <w:sz w:val="1"/>
                <w:szCs w:val="1"/>
                <w:color w:val="auto"/>
              </w:rPr>
            </w:pPr>
          </w:p>
        </w:tc>
      </w:tr>
      <w:tr>
        <w:trPr>
          <w:trHeight w:val="128"/>
        </w:trPr>
        <w:tc>
          <w:tcPr>
            <w:tcW w:w="4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81"/>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net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 cost of subscription revenues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acquired intangibles - selling and marketing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140,890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charges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59,339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94,605</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82,439</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275,121</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Borders>
              <w:top w:val="single" w:sz="8" w:color="CCEEFF"/>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Adjusted EBITDA margin</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23.8</w:t>
            </w:r>
          </w:p>
        </w:tc>
        <w:tc>
          <w:tcPr>
            <w:tcW w:w="18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23.8</w:t>
            </w:r>
          </w:p>
        </w:tc>
        <w:tc>
          <w:tcPr>
            <w:tcW w:w="18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21.6</w:t>
            </w:r>
          </w:p>
        </w:tc>
        <w:tc>
          <w:tcPr>
            <w:tcW w:w="18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21.6</w:t>
            </w:r>
          </w:p>
        </w:tc>
        <w:tc>
          <w:tcPr>
            <w:tcW w:w="14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increase in Adjusted EBITDA for the three months ended September 30, 2020 of $2.9 million over the comparable period in 2019 is primarily driven by an increase in gross profit, offset by an increase in operating expenses including additional sales and marketing and research and development investments. Adjusted EBITDA margin remained consistent at 23.8% for the three months ended September 30, 2020 over the comparable period in 2019.</w:t>
      </w:r>
    </w:p>
    <w:p>
      <w:pPr>
        <w:spacing w:after="0" w:line="157"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increase in Adjusted EBITDA for the nine months ended September 30, 2020 of $8.6 million over the comparable period in 2019 is primarily driven by an increase in gross profit, offset by an increase in operating expenses including additional sales and marketing and research and development investments. Adjusted EBITDA margin remained consistent at 21.6% for the nine months ended September 30, 2020 over the comparable period in 2019.</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Free Cash Flow and Free Cash Flow Margin.</w:t>
      </w:r>
    </w:p>
    <w:p>
      <w:pPr>
        <w:spacing w:after="0" w:line="215"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Our management uses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redemption of stock appreciation rights (“SARs”) in 2020 in connection with the Offering reflected as a reduction of cash provided by operating activities, less purchases of property and equipment and capitalized software. We define free cash flow margin as free cash flow divided by total revenues for the same period. Our net cash provided by operating activities was $20.0 million and $45.8 million for the nine months ended September 30, 2020 and 2019, respectively, while our operating cash flow margin was 7% and 19% over the same periods, respectively. Net cash used in investing activities was $36.5 million and $25.7 million for the nine months ended September 30, 2020 and 2019, respectively. Net cash provided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9" w:name="page50"/>
    <w:bookmarkEnd w:id="4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by (used in) financing activities was $212.4 million and $(25.5) million for the nine months ended September 30, 2020 and September 30, 2019, respectively.</w:t>
      </w:r>
    </w:p>
    <w:p>
      <w:pPr>
        <w:spacing w:after="0" w:line="143"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8"/>
        </w:trPr>
        <w:tc>
          <w:tcPr>
            <w:tcW w:w="3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Free cash flow:</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Converted SARs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additions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(14,982)</w:t>
            </w:r>
          </w:p>
        </w:tc>
        <w:tc>
          <w:tcPr>
            <w:tcW w:w="140" w:type="dxa"/>
            <w:vAlign w:val="bottom"/>
          </w:tcPr>
          <w:p>
            <w:pPr>
              <w:spacing w:after="0"/>
              <w:rPr>
                <w:sz w:val="17"/>
                <w:szCs w:val="17"/>
                <w:color w:val="auto"/>
              </w:rPr>
            </w:pPr>
          </w:p>
        </w:tc>
        <w:tc>
          <w:tcPr>
            <w:tcW w:w="80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(13,315)</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Capitalized software additions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(9,246)</w:t>
            </w:r>
          </w:p>
        </w:tc>
        <w:tc>
          <w:tcPr>
            <w:tcW w:w="140" w:type="dxa"/>
            <w:vAlign w:val="bottom"/>
          </w:tcPr>
          <w:p>
            <w:pPr>
              <w:spacing w:after="0"/>
              <w:rPr>
                <w:sz w:val="18"/>
                <w:szCs w:val="18"/>
                <w:color w:val="auto"/>
              </w:rPr>
            </w:pPr>
          </w:p>
        </w:tc>
        <w:tc>
          <w:tcPr>
            <w:tcW w:w="80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(12,345)</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Free cash flow margin:</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Free cash flow margin</w:t>
            </w: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6.8</w:t>
            </w: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8.6</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firstLine="296"/>
        <w:spacing w:after="0" w:line="260" w:lineRule="auto"/>
        <w:rPr>
          <w:sz w:val="20"/>
          <w:szCs w:val="20"/>
          <w:color w:val="auto"/>
        </w:rPr>
      </w:pPr>
      <w:r>
        <w:rPr>
          <w:rFonts w:ascii="Times New Roman" w:cs="Times New Roman" w:eastAsia="Times New Roman" w:hAnsi="Times New Roman"/>
          <w:sz w:val="16"/>
          <w:szCs w:val="16"/>
          <w:color w:val="auto"/>
        </w:rPr>
        <w:t>Free cash flow decreased by $1.4 million for the nine months ended September 30, 2020 as compared to the same period in 2019, driven primarily by a decrease in cash from operating activities of $25.8 million due to a $22.9 million payment for redemption of converted SARs in connection with the IPO, a reduction in cash provided by changes in operating assets and liabilities of $9.4 million, partially offset by an increase in non-cash operating activity resulting from increases in depreciation and amortization of $5.4 million and the write-off of deferred financing fees of $1.4 million. The $22.9 million payment for redemption of converted SARs pertain to SARs converted to stock options and immediately redeemed for cash upon the IPO. The reduction in operating assets and liabilities of $9.4 million was primarily due to a reduction in deferred revenue of $9.3 million. Deferred revenue decreased due to a $5.6 million decrease in nonrecurring extended product support fees billed in the first half of 2019 related to older versions of software subscription solutions retired during 2019. The balance of the deferred revenue reduction of $3.7 million is due primarily to modifications to billing frequencies requested by customers, primarily to align all the annual subscription billings for their subscription licenses to the same period. Such billing frequency modification results in a short-term reduction in deferred revenue, but no impact to revenue. The increase in depreciation and amortization of $5.4 million was due to increased development costs related to the release of O Series 9.0 and internal automation projects. The write-off of deferred financing fees of $1.4 million was a result of the redemption of debt during the nine months ended September 30, 2020.</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generate revenue from software subscriptions and services.</w:t>
      </w:r>
    </w:p>
    <w:p>
      <w:pPr>
        <w:spacing w:after="0" w:line="211"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Software Subscriptions</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0" w:name="page51"/>
    <w:bookmarkEnd w:id="5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6"/>
          <w:szCs w:val="16"/>
          <w:color w:val="auto"/>
        </w:rPr>
        <w:t>Our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w:t>
      </w:r>
    </w:p>
    <w:p>
      <w:pPr>
        <w:spacing w:after="0" w:line="153"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64"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upon our historical experience.</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Services Revenue</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64"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Our managed services offering has recently experienced increased revenue associated with returns processing volume increases attributable to regulatory changes, as customers expanded their tax filings into more jurisdictions.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Cost of Revenue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Software Subscriptions</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and developed software for new products and enhancements to existing products and cloud-based subscription solutions.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1" w:name="page52"/>
    <w:bookmarkEnd w:id="5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Services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For the nine months ended September 30, 2020 and 2019, $9.2 million and $12.3 million of software development costs were capitalized, respectively. Capitalized software development costs consist primarily of employee-related and third-party labor costs.</w:t>
      </w:r>
    </w:p>
    <w:p>
      <w:pPr>
        <w:spacing w:after="0" w:line="162"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3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Selling and Marketing Expenses</w:t>
      </w:r>
    </w:p>
    <w:p>
      <w:pPr>
        <w:spacing w:after="0" w:line="215"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acquired intangibles.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53"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We expect our general and administrative expenses to increase in absolute dollars as we continue to expand our operations, hire additional personnel, integrate future acquisitions and incur additional costs associated with becoming a publicly listed company. As a public company, we expect to incur increased expenses related to accounting, tax and auditing activities, legal, insurance, SEC compliance and internal control compliance.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2" w:name="page53"/>
    <w:bookmarkEnd w:id="5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1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Interest expense consists primarily of interest payments and other financing costs on our debt facility. Interest expense includes write downs of deferred financing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acquisition will be recorded as interest expense, as described further in “Note 2— Acquisition” to our interim consolidated financial statements included in this Quarterly Report on Form 10-Q.</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Provision for Taxes</w:t>
      </w:r>
    </w:p>
    <w:p>
      <w:pPr>
        <w:spacing w:after="0" w:line="215"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Prior to July 27, 2020, we have been taxed as an S-corporation for U.S. federal income tax purposes and for income tax purposes in most states. As a result, net income or loss prior to this date has been allocated to our stockholders and included on their individual income tax returns. In certain states, we have been taxed at the corporate level going forward. Accordingly, the income tax provision or benefit for such periods was based on taxable income allocated to those states. In certain foreign jurisdictions, our subsidiaries were taxed at the corporate level. Similar to states, the income tax provision or benefit is based on taxable income sourced to these foreign jurisdictions.</w:t>
      </w:r>
    </w:p>
    <w:p>
      <w:pPr>
        <w:spacing w:after="0" w:line="364"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Effective as of July 27, 2020, we converted to a C-corporation, which will result in net income of the Company being taxed at the corporate level. As such, our provision for taxes will increase. Upon conversion to a C-corporation, we expect a pro forma entity level estimated effective tax rate of approximately 25%, inclusive of all applicable U.S. federal, state, local and foreign income taxes. We recorded a tax benefit of $30.5 million upon such conversion, which is included in the condensed consolidated statement of comprehensive income (loss) for the three months ended September 30, 2020 included in Part 1 – Financial Information in this Quarterly Report on Form 10-Q.</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You should read the following discussion and analysis of our financial condition and results of operations in conjunction with our consolidated financial statements and the notes thereto included elsewhere in this Quarterly Report on Form 10-Q and our Prospectus filed with the SEC on July 30, 2020. The period-to-period comparison of financial results is not necessarily indicative of financial results to be achieved in future periods.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3" w:name="page54"/>
    <w:bookmarkEnd w:id="5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sets forth our consolidated statements of comprehensive income (loss)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 (unaudited)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4"/>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94"/>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4"/>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4"/>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Software subscriptions</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79,778</w:t>
            </w:r>
          </w:p>
        </w:tc>
        <w:tc>
          <w:tcPr>
            <w:tcW w:w="2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71,041</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8,737</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12.3</w:t>
            </w:r>
          </w:p>
        </w:tc>
        <w:tc>
          <w:tcPr>
            <w:tcW w:w="1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232,844</w:t>
            </w:r>
          </w:p>
        </w:tc>
        <w:tc>
          <w:tcPr>
            <w:tcW w:w="26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202,692</w:t>
            </w:r>
          </w:p>
        </w:tc>
        <w:tc>
          <w:tcPr>
            <w:tcW w:w="120" w:type="dxa"/>
            <w:vAlign w:val="bottom"/>
          </w:tcPr>
          <w:p>
            <w:pPr>
              <w:spacing w:after="0"/>
              <w:rPr>
                <w:sz w:val="11"/>
                <w:szCs w:val="11"/>
                <w:color w:val="auto"/>
              </w:rPr>
            </w:pPr>
          </w:p>
        </w:tc>
        <w:tc>
          <w:tcPr>
            <w:tcW w:w="10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30,152</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14.9</w:t>
            </w:r>
          </w:p>
        </w:tc>
        <w:tc>
          <w:tcPr>
            <w:tcW w:w="1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Services</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14,827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11,398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3,429</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30.1</w:t>
            </w:r>
          </w:p>
        </w:tc>
        <w:tc>
          <w:tcPr>
            <w:tcW w:w="16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42,277</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32,736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9,541</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29.1</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94,605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82,439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12,166</w:t>
            </w:r>
          </w:p>
        </w:tc>
        <w:tc>
          <w:tcPr>
            <w:tcW w:w="86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14.8</w:t>
            </w:r>
          </w:p>
        </w:tc>
        <w:tc>
          <w:tcPr>
            <w:tcW w:w="160" w:type="dxa"/>
            <w:vAlign w:val="bottom"/>
            <w:tcBorders>
              <w:bottom w:val="single" w:sz="8" w:color="CCEEFF"/>
            </w:tcBorders>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275,121</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235,428</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39,693</w:t>
            </w:r>
          </w:p>
        </w:tc>
        <w:tc>
          <w:tcPr>
            <w:tcW w:w="82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16.9</w:t>
            </w:r>
          </w:p>
        </w:tc>
        <w:tc>
          <w:tcPr>
            <w:tcW w:w="140" w:type="dxa"/>
            <w:vAlign w:val="bottom"/>
            <w:tcBorders>
              <w:bottom w:val="single" w:sz="8" w:color="CCEEFF"/>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Cost of Revenue:</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Software subscriptions</w:t>
            </w:r>
            <w:r>
              <w:rPr>
                <w:rFonts w:ascii="Times New Roman" w:cs="Times New Roman" w:eastAsia="Times New Roman" w:hAnsi="Times New Roman"/>
                <w:sz w:val="9"/>
                <w:szCs w:val="9"/>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29,161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18,647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10,514</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56.4</w:t>
            </w:r>
          </w:p>
        </w:tc>
        <w:tc>
          <w:tcPr>
            <w:tcW w:w="1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79,846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56,490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23,356</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41.3</w:t>
            </w:r>
          </w:p>
        </w:tc>
        <w:tc>
          <w:tcPr>
            <w:tcW w:w="1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Services</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18,807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8,786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10,021</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114.1</w:t>
            </w:r>
          </w:p>
        </w:tc>
        <w:tc>
          <w:tcPr>
            <w:tcW w:w="16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49,329</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23,616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25,713</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108.9</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color w:val="auto"/>
              </w:rPr>
              <w:t>Total cost of revenues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47,968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27,433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20,535</w:t>
            </w:r>
          </w:p>
        </w:tc>
        <w:tc>
          <w:tcPr>
            <w:tcW w:w="86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74.9</w:t>
            </w:r>
          </w:p>
        </w:tc>
        <w:tc>
          <w:tcPr>
            <w:tcW w:w="160" w:type="dxa"/>
            <w:vAlign w:val="bottom"/>
            <w:tcBorders>
              <w:bottom w:val="single" w:sz="8" w:color="CCEEFF"/>
            </w:tcBorders>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129,175</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80,106</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49,069</w:t>
            </w:r>
          </w:p>
        </w:tc>
        <w:tc>
          <w:tcPr>
            <w:tcW w:w="82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tcBorders>
              <w:bottom w:val="single" w:sz="8" w:color="CCEEFF"/>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46,637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55,006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(8,369)</w:t>
            </w:r>
          </w:p>
        </w:tc>
        <w:tc>
          <w:tcPr>
            <w:tcW w:w="10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(15.2)%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145,946</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155,322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(9,376)</w:t>
            </w:r>
          </w:p>
        </w:tc>
        <w:tc>
          <w:tcPr>
            <w:tcW w:w="96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16,501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7,271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9,230</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126.9</w:t>
            </w:r>
          </w:p>
        </w:tc>
        <w:tc>
          <w:tcPr>
            <w:tcW w:w="16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43,197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22,049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21,148</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95.9</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Selling and marketing</w:t>
            </w:r>
            <w:r>
              <w:rPr>
                <w:rFonts w:ascii="Times New Roman" w:cs="Times New Roman" w:eastAsia="Times New Roman" w:hAnsi="Times New Roman"/>
                <w:sz w:val="9"/>
                <w:szCs w:val="9"/>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29,423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15,830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13,593</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85.9</w:t>
            </w:r>
          </w:p>
        </w:tc>
        <w:tc>
          <w:tcPr>
            <w:tcW w:w="1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78,300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49,164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29,136</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59.3</w:t>
            </w:r>
          </w:p>
        </w:tc>
        <w:tc>
          <w:tcPr>
            <w:tcW w:w="1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48,043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17,263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30,780</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178.3</w:t>
            </w:r>
          </w:p>
        </w:tc>
        <w:tc>
          <w:tcPr>
            <w:tcW w:w="16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123,437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49,358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74,079</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150.1</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2,735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424</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18.3</w:t>
            </w:r>
          </w:p>
        </w:tc>
        <w:tc>
          <w:tcPr>
            <w:tcW w:w="1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1,581</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24.2</w:t>
            </w:r>
          </w:p>
        </w:tc>
        <w:tc>
          <w:tcPr>
            <w:tcW w:w="1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Other operating expense</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(64)</w:t>
            </w:r>
          </w:p>
        </w:tc>
        <w:tc>
          <w:tcPr>
            <w:tcW w:w="102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(1,600.0)%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154</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472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(318)</w:t>
            </w:r>
          </w:p>
        </w:tc>
        <w:tc>
          <w:tcPr>
            <w:tcW w:w="96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(67.4)%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96,642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42,679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53,963</w:t>
            </w:r>
          </w:p>
        </w:tc>
        <w:tc>
          <w:tcPr>
            <w:tcW w:w="86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126.4</w:t>
            </w:r>
          </w:p>
        </w:tc>
        <w:tc>
          <w:tcPr>
            <w:tcW w:w="160" w:type="dxa"/>
            <w:vAlign w:val="bottom"/>
            <w:tcBorders>
              <w:bottom w:val="single" w:sz="8" w:color="CCEEFF"/>
            </w:tcBorders>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253,197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127,571</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125,626</w:t>
            </w:r>
          </w:p>
        </w:tc>
        <w:tc>
          <w:tcPr>
            <w:tcW w:w="820" w:type="dxa"/>
            <w:vAlign w:val="bottom"/>
            <w:tcBorders>
              <w:bottom w:val="single" w:sz="8" w:color="CCEEFF"/>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98.5</w:t>
            </w:r>
          </w:p>
        </w:tc>
        <w:tc>
          <w:tcPr>
            <w:tcW w:w="140" w:type="dxa"/>
            <w:vAlign w:val="bottom"/>
            <w:tcBorders>
              <w:bottom w:val="single" w:sz="8" w:color="CCEEFF"/>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Income (loss) from operations</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(50,005)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12,327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(62,332)</w:t>
            </w:r>
          </w:p>
        </w:tc>
        <w:tc>
          <w:tcPr>
            <w:tcW w:w="10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(505.7)%</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(107,251)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27,751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(135,002)</w:t>
            </w:r>
          </w:p>
        </w:tc>
        <w:tc>
          <w:tcPr>
            <w:tcW w:w="96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(486.5)%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172</w:t>
            </w:r>
          </w:p>
        </w:tc>
        <w:tc>
          <w:tcPr>
            <w:tcW w:w="102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(68.5)%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(535)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(775)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240</w:t>
            </w:r>
          </w:p>
        </w:tc>
        <w:tc>
          <w:tcPr>
            <w:tcW w:w="96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1,875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503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1,372</w:t>
            </w:r>
          </w:p>
        </w:tc>
        <w:tc>
          <w:tcPr>
            <w:tcW w:w="86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272.8</w:t>
            </w:r>
          </w:p>
        </w:tc>
        <w:tc>
          <w:tcPr>
            <w:tcW w:w="160" w:type="dxa"/>
            <w:vAlign w:val="bottom"/>
            <w:tcBorders>
              <w:bottom w:val="single" w:sz="8" w:color="CCEEFF"/>
            </w:tcBorders>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3,959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1,579</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2,380</w:t>
            </w:r>
          </w:p>
        </w:tc>
        <w:tc>
          <w:tcPr>
            <w:tcW w:w="82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150.7</w:t>
            </w:r>
          </w:p>
        </w:tc>
        <w:tc>
          <w:tcPr>
            <w:tcW w:w="140" w:type="dxa"/>
            <w:vAlign w:val="bottom"/>
            <w:tcBorders>
              <w:bottom w:val="single" w:sz="8" w:color="CCEEFF"/>
            </w:tcBorders>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shd w:val="clear" w:color="auto" w:fill="CCEEFF"/>
          </w:tcPr>
          <w:p>
            <w:pPr>
              <w:ind w:left="280"/>
              <w:spacing w:after="0" w:line="128" w:lineRule="exact"/>
              <w:rPr>
                <w:sz w:val="20"/>
                <w:szCs w:val="20"/>
                <w:color w:val="auto"/>
              </w:rPr>
            </w:pPr>
            <w:r>
              <w:rPr>
                <w:rFonts w:ascii="Times New Roman" w:cs="Times New Roman" w:eastAsia="Times New Roman" w:hAnsi="Times New Roman"/>
                <w:sz w:val="13"/>
                <w:szCs w:val="13"/>
                <w:color w:val="auto"/>
              </w:rPr>
              <w:t>Total other expense, net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1,796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252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1,544</w:t>
            </w: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612.7</w:t>
            </w:r>
          </w:p>
        </w:tc>
        <w:tc>
          <w:tcPr>
            <w:tcW w:w="1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3,424</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804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2,620</w:t>
            </w:r>
          </w:p>
        </w:tc>
        <w:tc>
          <w:tcPr>
            <w:tcW w:w="8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325.9</w:t>
            </w:r>
          </w:p>
        </w:tc>
        <w:tc>
          <w:tcPr>
            <w:tcW w:w="1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ind w:left="180"/>
              <w:spacing w:after="0" w:line="96" w:lineRule="exact"/>
              <w:rPr>
                <w:sz w:val="20"/>
                <w:szCs w:val="20"/>
                <w:color w:val="auto"/>
              </w:rPr>
            </w:pPr>
            <w:r>
              <w:rPr>
                <w:rFonts w:ascii="Times New Roman" w:cs="Times New Roman" w:eastAsia="Times New Roman" w:hAnsi="Times New Roman"/>
                <w:sz w:val="11"/>
                <w:szCs w:val="11"/>
                <w:color w:val="auto"/>
              </w:rPr>
              <w:t>Income (loss) before income</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(51,801)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12,075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(63,876)</w:t>
            </w:r>
          </w:p>
        </w:tc>
        <w:tc>
          <w:tcPr>
            <w:tcW w:w="10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(529.0)%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(110,675)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26,947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(137,622)</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(510.7)%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3"/>
                <w:szCs w:val="13"/>
                <w:color w:val="auto"/>
              </w:rPr>
              <w:t>Income tax (benefit) expense</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(30,773)</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(30,948)</w:t>
            </w:r>
          </w:p>
        </w:tc>
        <w:tc>
          <w:tcPr>
            <w:tcW w:w="102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(17,684.6)%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(31,508)</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(32,108)</w:t>
            </w:r>
          </w:p>
        </w:tc>
        <w:tc>
          <w:tcPr>
            <w:tcW w:w="96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(5,351.3)%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Net (loss) income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(21,028)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11,900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(32,928)</w:t>
            </w:r>
          </w:p>
        </w:tc>
        <w:tc>
          <w:tcPr>
            <w:tcW w:w="10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(276.7)%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(79,167)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26,347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(105,514)</w:t>
            </w:r>
          </w:p>
        </w:tc>
        <w:tc>
          <w:tcPr>
            <w:tcW w:w="96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auto"/>
              </w:rPr>
              <w:t>(400.5)%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comprehensive loss from</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1,895.5</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translations</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(21,266)</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11,726</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(32,992)</w:t>
            </w:r>
          </w:p>
        </w:tc>
        <w:tc>
          <w:tcPr>
            <w:tcW w:w="10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(281.4)%</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(82,679)</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26,171</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(108,850)</w:t>
            </w:r>
          </w:p>
        </w:tc>
        <w:tc>
          <w:tcPr>
            <w:tcW w:w="96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auto"/>
              </w:rPr>
              <w:t>(415.9)%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80" w:right="179" w:hanging="303"/>
        <w:spacing w:after="0" w:line="297" w:lineRule="auto"/>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stock-based compensation expenses as follows in the table below. For more details, see “Seasonality and Quarterly Trends.”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4" w:name="page55"/>
    <w:bookmarkEnd w:id="5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8"/>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8"/>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5"/>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3"/>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4"/>
          </w:tcPr>
          <w:p>
            <w:pPr>
              <w:jc w:val="center"/>
              <w:ind w:right="43"/>
              <w:spacing w:after="0" w:line="94"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58"/>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 software subscriptions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198"/>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 services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198"/>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190"/>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3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64,294</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140,890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our total revenue for the periods presented.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00" w:type="dxa"/>
            <w:vAlign w:val="bottom"/>
            <w:gridSpan w:val="4"/>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80" w:type="dxa"/>
            <w:vAlign w:val="bottom"/>
            <w:gridSpan w:val="4"/>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00" w:type="dxa"/>
            <w:vAlign w:val="bottom"/>
            <w:gridSpan w:val="4"/>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80" w:type="dxa"/>
            <w:vAlign w:val="bottom"/>
            <w:gridSpan w:val="4"/>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2"/>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tcPr>
          <w:p>
            <w:pPr>
              <w:jc w:val="right"/>
              <w:ind w:right="340"/>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subscriptions</w:t>
            </w:r>
          </w:p>
        </w:tc>
        <w:tc>
          <w:tcPr>
            <w:tcW w:w="222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color w:val="auto"/>
              </w:rPr>
              <w:t>84.3 %</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86.2 %</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84.6 %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15.7 %</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3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subscriptions</w:t>
            </w:r>
          </w:p>
        </w:tc>
        <w:tc>
          <w:tcPr>
            <w:tcW w:w="222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color w:val="auto"/>
              </w:rPr>
              <w:t>30.8 %</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22.6 %</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29.0 %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19.9 %</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17.9 %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 of revenues</w:t>
            </w:r>
          </w:p>
        </w:tc>
        <w:tc>
          <w:tcPr>
            <w:tcW w:w="138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4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2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17.4 %</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8.8 %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15.7 %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and marketing</w:t>
            </w:r>
          </w:p>
        </w:tc>
        <w:tc>
          <w:tcPr>
            <w:tcW w:w="222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color w:val="auto"/>
              </w:rPr>
              <w:t>31.1 %</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19.2 %</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28.5 %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50.8 %</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20.9 %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44.9 %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2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color w:val="auto"/>
              </w:rPr>
              <w:t>2.9 %</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2.8 %</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38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2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3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2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color w:val="auto"/>
              </w:rPr>
              <w:t>2.0 %</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0.6 %</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(32.5)%</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3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from foreign currency translations</w:t>
            </w:r>
          </w:p>
        </w:tc>
        <w:tc>
          <w:tcPr>
            <w:tcW w:w="2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0.3 %</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0.2 %</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0"/>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3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80" w:type="dxa"/>
            <w:vAlign w:val="bottom"/>
            <w:vMerge w:val="restart"/>
          </w:tcPr>
          <w:p>
            <w:pPr>
              <w:jc w:val="right"/>
              <w:ind w:right="858"/>
              <w:spacing w:after="0"/>
              <w:rPr>
                <w:sz w:val="20"/>
                <w:szCs w:val="20"/>
                <w:color w:val="auto"/>
              </w:rPr>
            </w:pPr>
            <w:r>
              <w:rPr>
                <w:rFonts w:ascii="Times New Roman" w:cs="Times New Roman" w:eastAsia="Times New Roman" w:hAnsi="Times New Roman"/>
                <w:sz w:val="16"/>
                <w:szCs w:val="16"/>
                <w:color w:val="auto"/>
              </w:rPr>
              <w:t>-55-</w:t>
            </w: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1" w:right="1440" w:bottom="1440" w:gutter="0" w:footer="0" w:header="0"/>
        </w:sectPr>
      </w:pPr>
    </w:p>
    <w:bookmarkStart w:id="55" w:name="page56"/>
    <w:bookmarkEnd w:id="5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 Compared to Three Months Ended September 30, 2019</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Period-over-Period change</w:t>
            </w:r>
          </w:p>
        </w:tc>
        <w:tc>
          <w:tcPr>
            <w:tcW w:w="0" w:type="dxa"/>
            <w:vAlign w:val="bottom"/>
          </w:tcPr>
          <w:p>
            <w:pPr>
              <w:spacing w:after="0"/>
              <w:rPr>
                <w:sz w:val="1"/>
                <w:szCs w:val="1"/>
                <w:color w:val="auto"/>
              </w:rPr>
            </w:pPr>
          </w:p>
        </w:tc>
      </w:tr>
      <w:tr>
        <w:trPr>
          <w:trHeight w:val="128"/>
        </w:trPr>
        <w:tc>
          <w:tcPr>
            <w:tcW w:w="356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8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subscriptions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79,778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71,041</w:t>
            </w: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14,827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11,398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0" w:type="dxa"/>
            <w:vAlign w:val="bottom"/>
          </w:tcPr>
          <w:p>
            <w:pPr>
              <w:spacing w:after="0"/>
              <w:rPr>
                <w:sz w:val="1"/>
                <w:szCs w:val="1"/>
                <w:color w:val="auto"/>
              </w:rPr>
            </w:pPr>
          </w:p>
        </w:tc>
      </w:t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94,605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82,439</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Revenue increased $12.2 million, or 14.8%, to $94.6 million for the three months ended September 30, 2020 compared to $82.4 million for the three months ended September 30, 2019. The increase in software subscriptions revenue of $8.7 million, or 12.3%, was primarily driven by $7.7 million in revenue growth derived from our existing customers and $1.0 million of revenue growth from new customers.</w:t>
      </w:r>
    </w:p>
    <w:p>
      <w:pPr>
        <w:spacing w:after="0" w:line="157"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$3.4 million increase in services revenue is primarily driven by an increase of $2.9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$0.5 million increase in recurring services revenue over the prior year due to returns processing volume increases related to regulatory changes as customers expanded their tax filings into more jurisdictions.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Cost of Software Subscriptions Revenue</w:t>
      </w:r>
    </w:p>
    <w:p>
      <w:pPr>
        <w:spacing w:after="0" w:line="234"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4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2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40" w:type="dxa"/>
            <w:vAlign w:val="bottom"/>
            <w:tcBorders>
              <w:top w:val="single" w:sz="8" w:color="auto"/>
            </w:tcBorders>
            <w:gridSpan w:val="2"/>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software subscription revenue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29,161</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18,647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10,514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Cost of software subscriptions revenue increased $10.5 million, or 56.4%, to $29.2 million for the three months ended September 30, 2020 compared to $18.6 million for the three months ended September 30, 2019. Of this increase, 59.1% is due to an increase in stock-based compensation of $6.3 million for the three months ended September 30, 2020 over the same period in 2019. After excluding the impact of stock-based compensation there is a remaining increase of $4.2 million. Of this increase, $0.6 million is due primarily to increased amortization expense associated with late Q3 2019 release of O Series 9.0. The remaining $3.6 million variance is associated with increased costs of personnel supporting year-over-year growth of sales and customers and ongoing infrastructure investments to support expansion of customer transaction volumes for our cloud-based subscription customers. As a percentage of total revenue, the cost of software subscriptions revenue increased to 30.8% for the three months ended September 30, 2020 compared to 22.6% in September 30, 2019. Adjusting for the increase in stock-based compensation in 2020, cost of software subscriptions as a percentage of total revenue would have been 24.1% for the three months ended September 30, 2020.</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Cost of Services Revenue</w:t>
      </w:r>
    </w:p>
    <w:p>
      <w:pPr>
        <w:spacing w:after="0" w:line="234"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4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2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services revenue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18,807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10,021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Cost of services revenue increased $10.0 million, or 114.1%, to $18.8 million for the three months ended September 30, 2020 compared to $8.8 million for the three months ended September 30, 2019. Of this increase, 90.1% is due to an increase in stock-based compensation of $9.2 million for the three months ended September 30, 2020 over the same period in 2019. The balance of the increase of $0.8 million is primarily due to headcount growth in the service delivery areas to support revenue growth in software subscription related services and our managed services offering. As a percentage of total revenue, cost of services revenue increased to 19.9% in 2020 compared to 10.7% in 2019. Adjusting for the increase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6" w:name="page57"/>
    <w:bookmarkEnd w:id="5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in stock-based compensation in 2020, cost of services revenue as a percentage of total revenue would have been 10.1% for the three months ended September 30, 2020.</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34"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4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2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16,501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9,230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Research and development expenses increased $9.2 million, or 126.9%, to $16.5 million for the three months ended September 30, 2020 compared to $7.3 million for the three months ended September 30, 2019. Of this increase, 67.3% is due to an increase in stock-based compensation of $6.3 million for the three months ended September 30, 2020 over the same period in 2019 for personnel that participate in the Company’s stock-based compensation plans. The balance of the increase of $2.9 million is primarily due to costs associated with increased development activity associated with nascent technologies and new solutions to address end-to-end data analysis and compliance needs of our customers. As a percentage of total revenue, research and development expenses increased to 17.4% for the three months ended September 30, 2020 compared to 8.8% for the three months ended September 30, 2019, driven in part by our expanded investment in developing our global compliance reporting solution. Adjusting for the increase in stock-based compensation in 2020, research and development expenses as a percentage of total revenue would have been 10.7% for the three months ended September 30, 2020.</w:t>
      </w:r>
    </w:p>
    <w:p>
      <w:pPr>
        <w:spacing w:after="0" w:line="16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Research and development expense excludes those costs that have been capitalized for solutions that have met our capitalization policy.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Selling and Marketing</w:t>
      </w:r>
    </w:p>
    <w:p>
      <w:pPr>
        <w:spacing w:after="0" w:line="234"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4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2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40" w:type="dxa"/>
            <w:vAlign w:val="bottom"/>
            <w:tcBorders>
              <w:top w:val="single" w:sz="8" w:color="auto"/>
            </w:tcBorders>
            <w:gridSpan w:val="2"/>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29,423</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15,830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13,593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Selling and marketing expenses increased $13.6 million, or 85.9%, to $29.4 million for the three months ended September 30, 2020 compared to $15.8 million for the same period in 2019. Of this increase, 92.4% is due to an increase in stock-based compensation of $12.8 million for the three months ended September 30, 2020 over the same period in 2019. The balance of the increase of $0.8 million is primarily due to an increase in payroll and related expenses associated with the growth in year-over-year subscription sales and services revenue and expansion of our partner and channel management programs.. As a percentage of total revenue, selling and marketing expenses increased to 31.1% for the three months ended September 30, 2020 compared to 19.2% for the same period in 2019. Adjusting for the increase in stock-based compensation in 2020, selling and marketing expenses as a percentage of total revenue would have been 17.5% for the three months ended September 30, 2020.</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34"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4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2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40" w:type="dxa"/>
            <w:vAlign w:val="bottom"/>
            <w:tcBorders>
              <w:top w:val="single" w:sz="8" w:color="auto"/>
            </w:tcBorders>
            <w:gridSpan w:val="2"/>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48,043</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17,263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30,780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increased $30.8 million, or 178.3%, to $48.0 million for the three months ended September 30, 2020 compared to $17.3 million for the same period in 2019. Of this increase, 94.1% is due to an increase in stock-based compensation of $29.6 million for the three months ended September 30, 2020 over the same period in 2019. The balance of the increase of $1.2 million is primarily due to planned strategic investments in information technology infrastructure, business process reengineering and other initiatives to drive future operating leverage, as well as investments in employees and other systems and resources in support of our growth. Due to these factors, as a percentage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7" w:name="page58"/>
    <w:bookmarkEnd w:id="5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6"/>
          <w:szCs w:val="16"/>
          <w:color w:val="auto"/>
        </w:rPr>
        <w:t>of total revenue, general and administrative expenses increased to 50.8% for the three months ended September 30, 2020 compared to 20.9% for the same period in 2019. Adjusting for the increase in stock-based compensation in 2020, general and administrative expenses as a percentage of total revenue would have been 19.5% for the three months ended September 30, 2020.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34"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336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66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20" w:type="dxa"/>
            <w:vAlign w:val="bottom"/>
            <w:tcBorders>
              <w:top w:val="single" w:sz="8" w:color="auto"/>
            </w:tcBorders>
            <w:gridSpan w:val="2"/>
          </w:tcPr>
          <w:p>
            <w:pPr>
              <w:jc w:val="right"/>
              <w:ind w:right="11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20" w:type="dxa"/>
            <w:vAlign w:val="bottom"/>
          </w:tcPr>
          <w:p>
            <w:pPr>
              <w:spacing w:after="0"/>
              <w:rPr>
                <w:sz w:val="16"/>
                <w:szCs w:val="16"/>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2,735</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2,311</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424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Depreciation and amortization increased $0.4 million, or 18.3%, to $2.7 million for the three months ended September 30, 2020 compared to $2.3 million for the same period in 2019. The increase was primarily due to the impact of infrastructure and technology purchases placed in service in 2019 and other capitalized infrastructure costs to support our growth. As a percentage of revenue, depreciation expense was relative consistent at 2.9% for the three months ended September 30, 2020 compared to 2.8% for the same period in 2019.</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22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-3810</wp:posOffset>
            </wp:positionV>
            <wp:extent cx="9410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1070" cy="7620"/>
                    </a:xfrm>
                    <a:prstGeom prst="rect">
                      <a:avLst/>
                    </a:prstGeom>
                    <a:noFill/>
                  </pic:spPr>
                </pic:pic>
              </a:graphicData>
            </a:graphic>
          </wp:anchor>
        </w:drawing>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172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81"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Interest income for the three months ended September 30, 2020 decreased $0.2 million or 56.5% due primarily to a significant decline in money market investment yields as compared to the same period in 2019.</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2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-3810</wp:posOffset>
            </wp:positionV>
            <wp:extent cx="9410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1070" cy="7620"/>
                    </a:xfrm>
                    <a:prstGeom prst="rect">
                      <a:avLst/>
                    </a:prstGeom>
                    <a:noFill/>
                  </pic:spPr>
                </pic:pic>
              </a:graphicData>
            </a:graphic>
          </wp:anchor>
        </w:drawing>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1,875</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1,372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81"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Interest expense increased $1.4 million, or 272.8%, to $1.9 million for the three months ended September 30, 2020 compared to $0.5 million for the same period in 2019. The increase is primarily due to the writedown of deferred financing fees of $1.4 million in connection with the July 2020 payoff of the New Term Loan with a portion of the proceeds from the IPO. This is offset by reductions in interest expense of $0.1 million due to the Company having no outstanding debt during the three months ended September 30, 2020 after this payoff, as compared to $51.6 million in outstanding debt for the same period in 2019.</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Provision for Taxes</w:t>
      </w:r>
    </w:p>
    <w:p>
      <w:pPr>
        <w:spacing w:after="0" w:line="234"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-3810</wp:posOffset>
            </wp:positionV>
            <wp:extent cx="9334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3450" cy="7620"/>
                    </a:xfrm>
                    <a:prstGeom prst="rect">
                      <a:avLst/>
                    </a:prstGeom>
                    <a:noFill/>
                  </pic:spPr>
                </pic:pic>
              </a:graphicData>
            </a:graphic>
          </wp:anchor>
        </w:drawing>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2020</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3"/>
                <w:szCs w:val="13"/>
                <w:color w:val="auto"/>
              </w:rPr>
            </w:pPr>
          </w:p>
        </w:tc>
        <w:tc>
          <w:tcPr>
            <w:tcW w:w="19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0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vMerge w:val="continue"/>
            <w:shd w:val="clear" w:color="auto" w:fill="CCEEFF"/>
          </w:tcPr>
          <w:p>
            <w:pPr>
              <w:spacing w:after="0"/>
              <w:rPr>
                <w:sz w:val="16"/>
                <w:szCs w:val="16"/>
                <w:color w:val="auto"/>
              </w:rPr>
            </w:pPr>
          </w:p>
        </w:tc>
        <w:tc>
          <w:tcPr>
            <w:tcW w:w="200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(30,773)</w:t>
            </w:r>
          </w:p>
        </w:tc>
        <w:tc>
          <w:tcPr>
            <w:tcW w:w="1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w:t>
            </w:r>
          </w:p>
        </w:tc>
        <w:tc>
          <w:tcPr>
            <w:tcW w:w="18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  (30,948)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(17,684.6)%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Income tax expense decreased $30.9 million, or 17,684.6%, to a $(30.8) million income tax benefit for the three months ended September 30, 2020 compared to $0.2 million of income tax expense for the same period in 2019. The decrease was primarily due to a pretax loss resulting from an increase in stock-based compensation in 2020. As a percentage of revenue, income tax benefit increased to (32.5)% for the three months ended September 30, 2020 compared to expense of 0.2% for the same period in 2019 due to a pretax loss in 2020 resulting from an increase in stock-based compensation.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8" w:name="page59"/>
    <w:bookmarkEnd w:id="5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 Compared to Nine Months Ended September 30, 2019</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Period-over-Period change</w:t>
            </w:r>
          </w:p>
        </w:tc>
        <w:tc>
          <w:tcPr>
            <w:tcW w:w="0" w:type="dxa"/>
            <w:vAlign w:val="bottom"/>
          </w:tcPr>
          <w:p>
            <w:pPr>
              <w:spacing w:after="0"/>
              <w:rPr>
                <w:sz w:val="1"/>
                <w:szCs w:val="1"/>
                <w:color w:val="auto"/>
              </w:rPr>
            </w:pPr>
          </w:p>
        </w:tc>
      </w:tr>
      <w:tr>
        <w:trPr>
          <w:trHeight w:val="128"/>
        </w:trPr>
        <w:tc>
          <w:tcPr>
            <w:tcW w:w="342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2"/>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8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Software subscriptions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202,692</w:t>
            </w: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1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0" w:type="dxa"/>
            <w:vAlign w:val="bottom"/>
          </w:tcPr>
          <w:p>
            <w:pPr>
              <w:spacing w:after="0"/>
              <w:rPr>
                <w:sz w:val="1"/>
                <w:szCs w:val="1"/>
                <w:color w:val="auto"/>
              </w:rPr>
            </w:pPr>
          </w:p>
        </w:tc>
      </w:tr>
      <w:tr>
        <w:trPr>
          <w:trHeight w:val="190"/>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275,121</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235,428</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firstLine="296"/>
        <w:spacing w:after="0" w:line="274" w:lineRule="auto"/>
        <w:rPr>
          <w:sz w:val="20"/>
          <w:szCs w:val="20"/>
          <w:color w:val="auto"/>
        </w:rPr>
      </w:pPr>
      <w:r>
        <w:rPr>
          <w:rFonts w:ascii="Times New Roman" w:cs="Times New Roman" w:eastAsia="Times New Roman" w:hAnsi="Times New Roman"/>
          <w:sz w:val="16"/>
          <w:szCs w:val="16"/>
          <w:color w:val="auto"/>
        </w:rPr>
        <w:t>Revenue increased $39.7 million, or 16.9%, to $275.1 million for the nine months ended September 30, 2020 compared to $235.4 million for the nine months ended September 30, 2019. The increase in software subscriptions revenue of $30.2 million, or 14.9%, was primarily driven by $27.1 million in revenue growth derived from our existing customers and $3.1 million of revenue from new customers.</w:t>
      </w:r>
    </w:p>
    <w:p>
      <w:pPr>
        <w:spacing w:after="0" w:line="358"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$9.5 million increase in services revenue is primarily driven by an increase of $7.7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$1.8 million increase in recurring services revenue over the prior year due to returns processing volume increases related to regulatory changes as customers expanded their tax filings into more jurisdictions.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Cost of Software Subscriptions Revenue</w:t>
      </w:r>
    </w:p>
    <w:p>
      <w:pPr>
        <w:spacing w:after="0" w:line="234"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28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34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68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4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tcPr>
          <w:p>
            <w:pPr>
              <w:jc w:val="right"/>
              <w:ind w:right="17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software subscription 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79,846</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56,490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rPr>
              <w:t>23,356</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Cost of software subscriptions revenue increased $23.4 million, or 41.3%, to $79.8 million for the nine months ended September 30, 2020 compared to $56.5 million for the nine months ended September 30, 2019. Of this increase, 58.3% is due to an increase in stock-based compensation of $14.0 million for the nine months ended September 30, 2020 over the same period in 2019. After excluding the impact of stock-based compensation there is a remaining increase of $9.4 million. Of this increase, $1.8 million is due primarily to increased amortization expense associated with the late Q3 2019 release of O Series 9.0. The remaining $7.6 million variance is associated with increased costs of personnel supporting year-over-year growth of sales and customers and ongoing infrastructure investments to support expansion of customer transaction volumes for our cloud-based subscription customers. As a percentage of total revenue, the cost of software subscriptions revenue increased to 29.0% for the nine months ended September 30, 2020 compared to 24.0% in September 30, 2019. Adjusting for the increase in stock-based compensation in 2020, cost of software subscriptions as a percentage of total revenue would have been 23.9% for the nine months ended September 30, 2020.</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Cost of Services Revenue</w:t>
      </w:r>
    </w:p>
    <w:p>
      <w:pPr>
        <w:spacing w:after="0" w:line="234"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3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00" w:type="dxa"/>
            <w:vAlign w:val="bottom"/>
            <w:tcBorders>
              <w:top w:val="single" w:sz="8" w:color="auto"/>
            </w:tcBorders>
          </w:tcPr>
          <w:p>
            <w:pPr>
              <w:jc w:val="right"/>
              <w:ind w:right="14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60" w:type="dxa"/>
            <w:vAlign w:val="bottom"/>
            <w:tcBorders>
              <w:top w:val="single" w:sz="8" w:color="auto"/>
            </w:tcBorders>
            <w:gridSpan w:val="2"/>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right"/>
              <w:ind w:right="17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services revenue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49,329</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23,616</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6"/>
                <w:szCs w:val="16"/>
                <w:color w:val="auto"/>
              </w:rPr>
              <w:t>25,713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356"/>
        <w:spacing w:after="0" w:line="267" w:lineRule="auto"/>
        <w:rPr>
          <w:sz w:val="20"/>
          <w:szCs w:val="20"/>
          <w:color w:val="auto"/>
        </w:rPr>
      </w:pPr>
      <w:r>
        <w:rPr>
          <w:rFonts w:ascii="Times New Roman" w:cs="Times New Roman" w:eastAsia="Times New Roman" w:hAnsi="Times New Roman"/>
          <w:sz w:val="16"/>
          <w:szCs w:val="16"/>
          <w:color w:val="auto"/>
        </w:rPr>
        <w:t>Cost of services revenue increased $25.7 million, or 108.9%, to $49.3 million for the nine months ended September 30, 2020 compared to $23.6 million for the nine months ended September 30, 2019. Of this increase, 78.3% is due to an increase in stock-based compensation of $20.7 million for the nine months ended September 30, 2020 over the same period in 2019. The balance of the increase of $5.0 million is primarily due to headcount growth in the service delivery areas to support revenue growth in software subscription related services and our managed services offering. As a percentage of</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9" w:name="page60"/>
    <w:bookmarkEnd w:id="5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6"/>
          <w:szCs w:val="16"/>
          <w:color w:val="auto"/>
        </w:rPr>
        <w:t>total revenue, cost of services revenue increased to 17.9% in 2020 compared to 10.0% in 2019. Adjusting for the increase in stock-based compensation in 2020, cost of services revenue as a percentage of total revenue would have been 12.8% for the nine months ended September 30, 2020.</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34"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3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00" w:type="dxa"/>
            <w:vAlign w:val="bottom"/>
            <w:tcBorders>
              <w:top w:val="single" w:sz="8" w:color="auto"/>
            </w:tcBorders>
          </w:tcPr>
          <w:p>
            <w:pPr>
              <w:jc w:val="right"/>
              <w:ind w:right="14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60" w:type="dxa"/>
            <w:vAlign w:val="bottom"/>
            <w:tcBorders>
              <w:top w:val="single" w:sz="8" w:color="auto"/>
            </w:tcBorders>
            <w:gridSpan w:val="2"/>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right"/>
              <w:ind w:right="178"/>
              <w:spacing w:after="0" w:line="128" w:lineRule="exact"/>
              <w:rPr>
                <w:sz w:val="20"/>
                <w:szCs w:val="20"/>
                <w:color w:val="auto"/>
              </w:rPr>
            </w:pPr>
            <w:r>
              <w:rPr>
                <w:rFonts w:ascii="Times New Roman" w:cs="Times New Roman" w:eastAsia="Times New Roman" w:hAnsi="Times New Roman"/>
                <w:sz w:val="13"/>
                <w:szCs w:val="13"/>
                <w:b w:val="1"/>
                <w:bCs w:val="1"/>
                <w:color w:val="auto"/>
                <w:w w:val="99"/>
              </w:rPr>
              <w:t>Period-over-Period change</w:t>
            </w:r>
          </w:p>
        </w:tc>
      </w:tr>
      <w:tr>
        <w:trPr>
          <w:trHeight w:val="190"/>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43,197</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22,049</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rPr>
              <w:t>21,148</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Research and development expenses increased $21.1 million, or 95.9%, to $43.2 million for the nine months ended September 30, 2020 compared to $22.0 million for the nine months ended September 30, 2019. Of this increase, 64.3% is due to an increase in stock-based compensation of $14.0 million for the nine months ended September 30, 2020 over the same period in 2019 for personnel that participate in the Company’s stock-based compensation plans. The balance of the increase of $7.1 million is primarily due to costs associated with increased development activity associated with nascent technologies and new solutions to address end-to-end data analysis and compliance needs of our customers. As a percentage of total revenue, research and development expenses increased to 15.7% for the nine months ended September 30, 2020 compared to 9.4% for the nine months ended September 30, 2019, driven in part by our expanded investment in developing our global compliance reporting solution. Adjusting for the increase in stock-based compensation in 2020, research and development expenses as a percentage of total revenue would have been 10.6% for the nine months ended September 30, 2020.</w:t>
      </w:r>
    </w:p>
    <w:p>
      <w:pPr>
        <w:spacing w:after="0" w:line="16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Research and development expense excludes those costs that have been capitalized for solutions that have met our capitalization policy.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Selling and Marketing</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7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September 30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40" w:type="dxa"/>
            <w:vAlign w:val="bottom"/>
            <w:vMerge w:val="continue"/>
          </w:tcPr>
          <w:p>
            <w:pPr>
              <w:spacing w:after="0"/>
              <w:rPr>
                <w:sz w:val="15"/>
                <w:szCs w:val="15"/>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w w:val="99"/>
              </w:rPr>
              <w:t>Period-over-Period change</w:t>
            </w:r>
          </w:p>
        </w:tc>
        <w:tc>
          <w:tcPr>
            <w:tcW w:w="0" w:type="dxa"/>
            <w:vAlign w:val="bottom"/>
          </w:tcPr>
          <w:p>
            <w:pPr>
              <w:spacing w:after="0"/>
              <w:rPr>
                <w:sz w:val="1"/>
                <w:szCs w:val="1"/>
                <w:color w:val="auto"/>
              </w:rPr>
            </w:pPr>
          </w:p>
        </w:tc>
      </w:tr>
      <w:tr>
        <w:trPr>
          <w:trHeight w:val="19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78,300</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49,164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rPr>
              <w:t>29,136</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 w:right="59" w:firstLine="296"/>
        <w:spacing w:after="0" w:line="262" w:lineRule="auto"/>
        <w:rPr>
          <w:sz w:val="20"/>
          <w:szCs w:val="20"/>
          <w:color w:val="auto"/>
        </w:rPr>
      </w:pPr>
      <w:r>
        <w:rPr>
          <w:rFonts w:ascii="Times New Roman" w:cs="Times New Roman" w:eastAsia="Times New Roman" w:hAnsi="Times New Roman"/>
          <w:sz w:val="16"/>
          <w:szCs w:val="16"/>
          <w:color w:val="auto"/>
        </w:rPr>
        <w:t>Selling and marketing expenses increased $29.1 million, or 59.3%, to $78.3 million for the nine months ended September 30, 2020 compared to $49.2 million for the same period in 2019. Of this increase, 93.9% is due to an increase in stock-based compensation of $28.1 million for the nine months ended September 30, 2020 over the same period in 2019. The balance of the increase of $1.0 million is primarily due to an increase in payroll and related expenses associated with the growth in year-over-year subscription sales and services revenue and expansion of our partner and channel management programs. In addition, increases in advertising and promotional spending and expanded brand awareness efforts contributed to this increase. As a percentage of total revenue, selling and marketing expenses increased to 28.5% for the nine months ended September 30, 2020 compared to 20.9% for the same period in 2019. Adjusting for the increase in stock-based compensation in 2020, selling and marketing expenses as a percentage of total revenue would have been 18.2% for the nine months ended September 30, 2020.</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34" w:lineRule="exact"/>
        <w:rPr>
          <w:sz w:val="20"/>
          <w:szCs w:val="20"/>
          <w:color w:val="auto"/>
        </w:rPr>
      </w:pPr>
    </w:p>
    <w:p>
      <w:pPr>
        <w:jc w:val="center"/>
        <w:ind w:left="31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18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2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8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80" w:type="dxa"/>
            <w:vAlign w:val="bottom"/>
            <w:tcBorders>
              <w:top w:val="single" w:sz="8" w:color="auto"/>
            </w:tcBorders>
            <w:gridSpan w:val="2"/>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right"/>
              <w:ind w:right="178"/>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20" w:type="dxa"/>
            <w:vAlign w:val="bottom"/>
          </w:tcPr>
          <w:p>
            <w:pPr>
              <w:spacing w:after="0"/>
              <w:rPr>
                <w:sz w:val="16"/>
                <w:szCs w:val="16"/>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123,437</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49,358</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74,079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General and administrative expenses increased $74.1 million, or 150.1%, to $123.4 million for the nine months ended September 30, 2020 compared to $49.4 million for the same period in 2019. Of this increase, 84.0% is due to an increase in stock-based compensation of $64.0 million for the nine months ended September 30, 2020 over the same period in 2019.</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0" w:name="page61"/>
    <w:bookmarkEnd w:id="6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The balance of the increase of $10.1 million is primarily due to planned strategic investments in information technology infrastructure, business process reengineering and other initiatives to drive future operating leverage, as well as investments in employees and other systems and resources in support of our growth. Due to these factors, as a percentage of total revenue, general and administrative expenses increased to 44.9% for the nine months ended September 30, 2020 compared to 21.0% for the same period in 2019. Adjusting for the increase in stock-based compensation in 2020, general and administrative expenses as a percentage of total revenue would have been 21.6% for the nine months ended September 30, 2020.</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34"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6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660" w:type="dxa"/>
            <w:vAlign w:val="bottom"/>
            <w:tcBorders>
              <w:top w:val="single" w:sz="8" w:color="auto"/>
            </w:tcBorders>
          </w:tcPr>
          <w:p>
            <w:pPr>
              <w:jc w:val="right"/>
              <w:ind w:right="10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8,109</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6,528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1,581</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Depreciation and amortization increased $1.6 million, or 24.2%, to $8.1 million for the nine months ended September 30, 2020 compared to $6.5 million for the same period in 2019. The increase was primarily due to the impact of infrastructure and technology purchases placed in service in 2019 and other capitalized infrastructure costs to support our growth. As a percentage of revenue, depreciation expense was relatively consistent at 2.9% for the nine months ended September 30, 2020 compared to 2.8% for the same period in 2019.</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234"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6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660" w:type="dxa"/>
            <w:vAlign w:val="bottom"/>
            <w:tcBorders>
              <w:top w:val="single" w:sz="8" w:color="auto"/>
            </w:tcBorders>
          </w:tcPr>
          <w:p>
            <w:pPr>
              <w:jc w:val="right"/>
              <w:ind w:right="10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tcPr>
          <w:p>
            <w:pPr>
              <w:jc w:val="right"/>
              <w:ind w:right="158"/>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rPr>
              <w:t>240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93"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Interest income for the nine months ended September 30, 2020 decreased $0.2 million or 56.5% due primarily to a decline in money market investment yields as compared to the same period in 2019.</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34"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6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680" w:type="dxa"/>
            <w:vAlign w:val="bottom"/>
            <w:tcBorders>
              <w:top w:val="single" w:sz="8" w:color="auto"/>
            </w:tcBorders>
          </w:tcPr>
          <w:p>
            <w:pPr>
              <w:jc w:val="right"/>
              <w:ind w:right="14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840" w:type="dxa"/>
            <w:vAlign w:val="bottom"/>
            <w:tcBorders>
              <w:top w:val="single" w:sz="8" w:color="auto"/>
            </w:tcBorders>
            <w:gridSpan w:val="2"/>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Pr>
          <w:p>
            <w:pPr>
              <w:spacing w:after="0"/>
              <w:rPr>
                <w:sz w:val="11"/>
                <w:szCs w:val="11"/>
                <w:color w:val="auto"/>
              </w:rPr>
            </w:pPr>
          </w:p>
        </w:tc>
        <w:tc>
          <w:tcPr>
            <w:tcW w:w="1740" w:type="dxa"/>
            <w:vAlign w:val="bottom"/>
            <w:gridSpan w:val="2"/>
          </w:tcPr>
          <w:p>
            <w:pPr>
              <w:jc w:val="right"/>
              <w:ind w:right="38"/>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r>
      <w:tr>
        <w:trPr>
          <w:trHeight w:val="190"/>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3,959</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1,579</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6"/>
                <w:szCs w:val="16"/>
                <w:color w:val="auto"/>
              </w:rPr>
              <w:t>2,380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150.7 %</w:t>
            </w:r>
          </w:p>
        </w:tc>
      </w:tr>
    </w:tbl>
    <w:p>
      <w:pPr>
        <w:spacing w:after="0" w:line="193" w:lineRule="exact"/>
        <w:rPr>
          <w:sz w:val="20"/>
          <w:szCs w:val="20"/>
          <w:color w:val="auto"/>
        </w:rPr>
      </w:pPr>
    </w:p>
    <w:p>
      <w:pPr>
        <w:jc w:val="both"/>
        <w:ind w:left="40" w:right="59" w:firstLine="296"/>
        <w:spacing w:after="0" w:line="266" w:lineRule="auto"/>
        <w:rPr>
          <w:sz w:val="20"/>
          <w:szCs w:val="20"/>
          <w:color w:val="auto"/>
        </w:rPr>
      </w:pPr>
      <w:r>
        <w:rPr>
          <w:rFonts w:ascii="Times New Roman" w:cs="Times New Roman" w:eastAsia="Times New Roman" w:hAnsi="Times New Roman"/>
          <w:sz w:val="16"/>
          <w:szCs w:val="16"/>
          <w:color w:val="auto"/>
        </w:rPr>
        <w:t>Interest expense increased $2.4 million, or 150.7%, to $4.0 million for the nine months ended September 30, 2020 compared to $1.6 million for the same period in 2019. The increase includes the writedown of deferred financing fees of $1.4 million in connection with the July 2020 payoff of the New Term Loan with a portion of the proceeds from the IPO. The increase also includes interest expense of $0.4 million related to an overall increase of $41.0 million in the average balance of debt outstanding during the nine months ended September 30, 2020 due primarily to the New Term Loan of $175.0 million being outstanding for approximately four months in 2020.</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Provision for Taxes</w:t>
      </w:r>
    </w:p>
    <w:p>
      <w:pPr>
        <w:spacing w:after="0" w:line="234"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3300"/>
        <w:spacing w:after="0" w:line="231"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8"/>
        </w:trPr>
        <w:tc>
          <w:tcPr>
            <w:tcW w:w="53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76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1880" w:type="dxa"/>
            <w:vAlign w:val="bottom"/>
            <w:gridSpan w:val="3"/>
          </w:tcPr>
          <w:p>
            <w:pPr>
              <w:jc w:val="right"/>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6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(31,508)</w:t>
            </w: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  (32,108)</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(5,351.3)%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Income tax expense decreased $32.1 million, or 5,351.3%, to a $(31.5) million income tax benefit for the nine months ended September 30, 2020 compared to $0.6 million of income tax expense for the same period in 2019. The decrease was primarily due to a pre-tax loss resulting from an increase in stock-based compensation in 2020. As a percentage of revenue,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1" w:name="page62"/>
    <w:bookmarkEnd w:id="6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income tax benefit increased to (11.5)% for the nine months ended September 30, 2020 compared to expense of 0.3% for the same period in 2019 due to a pre-tax loss in 2020 resulting from an increase in stock-based compensation.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As of September 30, 2020, we had cash and cash equivalents of $270.3 million and retained earnings of $21.7 million. Our primary sources of capital to date have been from sales of our solutions and proceeds from bank lending facilities. On July 31, 2020, we received $423.0 million in proceeds, net of underwriting fees and commissions, from the sale of 23,812,216 shares of Class A common stock and used a portion of the proceeds to pay off the $175.0 million term loan under the New Credit Agreement. As a result, we have no outstanding bank debt after such redemption. The net proceeds remaining after payment of IPO costs will be used for working capital and other corporate purposes as described in the Prospectus.</w:t>
      </w:r>
    </w:p>
    <w:p>
      <w:pPr>
        <w:spacing w:after="0" w:line="164"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presents a summary of our cash flows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8"/>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5"/>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1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195,521</w:t>
            </w: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provided by operating activities was $20.0 million for the nine months ended September 30, 2020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to $45.8 million for the same period in 2019, a decrease of $25.8 million. The decrease in cash from operating activities was driven primarily by a $22.9 million payment for redemption of converted SARs in connection with the IPO, a reduction in cash provided by changes in operating assets and liabilities of $9.4 million, partially offset by an increase in non-cash operating activity resulting from increases in depreciation and amortization of $5.4 million and the write-off of deferred financing fees of $1.4 million. The $22.9 million payment for redemption of converted SARs pertain to SARs converted to stock options and immediately redeemed for cash upon the IPO. The reduction in operating assets and liabilities of $9.4 million was primarily due to a reduction in deferred revenue of $9.3 million. Deferred revenue decreased due to a $5.6 million decrease in nonrecurring extended product support fees billed in the first half of 2019 related to older versions of software subscription solutions retired during 2019. The balance of the deferred revenue reduction of $3.7 million is due primarily to modifications to billing frequencies requested by customers, primarily to align all the annual subscription billings for their subscription licenses to the same period. Such billing frequency modification results in a short-term reduction in deferred revenue, but no impact to revenue. The increase in depreciation and amortization of $5.4 million was due to increased development costs related to the release of O Series 9.0 and internal automation projects. The write-off of deferred financing fees of $1.4 million were a result of the redemption of debt during the nine months ended September 30, 2020.</w:t>
      </w:r>
    </w:p>
    <w:p>
      <w:pPr>
        <w:spacing w:after="0" w:line="163" w:lineRule="exact"/>
        <w:rPr>
          <w:sz w:val="20"/>
          <w:szCs w:val="20"/>
          <w:color w:val="auto"/>
        </w:rPr>
      </w:pPr>
    </w:p>
    <w:p>
      <w:pPr>
        <w:jc w:val="both"/>
        <w:ind w:left="40" w:right="59" w:firstLine="296"/>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Cash used in investing activities was $36.5 million for the nine months ended September 30, 2020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$25.7 million for the same period in 2019, an increase of $10.9 million. This increase was primarily related to the acquisition of a controlling interest in Systax, a Brazilian transaction tax software and content subscription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2" w:name="page63"/>
    <w:bookmarkEnd w:id="6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6"/>
          <w:szCs w:val="16"/>
          <w:color w:val="auto"/>
        </w:rPr>
        <w:t>provider, for cash paid of $12.3 million during the three months ended March 31, 2020. For additional information, see “Note 2 to the Interim Condensed Consolidated Financial Statements (unaudited) —Acquisition.”</w:t>
      </w:r>
    </w:p>
    <w:p>
      <w:pPr>
        <w:spacing w:after="0" w:line="133" w:lineRule="exact"/>
        <w:rPr>
          <w:sz w:val="20"/>
          <w:szCs w:val="20"/>
          <w:color w:val="auto"/>
        </w:rPr>
      </w:pPr>
    </w:p>
    <w:p>
      <w:pPr>
        <w:jc w:val="both"/>
        <w:ind w:left="40" w:right="59" w:firstLine="296"/>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Cash provided by (used in) financing activities was $212.4 million for the nine months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compared to $(25.5) million used for the same period in 2019, an increase of $215.0 million. This change was due primarily to the $423.0 million in proceeds received from the IPO, offset by the payoff of the $175.0 million term loan under the New Credit Agreement.</w:t>
      </w:r>
    </w:p>
    <w:p>
      <w:pPr>
        <w:spacing w:after="0" w:line="353" w:lineRule="exact"/>
        <w:rPr>
          <w:sz w:val="20"/>
          <w:szCs w:val="20"/>
          <w:color w:val="auto"/>
        </w:rPr>
      </w:pPr>
    </w:p>
    <w:p>
      <w:pPr>
        <w:jc w:val="both"/>
        <w:ind w:left="40" w:right="59" w:firstLine="296"/>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Debt</w:t>
      </w:r>
      <w:r>
        <w:rPr>
          <w:rFonts w:ascii="Times New Roman" w:cs="Times New Roman" w:eastAsia="Times New Roman" w:hAnsi="Times New Roman"/>
          <w:sz w:val="16"/>
          <w:szCs w:val="16"/>
          <w:color w:val="auto"/>
        </w:rPr>
        <w:t>. As of September 30, 2020, we had a $100 million line of credit with no outstanding borrowings. Interest on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borrowings accrue at a Base Rate plus an applicable margin (3.75% as of September 30, 2020) or London Interbank Offered Rate (“LIBOR”) plus an applicable margin (2.5% as of September 30, 2020). As of September 30, 2020, the interest rate on the term loan was 2.50%. The Company has no outstanding bank debt at September 30, 2020.</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Funds Held for Customers and Customer Funds Obligations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represents cash and cash equivalents that, based upon our intent, are restricted solely for satisfying the obligations to remit funds relating to our tax remittance services. Funds held for customers are not commingled with our operating funds.</w:t>
      </w:r>
    </w:p>
    <w:p>
      <w:pPr>
        <w:spacing w:after="0" w:line="157" w:lineRule="exact"/>
        <w:rPr>
          <w:sz w:val="20"/>
          <w:szCs w:val="20"/>
          <w:color w:val="auto"/>
        </w:rPr>
      </w:pPr>
    </w:p>
    <w:p>
      <w:pPr>
        <w:jc w:val="both"/>
        <w:ind w:left="40" w:right="59" w:firstLine="296"/>
        <w:spacing w:after="0" w:line="274" w:lineRule="auto"/>
        <w:rPr>
          <w:sz w:val="20"/>
          <w:szCs w:val="20"/>
          <w:color w:val="auto"/>
        </w:rPr>
      </w:pPr>
      <w:r>
        <w:rPr>
          <w:rFonts w:ascii="Times New Roman" w:cs="Times New Roman" w:eastAsia="Times New Roman" w:hAnsi="Times New Roman"/>
          <w:sz w:val="16"/>
          <w:szCs w:val="16"/>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3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5" w:lineRule="exact"/>
        <w:rPr>
          <w:sz w:val="20"/>
          <w:szCs w:val="20"/>
          <w:color w:val="auto"/>
        </w:rPr>
      </w:pPr>
    </w:p>
    <w:p>
      <w:pPr>
        <w:jc w:val="both"/>
        <w:ind w:left="40" w:right="59" w:firstLine="296"/>
        <w:spacing w:after="0" w:line="290" w:lineRule="auto"/>
        <w:rPr>
          <w:sz w:val="20"/>
          <w:szCs w:val="20"/>
          <w:color w:val="auto"/>
        </w:rPr>
      </w:pPr>
      <w:r>
        <w:rPr>
          <w:rFonts w:ascii="Times New Roman" w:cs="Times New Roman" w:eastAsia="Times New Roman" w:hAnsi="Times New Roman"/>
          <w:sz w:val="16"/>
          <w:szCs w:val="16"/>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Other than the redemption of our outstanding debt through use of a portion of the Offering proceeds, there have been no material updates or changes to our contractual obligations and commitments compared to contractual obligations and commitments described in our Quarterly Report on Form 10-Q for the period ended June 30, 2020.</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and Reconciliation of Non-GAAP Financial Measures</w:t>
      </w:r>
    </w:p>
    <w:p>
      <w:pPr>
        <w:spacing w:after="0" w:line="215" w:lineRule="exact"/>
        <w:rPr>
          <w:sz w:val="20"/>
          <w:szCs w:val="20"/>
          <w:color w:val="auto"/>
        </w:rPr>
      </w:pPr>
    </w:p>
    <w:p>
      <w:pPr>
        <w:jc w:val="both"/>
        <w:ind w:left="40" w:right="59" w:firstLine="296"/>
        <w:spacing w:after="0" w:line="261" w:lineRule="auto"/>
        <w:rPr>
          <w:sz w:val="20"/>
          <w:szCs w:val="20"/>
          <w:color w:val="auto"/>
        </w:rPr>
      </w:pPr>
      <w:r>
        <w:rPr>
          <w:rFonts w:ascii="Times New Roman" w:cs="Times New Roman" w:eastAsia="Times New Roman" w:hAnsi="Times New Roman"/>
          <w:sz w:val="16"/>
          <w:szCs w:val="16"/>
          <w:color w:val="auto"/>
        </w:rPr>
        <w:t>In addition to our results determined in accordance with GAAP, we have calculated non-GAAP cost of revenues, non-GAAP gross profit, non-GAAP gross margin, non-GAAP research and development expense, non-GAAP sales and marketing expense, non-GAAP general and administrative expense, non-GAAP operating income, non-GAAP net income, and free cash flow, which are each non-GAAP financial measures. We have provided tabular reconciliations of each of these non-GAAP financial measures to its most directly comparable GAAP financial measure. Management uses these non-GAAP financial measures to understand and compare operating results across accounting periods, for internal budgeting and forecasting purposes, and to evaluate financial performance and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3" w:name="page64"/>
    <w:bookmarkEnd w:id="6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59"/>
        <w:spacing w:after="0" w:line="297" w:lineRule="auto"/>
        <w:rPr>
          <w:sz w:val="20"/>
          <w:szCs w:val="20"/>
          <w:color w:val="auto"/>
        </w:rPr>
      </w:pPr>
      <w:r>
        <w:rPr>
          <w:rFonts w:ascii="Times New Roman" w:cs="Times New Roman" w:eastAsia="Times New Roman" w:hAnsi="Times New Roman"/>
          <w:sz w:val="16"/>
          <w:szCs w:val="16"/>
          <w:color w:val="auto"/>
        </w:rPr>
        <w:t>prepared in accordance with GAAP measures, and should be read in conjunction with the financial statements included elsewhere in this Quarterly Report on Form 10-Q and the Prospectus.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calculate these non-GAAP financial measures as follows:</w:t>
      </w:r>
    </w:p>
    <w:p>
      <w:pPr>
        <w:spacing w:after="0" w:line="224" w:lineRule="exact"/>
        <w:rPr>
          <w:sz w:val="20"/>
          <w:szCs w:val="20"/>
          <w:color w:val="auto"/>
        </w:rPr>
      </w:pPr>
    </w:p>
    <w:p>
      <w:pPr>
        <w:ind w:left="640" w:right="219" w:hanging="300"/>
        <w:spacing w:after="0" w:line="29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cost of revenues is determined by adding back to GAAP cost of revenue the stock-based compensation expense and the depreciation and amortization of capitalized software costs included in cost of revenue for the respective periods.</w:t>
      </w:r>
    </w:p>
    <w:p>
      <w:pPr>
        <w:spacing w:after="0" w:line="75" w:lineRule="exact"/>
        <w:rPr>
          <w:rFonts w:ascii="Times New Roman" w:cs="Times New Roman" w:eastAsia="Times New Roman" w:hAnsi="Times New Roman"/>
          <w:sz w:val="16"/>
          <w:szCs w:val="16"/>
          <w:color w:val="auto"/>
        </w:rPr>
      </w:pPr>
    </w:p>
    <w:p>
      <w:pPr>
        <w:ind w:left="640" w:right="259" w:hanging="300"/>
        <w:spacing w:after="0" w:line="29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gross profit is determined by adding back to GAAP gross profit the stock-based compensation expense and the depreciation and amortization of capitalized software costs included in cost of revenue for the respective periods.</w:t>
      </w:r>
    </w:p>
    <w:p>
      <w:pPr>
        <w:spacing w:after="0" w:line="75" w:lineRule="exact"/>
        <w:rPr>
          <w:rFonts w:ascii="Times New Roman" w:cs="Times New Roman" w:eastAsia="Times New Roman" w:hAnsi="Times New Roman"/>
          <w:sz w:val="16"/>
          <w:szCs w:val="16"/>
          <w:color w:val="auto"/>
        </w:rPr>
      </w:pPr>
    </w:p>
    <w:p>
      <w:pPr>
        <w:jc w:val="both"/>
        <w:ind w:left="640" w:right="499" w:hanging="300"/>
        <w:spacing w:after="0" w:line="27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gross margin is determined by adding back to GAAP gross margin the impact of stock-based compensation expense and depreciation and amortization of capitalized software costs included in cost of revenues as a percentage of revenue for the respective periods.</w:t>
      </w:r>
    </w:p>
    <w:p>
      <w:pPr>
        <w:spacing w:after="0" w:line="79" w:lineRule="exact"/>
        <w:rPr>
          <w:rFonts w:ascii="Times New Roman" w:cs="Times New Roman" w:eastAsia="Times New Roman" w:hAnsi="Times New Roman"/>
          <w:sz w:val="16"/>
          <w:szCs w:val="16"/>
          <w:color w:val="auto"/>
        </w:rPr>
      </w:pPr>
    </w:p>
    <w:p>
      <w:pPr>
        <w:ind w:left="640" w:right="379" w:hanging="300"/>
        <w:spacing w:after="0" w:line="271"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research and development expense, non-GAAP selling and marketing expense, and non-GAAP general and administrative expense are determined by adding back to GAAP research and development expense, GAAP selling and marketing expense, and GAAP general and administrative expense, the stock-based compensation expense and severance expense included in the applicable expense categories for the respective periods.</w:t>
      </w:r>
    </w:p>
    <w:p>
      <w:pPr>
        <w:spacing w:after="0" w:line="95" w:lineRule="exact"/>
        <w:rPr>
          <w:rFonts w:ascii="Times New Roman" w:cs="Times New Roman" w:eastAsia="Times New Roman" w:hAnsi="Times New Roman"/>
          <w:sz w:val="16"/>
          <w:szCs w:val="16"/>
          <w:color w:val="auto"/>
        </w:rPr>
      </w:pPr>
    </w:p>
    <w:p>
      <w:pPr>
        <w:ind w:left="640" w:right="159" w:hanging="300"/>
        <w:spacing w:after="0" w:line="27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income is determined by adding back to GAAP operating income (loss) the stock-based compensation expense, depreciation and amortization of capitalized software costs and acquired intangibles, and severance costs included for the respective periods.</w:t>
      </w:r>
    </w:p>
    <w:p>
      <w:pPr>
        <w:spacing w:after="0" w:line="91" w:lineRule="exact"/>
        <w:rPr>
          <w:rFonts w:ascii="Times New Roman" w:cs="Times New Roman" w:eastAsia="Times New Roman" w:hAnsi="Times New Roman"/>
          <w:sz w:val="16"/>
          <w:szCs w:val="16"/>
          <w:color w:val="auto"/>
        </w:rPr>
      </w:pPr>
    </w:p>
    <w:p>
      <w:pPr>
        <w:ind w:left="640" w:right="239" w:hanging="300"/>
        <w:spacing w:after="0" w:line="27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is determined by adding back to GAAP net (loss) income amortization of capitalized software costs and acquired intangibles, stock-based compensation expense,the impact of converting from an S- to a C-corporation, and severance costs included for the respective periods.</w:t>
      </w:r>
    </w:p>
    <w:p>
      <w:pPr>
        <w:spacing w:after="0" w:line="79" w:lineRule="exact"/>
        <w:rPr>
          <w:rFonts w:ascii="Times New Roman" w:cs="Times New Roman" w:eastAsia="Times New Roman" w:hAnsi="Times New Roman"/>
          <w:sz w:val="16"/>
          <w:szCs w:val="16"/>
          <w:color w:val="auto"/>
        </w:rPr>
      </w:pPr>
    </w:p>
    <w:p>
      <w:pPr>
        <w:ind w:left="640" w:right="159" w:hanging="300"/>
        <w:spacing w:after="0" w:line="27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determined by adding back to GAAP net (loss) income the net interest expense, taxes, depreciation and amortization of property and equipment, capitalized software costs and acquired intangibles, stock-based compensation expense and severance cost included for the respective periods.</w:t>
      </w:r>
    </w:p>
    <w:p>
      <w:pPr>
        <w:spacing w:after="0" w:line="91" w:lineRule="exact"/>
        <w:rPr>
          <w:rFonts w:ascii="Times New Roman" w:cs="Times New Roman" w:eastAsia="Times New Roman" w:hAnsi="Times New Roman"/>
          <w:sz w:val="16"/>
          <w:szCs w:val="16"/>
          <w:color w:val="auto"/>
        </w:rPr>
      </w:pPr>
    </w:p>
    <w:p>
      <w:pPr>
        <w:ind w:left="640" w:hanging="300"/>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is determined by dividing Adjusted EBITDA by total revenues for the respective periods.</w:t>
      </w:r>
    </w:p>
    <w:p>
      <w:pPr>
        <w:spacing w:after="0" w:line="149" w:lineRule="exact"/>
        <w:rPr>
          <w:rFonts w:ascii="Times New Roman" w:cs="Times New Roman" w:eastAsia="Times New Roman" w:hAnsi="Times New Roman"/>
          <w:sz w:val="16"/>
          <w:szCs w:val="16"/>
          <w:color w:val="auto"/>
        </w:rPr>
      </w:pPr>
    </w:p>
    <w:p>
      <w:pPr>
        <w:ind w:left="640" w:right="99" w:hanging="300"/>
        <w:spacing w:after="0" w:line="277" w:lineRule="auto"/>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is determined by adjusting net cash provided by (used in) operating activities by adding back cash used for the redemption of SARs redeemed in connection with the IPO and reducing it for purchases of property and equipment and capitalized software additions for the respective periods.</w:t>
      </w:r>
    </w:p>
    <w:p>
      <w:pPr>
        <w:spacing w:after="0" w:line="79" w:lineRule="exact"/>
        <w:rPr>
          <w:sz w:val="20"/>
          <w:szCs w:val="20"/>
          <w:color w:val="auto"/>
        </w:rPr>
      </w:pPr>
    </w:p>
    <w:p>
      <w:pPr>
        <w:ind w:left="640" w:hanging="300"/>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margin is determined by dividing free cash flow by total revenues for the respective periods.</w:t>
      </w:r>
    </w:p>
    <w:p>
      <w:pPr>
        <w:spacing w:after="0" w:line="211" w:lineRule="exact"/>
        <w:rPr>
          <w:sz w:val="20"/>
          <w:szCs w:val="20"/>
          <w:color w:val="auto"/>
        </w:rPr>
      </w:pPr>
    </w:p>
    <w:p>
      <w:pPr>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37" w:lineRule="exact"/>
        <w:rPr>
          <w:sz w:val="20"/>
          <w:szCs w:val="20"/>
          <w:color w:val="auto"/>
        </w:rPr>
      </w:pPr>
    </w:p>
    <w:p>
      <w:pPr>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 xml:space="preserve">The following schedules reflect our non-GAAP financial measures and reconcile our non-GAAP financial measures to the related GAAP financial measures. Refer to </w:t>
      </w:r>
      <w:r>
        <w:rPr>
          <w:rFonts w:ascii="Times New Roman" w:cs="Times New Roman" w:eastAsia="Times New Roman" w:hAnsi="Times New Roman"/>
          <w:sz w:val="16"/>
          <w:szCs w:val="16"/>
          <w:i w:val="1"/>
          <w:iCs w:val="1"/>
          <w:color w:val="auto"/>
        </w:rPr>
        <w:t>“Item 2. Management’s Discussion and Analysis of Financial Condition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4" w:name="page65"/>
    <w:bookmarkEnd w:id="6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59"/>
        <w:spacing w:after="0" w:line="300" w:lineRule="auto"/>
        <w:rPr>
          <w:sz w:val="20"/>
          <w:szCs w:val="20"/>
          <w:color w:val="auto"/>
        </w:rPr>
      </w:pPr>
      <w:r>
        <w:rPr>
          <w:rFonts w:ascii="Times New Roman" w:cs="Times New Roman" w:eastAsia="Times New Roman" w:hAnsi="Times New Roman"/>
          <w:sz w:val="16"/>
          <w:szCs w:val="16"/>
          <w:i w:val="1"/>
          <w:iCs w:val="1"/>
          <w:color w:val="auto"/>
        </w:rPr>
        <w:t xml:space="preserve">and Results of Operations - Key Business Metrics” </w:t>
      </w:r>
      <w:r>
        <w:rPr>
          <w:rFonts w:ascii="Times New Roman" w:cs="Times New Roman" w:eastAsia="Times New Roman" w:hAnsi="Times New Roman"/>
          <w:sz w:val="16"/>
          <w:szCs w:val="16"/>
          <w:color w:val="auto"/>
        </w:rPr>
        <w:t>for further discussion and reconciliation of Adjusted EBITDA, Adjusted EBITDA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margin, free cash flow and free cash flow margin to the related GAAP financial measures.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39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2"/>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82"/>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9"/>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cost of revenues, software subscriptions</w:t>
            </w: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14,829</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50,495</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44,473</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Non-GAAP cost of revenues, services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67,516</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59,021</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196,016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margin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71.4 %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71.2 %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research and development expense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29,197</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Non-GAAP selling and marketing expense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16,474</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50,032</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general and administrative expense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16,672</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19,796</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17,325</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21,639</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1" w:right="1440" w:bottom="1440" w:gutter="0" w:footer="0" w:header="0"/>
        </w:sectPr>
      </w:pPr>
    </w:p>
    <w:bookmarkStart w:id="65" w:name="page66"/>
    <w:bookmarkEnd w:id="6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5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58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4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8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Non-GAAP Cost of Revenue:</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 software subscriptions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29,161</w:t>
            </w:r>
          </w:p>
        </w:tc>
        <w:tc>
          <w:tcPr>
            <w:tcW w:w="160" w:type="dxa"/>
            <w:vAlign w:val="bottom"/>
          </w:tcPr>
          <w:p>
            <w:pPr>
              <w:spacing w:after="0"/>
              <w:rPr>
                <w:sz w:val="16"/>
                <w:szCs w:val="16"/>
                <w:color w:val="auto"/>
              </w:rPr>
            </w:pPr>
          </w:p>
        </w:tc>
        <w:tc>
          <w:tcPr>
            <w:tcW w:w="2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18,647</w:t>
            </w:r>
          </w:p>
        </w:tc>
        <w:tc>
          <w:tcPr>
            <w:tcW w:w="1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79,846</w:t>
            </w:r>
          </w:p>
        </w:tc>
        <w:tc>
          <w:tcPr>
            <w:tcW w:w="1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Depreciation and amortization - cost of subscription revenues</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(15,349)</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cost of revenues, software subscriptions</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17,512</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50,495</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44,473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 services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18,807</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8,786</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49,329</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(9,230)</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(20,719)</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cost of revenues, services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9,577</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8,589</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28,610</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Non-GAAP Gross Profit: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46,637</w:t>
            </w:r>
          </w:p>
        </w:tc>
        <w:tc>
          <w:tcPr>
            <w:tcW w:w="160" w:type="dxa"/>
            <w:vAlign w:val="bottom"/>
          </w:tcPr>
          <w:p>
            <w:pPr>
              <w:spacing w:after="0"/>
              <w:rPr>
                <w:sz w:val="16"/>
                <w:szCs w:val="16"/>
                <w:color w:val="auto"/>
              </w:rPr>
            </w:pPr>
          </w:p>
        </w:tc>
        <w:tc>
          <w:tcPr>
            <w:tcW w:w="2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55,006</w:t>
            </w:r>
          </w:p>
        </w:tc>
        <w:tc>
          <w:tcPr>
            <w:tcW w:w="1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145,946</w:t>
            </w:r>
          </w:p>
        </w:tc>
        <w:tc>
          <w:tcPr>
            <w:tcW w:w="1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155,322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Depreciation and amortization of capitalized software</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15,349</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gross profit</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67,516</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59,021</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196,016</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167,930</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Non-GAAP Gross Margin:</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49.3 %</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66.7 %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53.0 %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66.0 %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as a percentage of revenue</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16.5 %</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12.6 %</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 cost of subscription revenues as a percentage of</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gross margin</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1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Non-GAAP Research and Development Expense:</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16,501</w:t>
            </w:r>
          </w:p>
        </w:tc>
        <w:tc>
          <w:tcPr>
            <w:tcW w:w="160" w:type="dxa"/>
            <w:vAlign w:val="bottom"/>
          </w:tcPr>
          <w:p>
            <w:pPr>
              <w:spacing w:after="0"/>
              <w:rPr>
                <w:sz w:val="16"/>
                <w:szCs w:val="16"/>
                <w:color w:val="auto"/>
              </w:rPr>
            </w:pPr>
          </w:p>
        </w:tc>
        <w:tc>
          <w:tcPr>
            <w:tcW w:w="2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w:t>
            </w:r>
          </w:p>
        </w:tc>
        <w:tc>
          <w:tcPr>
            <w:tcW w:w="1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43,197</w:t>
            </w:r>
          </w:p>
        </w:tc>
        <w:tc>
          <w:tcPr>
            <w:tcW w:w="1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Non-GAAP research and development expense</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Selling and Marketing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and marketing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29,423</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15,830</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78,300</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acquired intangibles - selling and marketing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(28,140)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Non-GAAP selling and marketing</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General and Administrative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48,043</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17,263</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123,437</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(29,561)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(64,029)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charges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Non-GAAP general and administrative</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Operating Income: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(50,005)</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12,327</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(107,251)</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64,294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140,890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expense</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acquired intangibles - selling and marketing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 cost of subscription revenues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15,349</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Non-GAAP operating income</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17,325</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51,230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Reconciliation of Non-GAAP Net Income: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(21,028)</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11,900</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(79,167)</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64,294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140,890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charges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acquired intangibles - selling and marketing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 cost of subscription revenues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15,349</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Impact of S- to C-corporation conversion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(27,134)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(27,134)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net income</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52,180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6" w:name="page67"/>
    <w:bookmarkEnd w:id="6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The critical accounting policies that reflect our more significant judgments and estimates used in the preparation of our condensed consolidated financial statements include software development costs, goodwill, accounting for stock-based compensation, revenue recognition, and income taxes, which are described in “Note 1—Summary of Significant Accounting Policies” in Part I, Item 1 of this Quarterly Report on Form 10-Q.</w:t>
      </w:r>
    </w:p>
    <w:p>
      <w:pPr>
        <w:spacing w:after="0" w:line="157"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There have been no material updates or changes to our critical accounting policies and estimates compared to the critical accounting policies and estimates described in our Quarterly Report on Form 10-Q for the period ended June 30, 2020.</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15" w:lineRule="exact"/>
        <w:rPr>
          <w:sz w:val="20"/>
          <w:szCs w:val="20"/>
          <w:color w:val="auto"/>
        </w:rPr>
      </w:pPr>
    </w:p>
    <w:p>
      <w:pPr>
        <w:jc w:val="both"/>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For further information on recent accounting pronouncements, refer to Note 1 in the consolidated financial statements contained within this Quarterly Report on Form 10-Q.</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15" w:lineRule="exact"/>
        <w:rPr>
          <w:sz w:val="20"/>
          <w:szCs w:val="20"/>
          <w:color w:val="auto"/>
        </w:rPr>
      </w:pPr>
    </w:p>
    <w:p>
      <w:pPr>
        <w:jc w:val="both"/>
        <w:ind w:left="40" w:right="59" w:firstLine="296"/>
        <w:spacing w:after="0" w:line="265" w:lineRule="auto"/>
        <w:rPr>
          <w:sz w:val="20"/>
          <w:szCs w:val="20"/>
          <w:color w:val="auto"/>
        </w:rPr>
      </w:pPr>
      <w:r>
        <w:rPr>
          <w:rFonts w:ascii="Times New Roman" w:cs="Times New Roman" w:eastAsia="Times New Roman" w:hAnsi="Times New Roman"/>
          <w:sz w:val="16"/>
          <w:szCs w:val="16"/>
          <w:color w:val="auto"/>
        </w:rPr>
        <w:t>We had cash and cash equivalents of $270.3 million as of September 30, 2020. In addition, the Company received proceeds, net of underwriter fees, from its Offering of $423.0 million on July 31, 2020, which it used to pay off outstanding debt of $175.0 million resulting in the Company having no outstanding bank debt after such redemption. 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however, would reduce future interest income.</w:t>
      </w:r>
    </w:p>
    <w:p>
      <w:pPr>
        <w:spacing w:after="0" w:line="164"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We are exposed to risk related to changes in interest rates. Borrowings under the New Credit Agreement bear interest at rates that are variable. Increases in the bank prime or LIBOR rates would increase the interest rate on any outstanding borrowings. Any debt we incur in the future may also bear interest at variable rates.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Foreign Currency Exchange Risk</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Our revenue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 and other operating results as expressed in U.S. dollars. For the three and nine months ended September 30, 2019 and 2020, approximately 1% of our revenues were generated in currencies other than U.S. dollars in each respective period.</w:t>
      </w:r>
    </w:p>
    <w:p>
      <w:pPr>
        <w:spacing w:after="0" w:line="162"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We have experienced and will continue to experience fluctuations in our net (loss)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approximately 40% of our exposure to adverse fluctuations in the Brazilian Real associated with these future purchase commitments.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7" w:name="page68"/>
    <w:bookmarkEnd w:id="6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Historically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15" w:lineRule="exact"/>
        <w:rPr>
          <w:sz w:val="20"/>
          <w:szCs w:val="20"/>
          <w:color w:val="auto"/>
        </w:rPr>
      </w:pPr>
    </w:p>
    <w:p>
      <w:pPr>
        <w:jc w:val="both"/>
        <w:ind w:left="40" w:right="59" w:firstLine="296"/>
        <w:spacing w:after="0" w:line="274"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evaluated the effectiveness of our disclosure controls and procedures. Solely as a result of the material weaknesses described below, our principal executive officer and principal financial officer concluded that, as of September 30, 2020, our disclosure controls and procedures were not effective.</w:t>
      </w:r>
    </w:p>
    <w:p>
      <w:pPr>
        <w:spacing w:after="0" w:line="358"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We have performed additional analyses, reconciliations, and other post-closing procedures and have concluded that, notwithstanding the material weaknesses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Previously Identified Material Weaknesses</w:t>
      </w:r>
    </w:p>
    <w:p>
      <w:pPr>
        <w:spacing w:after="0" w:line="215" w:lineRule="exact"/>
        <w:rPr>
          <w:sz w:val="20"/>
          <w:szCs w:val="20"/>
          <w:color w:val="auto"/>
        </w:rPr>
      </w:pPr>
    </w:p>
    <w:p>
      <w:pPr>
        <w:jc w:val="both"/>
        <w:ind w:left="40" w:right="59" w:firstLine="296"/>
        <w:spacing w:after="0" w:line="264" w:lineRule="auto"/>
        <w:rPr>
          <w:sz w:val="20"/>
          <w:szCs w:val="20"/>
          <w:color w:val="auto"/>
        </w:rPr>
      </w:pPr>
      <w:r>
        <w:rPr>
          <w:rFonts w:ascii="Times New Roman" w:cs="Times New Roman" w:eastAsia="Times New Roman" w:hAnsi="Times New Roman"/>
          <w:sz w:val="16"/>
          <w:szCs w:val="16"/>
          <w:color w:val="auto"/>
        </w:rPr>
        <w:t>As previously disclosed, we identified three material weaknesses in our internal control over financial reporting during the two-year period ended December 31, 2019. These material weaknesses were due to (i) the lack of an effective review control over the completeness and accuracy of significant conclusions regarding the impact of the new revenue recognition guidance prescribed by ASC 606, (ii) incorrect applications of software capitalization models and untimely identification of impairments of capitalized software development costs and (iii) an insufficient process for the provision and governance of user access to financially significant systems that resulted in a lack of segregation of duties related to journal entries and cash disbursements. The material weaknesses resulted in several control deficiencies that could have the following effects:</w:t>
      </w:r>
    </w:p>
    <w:p>
      <w:pPr>
        <w:spacing w:after="0" w:line="164" w:lineRule="exact"/>
        <w:rPr>
          <w:sz w:val="20"/>
          <w:szCs w:val="20"/>
          <w:color w:val="auto"/>
        </w:rPr>
      </w:pPr>
    </w:p>
    <w:p>
      <w:pPr>
        <w:ind w:left="940" w:right="59" w:hanging="304"/>
        <w:spacing w:after="0" w:line="297" w:lineRule="auto"/>
        <w:tabs>
          <w:tab w:leader="none" w:pos="9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new or revised accounting guidance on the Company’s financial statements may not be identified and accurately reflected in the Company’s financial statements;</w:t>
      </w:r>
    </w:p>
    <w:p>
      <w:pPr>
        <w:spacing w:after="0" w:line="137" w:lineRule="exact"/>
        <w:rPr>
          <w:rFonts w:ascii="Times New Roman" w:cs="Times New Roman" w:eastAsia="Times New Roman" w:hAnsi="Times New Roman"/>
          <w:sz w:val="16"/>
          <w:szCs w:val="16"/>
          <w:color w:val="auto"/>
        </w:rPr>
      </w:pPr>
    </w:p>
    <w:p>
      <w:pPr>
        <w:jc w:val="both"/>
        <w:ind w:left="940" w:right="59" w:hanging="304"/>
        <w:spacing w:after="0" w:line="277" w:lineRule="auto"/>
        <w:tabs>
          <w:tab w:leader="none" w:pos="9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the amount of software development costs capitalized and impairment assessments that are either not captured in a timely manner or not appropriate based on whether such costs are internal-use software versus software to be sold, leased or marketed; and</w:t>
      </w:r>
    </w:p>
    <w:p>
      <w:pPr>
        <w:spacing w:after="0" w:line="153" w:lineRule="exact"/>
        <w:rPr>
          <w:rFonts w:ascii="Times New Roman" w:cs="Times New Roman" w:eastAsia="Times New Roman" w:hAnsi="Times New Roman"/>
          <w:sz w:val="16"/>
          <w:szCs w:val="16"/>
          <w:color w:val="auto"/>
        </w:rPr>
      </w:pPr>
    </w:p>
    <w:p>
      <w:pPr>
        <w:ind w:left="940" w:hanging="304"/>
        <w:spacing w:after="0"/>
        <w:tabs>
          <w:tab w:leader="none" w:pos="9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increased risk that unauthorized transactions will not be prevented and/or detected and corrected in a timely manner.</w:t>
      </w:r>
    </w:p>
    <w:p>
      <w:pPr>
        <w:spacing w:after="0" w:line="211"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 material weaknesses relating to revenue recognition and capitalized software development costs resulted in errors that were not identified timely in conjunction with the issuance of our financial statements as of and for the years ended December 31, 2018 and 2019. These errors led to adjustments reflected in the 2019 and 2018 audited consolidated financial statements. We evaluated these errors under both quantitative and qualitative standards. No errors were identified with respect to the lack of segregation of user access to financially significant systems.</w:t>
      </w:r>
    </w:p>
    <w:p>
      <w:pPr>
        <w:spacing w:after="0" w:line="162"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A material weakness is a control deficiency, or combination of control deficiencies, that results in more than a reasonable possibility that a material misstatement of the annual or interim financial statements will not be prevented or detected on a timely basis by a company’s internal controls.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8" w:name="page69"/>
    <w:bookmarkEnd w:id="6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59" w:firstLine="296"/>
        <w:spacing w:after="0" w:line="297" w:lineRule="auto"/>
        <w:rPr>
          <w:sz w:val="20"/>
          <w:szCs w:val="20"/>
          <w:color w:val="auto"/>
        </w:rPr>
      </w:pPr>
      <w:r>
        <w:rPr>
          <w:rFonts w:ascii="Times New Roman" w:cs="Times New Roman" w:eastAsia="Times New Roman" w:hAnsi="Times New Roman"/>
          <w:sz w:val="16"/>
          <w:szCs w:val="16"/>
          <w:color w:val="auto"/>
        </w:rPr>
        <w:t>Beginning in February 2020, we started specific efforts to remediate the material weaknesses described above, including the following:</w:t>
      </w:r>
    </w:p>
    <w:p>
      <w:pPr>
        <w:spacing w:after="0" w:line="137" w:lineRule="exact"/>
        <w:rPr>
          <w:sz w:val="20"/>
          <w:szCs w:val="20"/>
          <w:color w:val="auto"/>
        </w:rPr>
      </w:pPr>
    </w:p>
    <w:p>
      <w:pPr>
        <w:ind w:left="940" w:right="59" w:hanging="304"/>
        <w:spacing w:after="0" w:line="297" w:lineRule="auto"/>
        <w:tabs>
          <w:tab w:leader="none" w:pos="9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additional and more precise review controls over revenue recognition, particularly considering the complex nature of this accounting pronouncement;</w:t>
      </w:r>
    </w:p>
    <w:p>
      <w:pPr>
        <w:spacing w:after="0" w:line="137" w:lineRule="exact"/>
        <w:rPr>
          <w:rFonts w:ascii="Times New Roman" w:cs="Times New Roman" w:eastAsia="Times New Roman" w:hAnsi="Times New Roman"/>
          <w:sz w:val="16"/>
          <w:szCs w:val="16"/>
          <w:color w:val="auto"/>
        </w:rPr>
      </w:pPr>
    </w:p>
    <w:p>
      <w:pPr>
        <w:jc w:val="both"/>
        <w:ind w:left="940" w:right="59" w:hanging="304"/>
        <w:spacing w:after="0" w:line="277" w:lineRule="auto"/>
        <w:tabs>
          <w:tab w:leader="none" w:pos="9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instituted additional and more precise review controls over implementation of new accounting pronouncements, particularly where management seeks input from outside consultants with respect to implementation of those accounting pronouncements that are complex;</w:t>
      </w:r>
    </w:p>
    <w:p>
      <w:pPr>
        <w:spacing w:after="0" w:line="153" w:lineRule="exact"/>
        <w:rPr>
          <w:rFonts w:ascii="Times New Roman" w:cs="Times New Roman" w:eastAsia="Times New Roman" w:hAnsi="Times New Roman"/>
          <w:sz w:val="16"/>
          <w:szCs w:val="16"/>
          <w:color w:val="auto"/>
        </w:rPr>
      </w:pPr>
    </w:p>
    <w:p>
      <w:pPr>
        <w:jc w:val="both"/>
        <w:ind w:left="940" w:right="59" w:hanging="304"/>
        <w:spacing w:after="0" w:line="274" w:lineRule="auto"/>
        <w:tabs>
          <w:tab w:leader="none" w:pos="9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instituted a control in which senior members of our finance, accounting, technology and product teams meet quarterly and review all new software projects, existing software assets that have changes in projected use and/or pipeline, and business and market conditions that could impact classification or impairment of capitalized software development costs; and</w:t>
      </w:r>
    </w:p>
    <w:p>
      <w:pPr>
        <w:spacing w:after="0" w:line="357" w:lineRule="exact"/>
        <w:rPr>
          <w:rFonts w:ascii="Times New Roman" w:cs="Times New Roman" w:eastAsia="Times New Roman" w:hAnsi="Times New Roman"/>
          <w:sz w:val="16"/>
          <w:szCs w:val="16"/>
          <w:color w:val="auto"/>
        </w:rPr>
      </w:pPr>
    </w:p>
    <w:p>
      <w:pPr>
        <w:ind w:left="940" w:right="59" w:hanging="304"/>
        <w:spacing w:after="0" w:line="297" w:lineRule="auto"/>
        <w:tabs>
          <w:tab w:leader="none" w:pos="9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began to implement changes needed over our user access governance practices to prevent individuals from having the ability to create and post journal entry or create a vendor and prepare checks.</w:t>
      </w:r>
    </w:p>
    <w:p>
      <w:pPr>
        <w:spacing w:after="0" w:line="137" w:lineRule="exact"/>
        <w:rPr>
          <w:sz w:val="20"/>
          <w:szCs w:val="20"/>
          <w:color w:val="auto"/>
        </w:rPr>
      </w:pPr>
    </w:p>
    <w:p>
      <w:pPr>
        <w:jc w:val="both"/>
        <w:ind w:left="40" w:right="59" w:firstLine="296"/>
        <w:spacing w:after="0" w:line="263" w:lineRule="auto"/>
        <w:rPr>
          <w:sz w:val="20"/>
          <w:szCs w:val="20"/>
          <w:color w:val="auto"/>
        </w:rPr>
      </w:pPr>
      <w:r>
        <w:rPr>
          <w:rFonts w:ascii="Times New Roman" w:cs="Times New Roman" w:eastAsia="Times New Roman" w:hAnsi="Times New Roman"/>
          <w:sz w:val="16"/>
          <w:szCs w:val="16"/>
          <w:color w:val="auto"/>
        </w:rPr>
        <w:t>We continue to implement new technology systems to automate certain processes, particularly with respect to revenue recognition. We expect these efforts to continue throughout 2020 and, in the interim, we will continue to employ enhanced review controls. We also plan to increase the education and training available to our management regarding new and revised accounting standards to aid in our efforts to remediate the material weakness regarding our implementation of ASC 606 and future accounting pronouncements. Our executive team in charge of reviewing potential impairments of capitalized software development costs will continue to meet quarterly in 2020 and thereafter. Finally, we are in the process of performing an overall review of user access for our core financial systems, which we expect may result in further segregation of duties. We also plan to periodically update our review of user access going forward.</w:t>
      </w:r>
    </w:p>
    <w:p>
      <w:pPr>
        <w:spacing w:after="0" w:line="367"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The Company will require additional time to demonstrate the effectiveness of the remediation efforts. The material weaknesses will not be considered remediated until the applicable controls operate for a sufficient period of time and management has concluded, through testing, that these controls are operating effectively.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5" w:lineRule="exact"/>
        <w:rPr>
          <w:sz w:val="20"/>
          <w:szCs w:val="20"/>
          <w:color w:val="auto"/>
        </w:rPr>
      </w:pPr>
    </w:p>
    <w:p>
      <w:pPr>
        <w:jc w:val="both"/>
        <w:ind w:left="40" w:right="59" w:firstLine="296"/>
        <w:spacing w:after="0" w:line="277" w:lineRule="auto"/>
        <w:rPr>
          <w:sz w:val="20"/>
          <w:szCs w:val="20"/>
          <w:color w:val="auto"/>
        </w:rPr>
      </w:pPr>
      <w:r>
        <w:rPr>
          <w:rFonts w:ascii="Times New Roman" w:cs="Times New Roman" w:eastAsia="Times New Roman" w:hAnsi="Times New Roman"/>
          <w:sz w:val="16"/>
          <w:szCs w:val="16"/>
          <w:color w:val="auto"/>
        </w:rPr>
        <w:t>Other than the changes described above regarding enhancements associated with ongoing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9" w:name="page70"/>
    <w:bookmarkEnd w:id="6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15" w:lineRule="exact"/>
        <w:rPr>
          <w:sz w:val="20"/>
          <w:szCs w:val="20"/>
          <w:color w:val="auto"/>
        </w:rPr>
      </w:pPr>
    </w:p>
    <w:p>
      <w:pPr>
        <w:jc w:val="both"/>
        <w:ind w:left="40" w:right="59" w:firstLine="296"/>
        <w:spacing w:after="0" w:line="271" w:lineRule="auto"/>
        <w:rPr>
          <w:sz w:val="20"/>
          <w:szCs w:val="20"/>
          <w:color w:val="auto"/>
        </w:rPr>
      </w:pPr>
      <w:r>
        <w:rPr>
          <w:rFonts w:ascii="Times New Roman" w:cs="Times New Roman" w:eastAsia="Times New Roman" w:hAnsi="Times New Roman"/>
          <w:sz w:val="16"/>
          <w:szCs w:val="16"/>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15" w:lineRule="exact"/>
        <w:rPr>
          <w:sz w:val="20"/>
          <w:szCs w:val="20"/>
          <w:color w:val="auto"/>
        </w:rPr>
      </w:pPr>
    </w:p>
    <w:p>
      <w:pPr>
        <w:jc w:val="both"/>
        <w:ind w:left="40" w:right="59" w:firstLine="296"/>
        <w:spacing w:after="0" w:line="267" w:lineRule="auto"/>
        <w:rPr>
          <w:sz w:val="20"/>
          <w:szCs w:val="20"/>
          <w:color w:val="auto"/>
        </w:rPr>
      </w:pPr>
      <w:r>
        <w:rPr>
          <w:rFonts w:ascii="Times New Roman" w:cs="Times New Roman" w:eastAsia="Times New Roman" w:hAnsi="Times New Roman"/>
          <w:sz w:val="16"/>
          <w:szCs w:val="16"/>
          <w:color w:val="auto"/>
        </w:rPr>
        <w:t>There are no material changes to the risk factors discussed in the Company’s Quarterly Report on Form 10-Q for the quarter ended June 30, 2020 under the heading “Risk Factors.” You should carefully consider these risks, together with management’s discussion and analysis of our financial condition and results of operations in conjunction with the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None.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None.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MINE SAFETY DISCLOSURES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332740</wp:posOffset>
            </wp:positionV>
            <wp:extent cx="566991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70" w:name="page71"/>
    <w:bookmarkEnd w:id="70"/>
    <w:p>
      <w:pPr>
        <w:ind w:left="10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gridSpan w:val="9"/>
          </w:tcPr>
          <w:p>
            <w:pPr>
              <w:ind w:left="6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Exhibit   Filing Date</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Filed Herewith</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Furnished Herewith</w:t>
            </w:r>
          </w:p>
        </w:tc>
      </w:tr>
      <w:tr>
        <w:trPr>
          <w:trHeight w:val="141"/>
        </w:trPr>
        <w:tc>
          <w:tcPr>
            <w:tcW w:w="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100" w:type="dxa"/>
            <w:vAlign w:val="bottom"/>
            <w:tcBorders>
              <w:top w:val="single" w:sz="8" w:color="auto"/>
              <w:bottom w:val="single" w:sz="8" w:color="0000EE"/>
            </w:tcBorders>
            <w:gridSpan w:val="4"/>
          </w:tcPr>
          <w:p>
            <w:pPr>
              <w:spacing w:after="0" w:line="141" w:lineRule="exact"/>
              <w:rPr>
                <w:rFonts w:ascii="Times New Roman" w:cs="Times New Roman" w:eastAsia="Times New Roman" w:hAnsi="Times New Roman"/>
                <w:sz w:val="15"/>
                <w:szCs w:val="15"/>
                <w:color w:val="0000EE"/>
                <w:w w:val="97"/>
              </w:rPr>
            </w:pPr>
            <w:hyperlink w:anchor="page73">
              <w:r>
                <w:rPr>
                  <w:rFonts w:ascii="Times New Roman" w:cs="Times New Roman" w:eastAsia="Times New Roman" w:hAnsi="Times New Roman"/>
                  <w:sz w:val="15"/>
                  <w:szCs w:val="15"/>
                  <w:color w:val="0000EE"/>
                  <w:w w:val="97"/>
                </w:rPr>
                <w:t>Certification of Principal Executive</w:t>
              </w:r>
            </w:hyperlink>
          </w:p>
        </w:tc>
        <w:tc>
          <w:tcPr>
            <w:tcW w:w="240" w:type="dxa"/>
            <w:vAlign w:val="bottom"/>
            <w:tcBorders>
              <w:top w:val="single" w:sz="8" w:color="auto"/>
            </w:tcBorders>
            <w:gridSpan w:val="4"/>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0000EE"/>
            </w:tcBorders>
            <w:gridSpan w:val="6"/>
          </w:tcPr>
          <w:p>
            <w:pPr>
              <w:spacing w:after="0" w:line="165" w:lineRule="exact"/>
              <w:rPr>
                <w:rFonts w:ascii="Times New Roman" w:cs="Times New Roman" w:eastAsia="Times New Roman" w:hAnsi="Times New Roman"/>
                <w:sz w:val="15"/>
                <w:szCs w:val="15"/>
                <w:color w:val="0000EE"/>
                <w:w w:val="98"/>
              </w:rPr>
            </w:pPr>
            <w:hyperlink w:anchor="page73">
              <w:r>
                <w:rPr>
                  <w:rFonts w:ascii="Times New Roman" w:cs="Times New Roman" w:eastAsia="Times New Roman" w:hAnsi="Times New Roman"/>
                  <w:sz w:val="15"/>
                  <w:szCs w:val="15"/>
                  <w:color w:val="0000EE"/>
                  <w:w w:val="98"/>
                </w:rPr>
                <w:t>Officer Pursuant to Rules 13a-14(a)</w:t>
              </w:r>
            </w:hyperlink>
          </w:p>
        </w:tc>
        <w:tc>
          <w:tcPr>
            <w:tcW w:w="360" w:type="dxa"/>
            <w:vAlign w:val="bottom"/>
            <w:gridSpan w:val="4"/>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spacing w:after="0" w:line="165" w:lineRule="exact"/>
              <w:rPr>
                <w:rFonts w:ascii="Times New Roman" w:cs="Times New Roman" w:eastAsia="Times New Roman" w:hAnsi="Times New Roman"/>
                <w:sz w:val="15"/>
                <w:szCs w:val="15"/>
                <w:color w:val="0000EE"/>
              </w:rPr>
            </w:pPr>
            <w:hyperlink w:anchor="page73">
              <w:r>
                <w:rPr>
                  <w:rFonts w:ascii="Times New Roman" w:cs="Times New Roman" w:eastAsia="Times New Roman" w:hAnsi="Times New Roman"/>
                  <w:sz w:val="15"/>
                  <w:szCs w:val="15"/>
                  <w:color w:val="0000EE"/>
                </w:rPr>
                <w:t>and 15d-14(a) under the Securities</w:t>
              </w:r>
            </w:hyperlink>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0000EE"/>
            </w:tcBorders>
            <w:gridSpan w:val="4"/>
          </w:tcPr>
          <w:p>
            <w:pPr>
              <w:spacing w:after="0" w:line="165" w:lineRule="exact"/>
              <w:rPr>
                <w:rFonts w:ascii="Times New Roman" w:cs="Times New Roman" w:eastAsia="Times New Roman" w:hAnsi="Times New Roman"/>
                <w:sz w:val="15"/>
                <w:szCs w:val="15"/>
                <w:color w:val="0000EE"/>
                <w:w w:val="98"/>
              </w:rPr>
            </w:pPr>
            <w:hyperlink w:anchor="page73">
              <w:r>
                <w:rPr>
                  <w:rFonts w:ascii="Times New Roman" w:cs="Times New Roman" w:eastAsia="Times New Roman" w:hAnsi="Times New Roman"/>
                  <w:sz w:val="15"/>
                  <w:szCs w:val="15"/>
                  <w:color w:val="0000EE"/>
                  <w:w w:val="98"/>
                </w:rPr>
                <w:t>Exchange Act of 1934, as Adopted</w:t>
              </w:r>
            </w:hyperlink>
          </w:p>
        </w:tc>
        <w:tc>
          <w:tcPr>
            <w:tcW w:w="420" w:type="dxa"/>
            <w:vAlign w:val="bottom"/>
            <w:gridSpan w:val="6"/>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3">
              <w:r>
                <w:rPr>
                  <w:rFonts w:ascii="Times New Roman" w:cs="Times New Roman" w:eastAsia="Times New Roman" w:hAnsi="Times New Roman"/>
                  <w:sz w:val="15"/>
                  <w:szCs w:val="15"/>
                  <w:u w:val="single" w:color="auto"/>
                  <w:color w:val="0000EE"/>
                </w:rPr>
                <w:t>Pursuant to Section 302 of the</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31.1</w:t>
            </w: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3">
              <w:r>
                <w:rPr>
                  <w:rFonts w:ascii="Times New Roman" w:cs="Times New Roman" w:eastAsia="Times New Roman" w:hAnsi="Times New Roman"/>
                  <w:sz w:val="15"/>
                  <w:szCs w:val="15"/>
                  <w:u w:val="single" w:color="auto"/>
                  <w:color w:val="0000EE"/>
                </w:rPr>
                <w:t>Sarbanes-Oxley Act of 2002</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10"/>
          </w:tcPr>
          <w:p>
            <w:pPr>
              <w:spacing w:after="0" w:line="161" w:lineRule="exact"/>
              <w:rPr>
                <w:rFonts w:ascii="Times New Roman" w:cs="Times New Roman" w:eastAsia="Times New Roman" w:hAnsi="Times New Roman"/>
                <w:sz w:val="15"/>
                <w:szCs w:val="15"/>
                <w:color w:val="0000EE"/>
              </w:rPr>
            </w:pPr>
            <w:hyperlink w:anchor="page74">
              <w:r>
                <w:rPr>
                  <w:rFonts w:ascii="Times New Roman" w:cs="Times New Roman" w:eastAsia="Times New Roman" w:hAnsi="Times New Roman"/>
                  <w:sz w:val="15"/>
                  <w:szCs w:val="15"/>
                  <w:color w:val="0000EE"/>
                </w:rPr>
                <w:t>Certification of Principal Financial</w:t>
              </w:r>
            </w:hyperlink>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0000EE"/>
            </w:tcBorders>
            <w:gridSpan w:val="6"/>
          </w:tcPr>
          <w:p>
            <w:pPr>
              <w:spacing w:after="0" w:line="165" w:lineRule="exact"/>
              <w:rPr>
                <w:rFonts w:ascii="Times New Roman" w:cs="Times New Roman" w:eastAsia="Times New Roman" w:hAnsi="Times New Roman"/>
                <w:sz w:val="15"/>
                <w:szCs w:val="15"/>
                <w:color w:val="0000EE"/>
                <w:w w:val="98"/>
              </w:rPr>
            </w:pPr>
            <w:hyperlink w:anchor="page74">
              <w:r>
                <w:rPr>
                  <w:rFonts w:ascii="Times New Roman" w:cs="Times New Roman" w:eastAsia="Times New Roman" w:hAnsi="Times New Roman"/>
                  <w:sz w:val="15"/>
                  <w:szCs w:val="15"/>
                  <w:color w:val="0000EE"/>
                  <w:w w:val="98"/>
                </w:rPr>
                <w:t>Officer Pursuant to Rules 13a-14(a)</w:t>
              </w:r>
            </w:hyperlink>
          </w:p>
        </w:tc>
        <w:tc>
          <w:tcPr>
            <w:tcW w:w="360" w:type="dxa"/>
            <w:vAlign w:val="bottom"/>
            <w:gridSpan w:val="4"/>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spacing w:after="0" w:line="165" w:lineRule="exact"/>
              <w:rPr>
                <w:rFonts w:ascii="Times New Roman" w:cs="Times New Roman" w:eastAsia="Times New Roman" w:hAnsi="Times New Roman"/>
                <w:sz w:val="15"/>
                <w:szCs w:val="15"/>
                <w:color w:val="0000EE"/>
              </w:rPr>
            </w:pPr>
            <w:hyperlink w:anchor="page74">
              <w:r>
                <w:rPr>
                  <w:rFonts w:ascii="Times New Roman" w:cs="Times New Roman" w:eastAsia="Times New Roman" w:hAnsi="Times New Roman"/>
                  <w:sz w:val="15"/>
                  <w:szCs w:val="15"/>
                  <w:color w:val="0000EE"/>
                </w:rPr>
                <w:t>and 15d-14(a) under the Securities</w:t>
              </w:r>
            </w:hyperlink>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0000EE"/>
            </w:tcBorders>
            <w:gridSpan w:val="4"/>
          </w:tcPr>
          <w:p>
            <w:pPr>
              <w:spacing w:after="0" w:line="165" w:lineRule="exact"/>
              <w:rPr>
                <w:rFonts w:ascii="Times New Roman" w:cs="Times New Roman" w:eastAsia="Times New Roman" w:hAnsi="Times New Roman"/>
                <w:sz w:val="15"/>
                <w:szCs w:val="15"/>
                <w:color w:val="0000EE"/>
                <w:w w:val="98"/>
              </w:rPr>
            </w:pPr>
            <w:hyperlink w:anchor="page74">
              <w:r>
                <w:rPr>
                  <w:rFonts w:ascii="Times New Roman" w:cs="Times New Roman" w:eastAsia="Times New Roman" w:hAnsi="Times New Roman"/>
                  <w:sz w:val="15"/>
                  <w:szCs w:val="15"/>
                  <w:color w:val="0000EE"/>
                  <w:w w:val="98"/>
                </w:rPr>
                <w:t>Exchange Act of 1934, as Adopted</w:t>
              </w:r>
            </w:hyperlink>
          </w:p>
        </w:tc>
        <w:tc>
          <w:tcPr>
            <w:tcW w:w="420" w:type="dxa"/>
            <w:vAlign w:val="bottom"/>
            <w:gridSpan w:val="6"/>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4">
              <w:r>
                <w:rPr>
                  <w:rFonts w:ascii="Times New Roman" w:cs="Times New Roman" w:eastAsia="Times New Roman" w:hAnsi="Times New Roman"/>
                  <w:sz w:val="15"/>
                  <w:szCs w:val="15"/>
                  <w:u w:val="single" w:color="auto"/>
                  <w:color w:val="0000EE"/>
                </w:rPr>
                <w:t>Pursuant to Section 302 of the</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31.2</w:t>
            </w: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4">
              <w:r>
                <w:rPr>
                  <w:rFonts w:ascii="Times New Roman" w:cs="Times New Roman" w:eastAsia="Times New Roman" w:hAnsi="Times New Roman"/>
                  <w:sz w:val="15"/>
                  <w:szCs w:val="15"/>
                  <w:u w:val="single" w:color="auto"/>
                  <w:color w:val="0000EE"/>
                </w:rPr>
                <w:t>Sarbanes-Oxley Act of 2002</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Borders>
              <w:bottom w:val="single" w:sz="8" w:color="0000EE"/>
            </w:tcBorders>
            <w:gridSpan w:val="5"/>
          </w:tcPr>
          <w:p>
            <w:pPr>
              <w:spacing w:after="0" w:line="161" w:lineRule="exact"/>
              <w:rPr>
                <w:rFonts w:ascii="Times New Roman" w:cs="Times New Roman" w:eastAsia="Times New Roman" w:hAnsi="Times New Roman"/>
                <w:sz w:val="15"/>
                <w:szCs w:val="15"/>
                <w:color w:val="0000EE"/>
                <w:w w:val="98"/>
              </w:rPr>
            </w:pPr>
            <w:hyperlink w:anchor="page75">
              <w:r>
                <w:rPr>
                  <w:rFonts w:ascii="Times New Roman" w:cs="Times New Roman" w:eastAsia="Times New Roman" w:hAnsi="Times New Roman"/>
                  <w:sz w:val="15"/>
                  <w:szCs w:val="15"/>
                  <w:color w:val="0000EE"/>
                  <w:w w:val="98"/>
                </w:rPr>
                <w:t>Certification of Principal Executive</w:t>
              </w:r>
            </w:hyperlink>
          </w:p>
        </w:tc>
        <w:tc>
          <w:tcPr>
            <w:tcW w:w="38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0000EE"/>
            </w:tcBorders>
            <w:gridSpan w:val="8"/>
          </w:tcPr>
          <w:p>
            <w:pPr>
              <w:spacing w:after="0" w:line="165" w:lineRule="exact"/>
              <w:rPr>
                <w:rFonts w:ascii="Times New Roman" w:cs="Times New Roman" w:eastAsia="Times New Roman" w:hAnsi="Times New Roman"/>
                <w:sz w:val="15"/>
                <w:szCs w:val="15"/>
                <w:color w:val="0000EE"/>
                <w:w w:val="97"/>
              </w:rPr>
            </w:pPr>
            <w:hyperlink w:anchor="page75">
              <w:r>
                <w:rPr>
                  <w:rFonts w:ascii="Times New Roman" w:cs="Times New Roman" w:eastAsia="Times New Roman" w:hAnsi="Times New Roman"/>
                  <w:sz w:val="15"/>
                  <w:szCs w:val="15"/>
                  <w:color w:val="0000EE"/>
                  <w:w w:val="97"/>
                </w:rPr>
                <w:t>Officer Pursuant to 18 U.S.C. Section</w:t>
              </w:r>
            </w:hyperlink>
          </w:p>
        </w:tc>
        <w:tc>
          <w:tcPr>
            <w:tcW w:w="2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spacing w:after="0" w:line="165" w:lineRule="exact"/>
              <w:rPr>
                <w:rFonts w:ascii="Times New Roman" w:cs="Times New Roman" w:eastAsia="Times New Roman" w:hAnsi="Times New Roman"/>
                <w:sz w:val="15"/>
                <w:szCs w:val="15"/>
                <w:color w:val="0000EE"/>
              </w:rPr>
            </w:pPr>
            <w:hyperlink w:anchor="page75">
              <w:r>
                <w:rPr>
                  <w:rFonts w:ascii="Times New Roman" w:cs="Times New Roman" w:eastAsia="Times New Roman" w:hAnsi="Times New Roman"/>
                  <w:sz w:val="15"/>
                  <w:szCs w:val="15"/>
                  <w:color w:val="0000EE"/>
                </w:rPr>
                <w:t>1350, as Adopted Pursuant to Section</w:t>
              </w:r>
            </w:hyperlink>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32.1</w:t>
            </w: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5">
              <w:r>
                <w:rPr>
                  <w:rFonts w:ascii="Times New Roman" w:cs="Times New Roman" w:eastAsia="Times New Roman" w:hAnsi="Times New Roman"/>
                  <w:sz w:val="15"/>
                  <w:szCs w:val="15"/>
                  <w:u w:val="single" w:color="auto"/>
                  <w:color w:val="0000EE"/>
                </w:rPr>
                <w:t>906 of the Sarbanes-Oxley Act of 2002</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10"/>
          </w:tcPr>
          <w:p>
            <w:pPr>
              <w:spacing w:after="0" w:line="161" w:lineRule="exact"/>
              <w:rPr>
                <w:rFonts w:ascii="Times New Roman" w:cs="Times New Roman" w:eastAsia="Times New Roman" w:hAnsi="Times New Roman"/>
                <w:sz w:val="15"/>
                <w:szCs w:val="15"/>
                <w:color w:val="0000EE"/>
              </w:rPr>
            </w:pPr>
            <w:hyperlink w:anchor="page76">
              <w:r>
                <w:rPr>
                  <w:rFonts w:ascii="Times New Roman" w:cs="Times New Roman" w:eastAsia="Times New Roman" w:hAnsi="Times New Roman"/>
                  <w:sz w:val="15"/>
                  <w:szCs w:val="15"/>
                  <w:color w:val="0000EE"/>
                </w:rPr>
                <w:t>Certification of Principal Financial</w:t>
              </w:r>
            </w:hyperlink>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0000EE"/>
            </w:tcBorders>
            <w:gridSpan w:val="8"/>
          </w:tcPr>
          <w:p>
            <w:pPr>
              <w:spacing w:after="0" w:line="165" w:lineRule="exact"/>
              <w:rPr>
                <w:rFonts w:ascii="Times New Roman" w:cs="Times New Roman" w:eastAsia="Times New Roman" w:hAnsi="Times New Roman"/>
                <w:sz w:val="15"/>
                <w:szCs w:val="15"/>
                <w:color w:val="0000EE"/>
                <w:w w:val="97"/>
              </w:rPr>
            </w:pPr>
            <w:hyperlink w:anchor="page76">
              <w:r>
                <w:rPr>
                  <w:rFonts w:ascii="Times New Roman" w:cs="Times New Roman" w:eastAsia="Times New Roman" w:hAnsi="Times New Roman"/>
                  <w:sz w:val="15"/>
                  <w:szCs w:val="15"/>
                  <w:color w:val="0000EE"/>
                  <w:w w:val="97"/>
                </w:rPr>
                <w:t>Officer Pursuant to 18 U.S.C. Section</w:t>
              </w:r>
            </w:hyperlink>
          </w:p>
        </w:tc>
        <w:tc>
          <w:tcPr>
            <w:tcW w:w="2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spacing w:after="0" w:line="165" w:lineRule="exact"/>
              <w:rPr>
                <w:rFonts w:ascii="Times New Roman" w:cs="Times New Roman" w:eastAsia="Times New Roman" w:hAnsi="Times New Roman"/>
                <w:sz w:val="15"/>
                <w:szCs w:val="15"/>
                <w:color w:val="0000EE"/>
              </w:rPr>
            </w:pPr>
            <w:hyperlink w:anchor="page76">
              <w:r>
                <w:rPr>
                  <w:rFonts w:ascii="Times New Roman" w:cs="Times New Roman" w:eastAsia="Times New Roman" w:hAnsi="Times New Roman"/>
                  <w:sz w:val="15"/>
                  <w:szCs w:val="15"/>
                  <w:color w:val="0000EE"/>
                </w:rPr>
                <w:t>1350, as Adopted Pursuant to Section</w:t>
              </w:r>
            </w:hyperlink>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32.2</w:t>
            </w:r>
          </w:p>
        </w:tc>
        <w:tc>
          <w:tcPr>
            <w:tcW w:w="160" w:type="dxa"/>
            <w:vAlign w:val="bottom"/>
          </w:tcPr>
          <w:p>
            <w:pPr>
              <w:spacing w:after="0"/>
              <w:rPr>
                <w:sz w:val="16"/>
                <w:szCs w:val="16"/>
                <w:color w:val="auto"/>
              </w:rPr>
            </w:pPr>
          </w:p>
        </w:tc>
        <w:tc>
          <w:tcPr>
            <w:tcW w:w="2500" w:type="dxa"/>
            <w:vAlign w:val="bottom"/>
            <w:gridSpan w:val="10"/>
          </w:tcPr>
          <w:p>
            <w:pPr>
              <w:spacing w:after="0"/>
              <w:rPr>
                <w:rFonts w:ascii="Times New Roman" w:cs="Times New Roman" w:eastAsia="Times New Roman" w:hAnsi="Times New Roman"/>
                <w:sz w:val="15"/>
                <w:szCs w:val="15"/>
                <w:u w:val="single" w:color="auto"/>
                <w:color w:val="0000EE"/>
              </w:rPr>
            </w:pPr>
            <w:hyperlink w:anchor="page76">
              <w:r>
                <w:rPr>
                  <w:rFonts w:ascii="Times New Roman" w:cs="Times New Roman" w:eastAsia="Times New Roman" w:hAnsi="Times New Roman"/>
                  <w:sz w:val="15"/>
                  <w:szCs w:val="15"/>
                  <w:u w:val="single" w:color="auto"/>
                  <w:color w:val="0000EE"/>
                </w:rPr>
                <w:t>906 of the Sarbanes-Oxley Act of 2002</w:t>
              </w:r>
            </w:hyperlink>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101.INS</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Instance 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Taxonomy Extension Schema</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101.SCH</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Taxonomy Extension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101.CAL</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Calculation Linkbase 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Taxonomy Extension Definition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101.DEF</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Linkbase 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Taxonomy Extension Label</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101.LAB</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Linkbase 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XBRL Taxonomy Extension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2"/>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101.PRE</w:t>
            </w:r>
          </w:p>
        </w:tc>
        <w:tc>
          <w:tcPr>
            <w:tcW w:w="160" w:type="dxa"/>
            <w:vAlign w:val="bottom"/>
          </w:tcPr>
          <w:p>
            <w:pPr>
              <w:spacing w:after="0"/>
              <w:rPr>
                <w:sz w:val="16"/>
                <w:szCs w:val="16"/>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Presentation Linkbase Document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332740</wp:posOffset>
            </wp:positionV>
            <wp:extent cx="5669915"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120"/>
          </w:cols>
          <w:pgMar w:left="1380" w:top="481" w:right="1399" w:bottom="1440" w:gutter="0" w:footer="0" w:header="0"/>
        </w:sectPr>
      </w:pPr>
    </w:p>
    <w:bookmarkStart w:id="71" w:name="page72"/>
    <w:bookmarkEnd w:id="7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5" w:lineRule="exact"/>
        <w:rPr>
          <w:sz w:val="20"/>
          <w:szCs w:val="20"/>
          <w:color w:val="auto"/>
        </w:rPr>
      </w:pPr>
    </w:p>
    <w:p>
      <w:pPr>
        <w:ind w:left="40" w:right="79" w:firstLine="593"/>
        <w:spacing w:after="0" w:line="29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590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Vertex, Inc.</w:t>
            </w:r>
          </w:p>
        </w:tc>
      </w:tr>
      <w:tr>
        <w:trPr>
          <w:trHeight w:val="395"/>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12, 2020</w:t>
            </w:r>
          </w:p>
        </w:tc>
        <w:tc>
          <w:tcPr>
            <w:tcW w:w="590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By: /s/ David DeStefano</w:t>
            </w:r>
          </w:p>
        </w:tc>
      </w:tr>
      <w:tr>
        <w:trPr>
          <w:trHeight w:val="171"/>
        </w:trPr>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David DeStefano</w:t>
            </w:r>
          </w:p>
        </w:tc>
      </w:tr>
      <w:tr>
        <w:trPr>
          <w:trHeight w:val="198"/>
        </w:trPr>
        <w:tc>
          <w:tcPr>
            <w:tcW w:w="3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 Chairperson (principal</w:t>
            </w:r>
          </w:p>
        </w:tc>
      </w:tr>
      <w:tr>
        <w:trPr>
          <w:trHeight w:val="217"/>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executive officer)</w:t>
            </w:r>
          </w:p>
        </w:tc>
      </w:tr>
      <w:tr>
        <w:trPr>
          <w:trHeight w:val="395"/>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12, 2020</w:t>
            </w:r>
          </w:p>
        </w:tc>
        <w:tc>
          <w:tcPr>
            <w:tcW w:w="590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By: /s/ John Schwab</w:t>
            </w:r>
          </w:p>
        </w:tc>
      </w:tr>
      <w:tr>
        <w:trPr>
          <w:trHeight w:val="171"/>
        </w:trPr>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John Schwab</w:t>
            </w:r>
          </w:p>
        </w:tc>
      </w:tr>
      <w:tr>
        <w:trPr>
          <w:trHeight w:val="217"/>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 (principal financial officer)</w:t>
            </w:r>
          </w:p>
        </w:tc>
      </w:tr>
      <w:tr>
        <w:trPr>
          <w:trHeight w:val="790"/>
        </w:trPr>
        <w:tc>
          <w:tcPr>
            <w:tcW w:w="3020" w:type="dxa"/>
            <w:vAlign w:val="bottom"/>
          </w:tcPr>
          <w:p>
            <w:pPr>
              <w:spacing w:after="0"/>
              <w:rPr>
                <w:sz w:val="24"/>
                <w:szCs w:val="24"/>
                <w:color w:val="auto"/>
              </w:rPr>
            </w:pPr>
          </w:p>
        </w:tc>
        <w:tc>
          <w:tcPr>
            <w:tcW w:w="17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-72-</w:t>
            </w:r>
          </w:p>
        </w:tc>
        <w:tc>
          <w:tcPr>
            <w:tcW w:w="4200" w:type="dxa"/>
            <w:vAlign w:val="bottom"/>
          </w:tcPr>
          <w:p>
            <w:pPr>
              <w:spacing w:after="0"/>
              <w:rPr>
                <w:sz w:val="24"/>
                <w:szCs w:val="24"/>
                <w:color w:val="auto"/>
              </w:rPr>
            </w:pPr>
          </w:p>
        </w:tc>
      </w:tr>
      <w:tr>
        <w:trPr>
          <w:trHeight w:val="510"/>
        </w:trPr>
        <w:tc>
          <w:tcPr>
            <w:tcW w:w="30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1"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DeStefano, certify that:</w:t>
      </w:r>
    </w:p>
    <w:p>
      <w:pPr>
        <w:spacing w:after="0" w:line="211" w:lineRule="exact"/>
        <w:rPr>
          <w:sz w:val="20"/>
          <w:szCs w:val="20"/>
          <w:color w:val="auto"/>
        </w:rPr>
      </w:pPr>
    </w:p>
    <w:p>
      <w:pPr>
        <w:ind w:left="600" w:hanging="303"/>
        <w:spacing w:after="0"/>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Vertex, Inc.;</w:t>
      </w:r>
    </w:p>
    <w:p>
      <w:pPr>
        <w:spacing w:after="0" w:line="211" w:lineRule="exact"/>
        <w:rPr>
          <w:rFonts w:ascii="Times New Roman" w:cs="Times New Roman" w:eastAsia="Times New Roman" w:hAnsi="Times New Roman"/>
          <w:sz w:val="16"/>
          <w:szCs w:val="16"/>
          <w:color w:val="auto"/>
        </w:rPr>
      </w:pPr>
    </w:p>
    <w:p>
      <w:pPr>
        <w:jc w:val="both"/>
        <w:ind w:left="600" w:hanging="303"/>
        <w:spacing w:after="0" w:line="277"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and 15d-15(e)) for the registrant and have:</w:t>
      </w:r>
    </w:p>
    <w:p>
      <w:pPr>
        <w:spacing w:after="0" w:line="137" w:lineRule="exact"/>
        <w:rPr>
          <w:rFonts w:ascii="Times New Roman" w:cs="Times New Roman" w:eastAsia="Times New Roman" w:hAnsi="Times New Roman"/>
          <w:sz w:val="16"/>
          <w:szCs w:val="16"/>
          <w:color w:val="auto"/>
        </w:rPr>
      </w:pPr>
    </w:p>
    <w:p>
      <w:pPr>
        <w:jc w:val="both"/>
        <w:ind w:left="1180" w:right="20" w:hanging="291"/>
        <w:spacing w:after="0" w:line="277" w:lineRule="auto"/>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6"/>
          <w:szCs w:val="16"/>
          <w:color w:val="auto"/>
        </w:rPr>
      </w:pPr>
    </w:p>
    <w:p>
      <w:pPr>
        <w:jc w:val="both"/>
        <w:ind w:left="1180" w:hanging="291"/>
        <w:spacing w:after="0" w:line="290" w:lineRule="auto"/>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Times New Roman" w:cs="Times New Roman" w:eastAsia="Times New Roman" w:hAnsi="Times New Roman"/>
          <w:sz w:val="16"/>
          <w:szCs w:val="16"/>
          <w:color w:val="auto"/>
        </w:rPr>
      </w:pPr>
    </w:p>
    <w:p>
      <w:pPr>
        <w:jc w:val="both"/>
        <w:ind w:left="1180" w:hanging="291"/>
        <w:spacing w:after="0" w:line="277" w:lineRule="auto"/>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1180" w:hanging="291"/>
        <w:spacing w:after="0" w:line="297" w:lineRule="auto"/>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1180" w:right="20" w:hanging="291"/>
        <w:spacing w:after="0" w:line="297" w:lineRule="auto"/>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6"/>
          <w:szCs w:val="16"/>
          <w:color w:val="auto"/>
        </w:rPr>
        <w:t>Date: November 12, 2020</w:t>
      </w:r>
      <w:r>
        <w:rPr>
          <w:sz w:val="20"/>
          <w:szCs w:val="20"/>
          <w:color w:val="auto"/>
        </w:rPr>
        <w:tab/>
      </w:r>
      <w:r>
        <w:rPr>
          <w:rFonts w:ascii="Times New Roman" w:cs="Times New Roman" w:eastAsia="Times New Roman" w:hAnsi="Times New Roman"/>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19050</wp:posOffset>
            </wp:positionV>
            <wp:extent cx="29565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56560" cy="7620"/>
                    </a:xfrm>
                    <a:prstGeom prst="rect">
                      <a:avLst/>
                    </a:prstGeom>
                    <a:noFill/>
                  </pic:spPr>
                </pic:pic>
              </a:graphicData>
            </a:graphic>
          </wp:anchor>
        </w:drawing>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David DeStefano</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447675</wp:posOffset>
            </wp:positionV>
            <wp:extent cx="629729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729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Schwab, certify that:</w:t>
      </w:r>
    </w:p>
    <w:p>
      <w:pPr>
        <w:spacing w:after="0" w:line="211" w:lineRule="exact"/>
        <w:rPr>
          <w:sz w:val="20"/>
          <w:szCs w:val="20"/>
          <w:color w:val="auto"/>
        </w:rPr>
      </w:pPr>
    </w:p>
    <w:p>
      <w:pPr>
        <w:ind w:left="600" w:hanging="303"/>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Vertex, Inc.;</w:t>
      </w:r>
    </w:p>
    <w:p>
      <w:pPr>
        <w:spacing w:after="0" w:line="223" w:lineRule="exact"/>
        <w:rPr>
          <w:rFonts w:ascii="Times New Roman" w:cs="Times New Roman" w:eastAsia="Times New Roman" w:hAnsi="Times New Roman"/>
          <w:sz w:val="16"/>
          <w:szCs w:val="16"/>
          <w:color w:val="auto"/>
        </w:rPr>
      </w:pPr>
    </w:p>
    <w:p>
      <w:pPr>
        <w:jc w:val="both"/>
        <w:ind w:left="600" w:hanging="303"/>
        <w:spacing w:after="0" w:line="277" w:lineRule="auto"/>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and 15d-15(e)) for the registrant and have:</w:t>
      </w:r>
    </w:p>
    <w:p>
      <w:pPr>
        <w:spacing w:after="0" w:line="149" w:lineRule="exact"/>
        <w:rPr>
          <w:rFonts w:ascii="Times New Roman" w:cs="Times New Roman" w:eastAsia="Times New Roman" w:hAnsi="Times New Roman"/>
          <w:sz w:val="16"/>
          <w:szCs w:val="16"/>
          <w:color w:val="auto"/>
        </w:rPr>
      </w:pPr>
    </w:p>
    <w:p>
      <w:pPr>
        <w:jc w:val="both"/>
        <w:ind w:left="1180" w:right="20" w:hanging="291"/>
        <w:spacing w:after="0" w:line="277"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6"/>
          <w:szCs w:val="16"/>
          <w:color w:val="auto"/>
        </w:rPr>
      </w:pPr>
    </w:p>
    <w:p>
      <w:pPr>
        <w:jc w:val="both"/>
        <w:ind w:left="1180" w:hanging="291"/>
        <w:spacing w:after="0" w:line="290"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8" w:lineRule="exact"/>
        <w:rPr>
          <w:rFonts w:ascii="Times New Roman" w:cs="Times New Roman" w:eastAsia="Times New Roman" w:hAnsi="Times New Roman"/>
          <w:sz w:val="16"/>
          <w:szCs w:val="16"/>
          <w:color w:val="auto"/>
        </w:rPr>
      </w:pPr>
    </w:p>
    <w:p>
      <w:pPr>
        <w:jc w:val="both"/>
        <w:ind w:left="1180" w:hanging="291"/>
        <w:spacing w:after="0" w:line="277"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6"/>
          <w:szCs w:val="16"/>
          <w:color w:val="auto"/>
        </w:rPr>
      </w:pPr>
    </w:p>
    <w:p>
      <w:pPr>
        <w:ind w:left="600" w:right="20" w:hanging="303"/>
        <w:spacing w:after="0" w:line="297" w:lineRule="auto"/>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180" w:hanging="291"/>
        <w:spacing w:after="0" w:line="297"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1180" w:right="20" w:hanging="291"/>
        <w:spacing w:after="0" w:line="297"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6"/>
          <w:szCs w:val="16"/>
          <w:color w:val="auto"/>
        </w:rPr>
        <w:t>Date: November 12, 2020</w:t>
      </w:r>
      <w:r>
        <w:rPr>
          <w:sz w:val="20"/>
          <w:szCs w:val="20"/>
          <w:color w:val="auto"/>
        </w:rPr>
        <w:tab/>
      </w:r>
      <w:r>
        <w:rPr>
          <w:rFonts w:ascii="Times New Roman" w:cs="Times New Roman" w:eastAsia="Times New Roman" w:hAnsi="Times New Roman"/>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19050</wp:posOffset>
            </wp:positionV>
            <wp:extent cx="29565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56560" cy="7620"/>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John Schwab</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447675</wp:posOffset>
            </wp:positionV>
            <wp:extent cx="6297295"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729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4" w:lineRule="exact"/>
        <w:rPr>
          <w:sz w:val="20"/>
          <w:szCs w:val="20"/>
          <w:color w:val="auto"/>
        </w:rPr>
      </w:pPr>
    </w:p>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In connection with the Quarterly Report on Form 10-Q of Vertex, Inc. (the “Company”) for the period ended September 30, 2020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1180" w:hanging="291"/>
        <w:spacing w:after="0"/>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5" w:lineRule="exact"/>
        <w:rPr>
          <w:rFonts w:ascii="Times New Roman" w:cs="Times New Roman" w:eastAsia="Times New Roman" w:hAnsi="Times New Roman"/>
          <w:sz w:val="16"/>
          <w:szCs w:val="16"/>
          <w:color w:val="auto"/>
        </w:rPr>
      </w:pPr>
    </w:p>
    <w:p>
      <w:pPr>
        <w:ind w:left="1180" w:right="140" w:hanging="291"/>
        <w:spacing w:after="0" w:line="297"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12, 2020</w:t>
            </w:r>
          </w:p>
        </w:tc>
        <w:tc>
          <w:tcPr>
            <w:tcW w:w="660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By:  /s/ David DeStefano</w:t>
            </w:r>
          </w:p>
        </w:tc>
      </w:tr>
      <w:tr>
        <w:trPr>
          <w:trHeight w:val="161"/>
        </w:trPr>
        <w:tc>
          <w:tcPr>
            <w:tcW w:w="3320" w:type="dxa"/>
            <w:vAlign w:val="bottom"/>
          </w:tcPr>
          <w:p>
            <w:pPr>
              <w:spacing w:after="0"/>
              <w:rPr>
                <w:sz w:val="14"/>
                <w:szCs w:val="14"/>
                <w:color w:val="auto"/>
              </w:rPr>
            </w:pPr>
          </w:p>
        </w:tc>
        <w:tc>
          <w:tcPr>
            <w:tcW w:w="1960" w:type="dxa"/>
            <w:vAlign w:val="bottom"/>
          </w:tcPr>
          <w:p>
            <w:pPr>
              <w:ind w:left="1620"/>
              <w:spacing w:after="0" w:line="161" w:lineRule="exact"/>
              <w:rPr>
                <w:sz w:val="20"/>
                <w:szCs w:val="20"/>
                <w:color w:val="auto"/>
              </w:rPr>
            </w:pPr>
            <w:r>
              <w:rPr>
                <w:rFonts w:ascii="Times New Roman" w:cs="Times New Roman" w:eastAsia="Times New Roman" w:hAnsi="Times New Roman"/>
                <w:sz w:val="16"/>
                <w:szCs w:val="16"/>
                <w:color w:val="auto"/>
                <w:w w:val="81"/>
              </w:rPr>
              <w:t>David</w:t>
            </w:r>
          </w:p>
        </w:tc>
        <w:tc>
          <w:tcPr>
            <w:tcW w:w="4640" w:type="dxa"/>
            <w:vAlign w:val="bottom"/>
            <w:tcBorders>
              <w:top w:val="single" w:sz="8" w:color="auto"/>
            </w:tcBorders>
          </w:tcPr>
          <w:p>
            <w:pPr>
              <w:ind w:left="100"/>
              <w:spacing w:after="0" w:line="161" w:lineRule="exact"/>
              <w:rPr>
                <w:sz w:val="20"/>
                <w:szCs w:val="20"/>
                <w:color w:val="auto"/>
              </w:rPr>
            </w:pPr>
            <w:r>
              <w:rPr>
                <w:rFonts w:ascii="Times New Roman" w:cs="Times New Roman" w:eastAsia="Times New Roman" w:hAnsi="Times New Roman"/>
                <w:sz w:val="16"/>
                <w:szCs w:val="16"/>
                <w:color w:val="auto"/>
              </w:rPr>
              <w:t>DeStefano</w:t>
            </w:r>
          </w:p>
        </w:tc>
      </w:tr>
      <w:tr>
        <w:trPr>
          <w:trHeight w:val="196"/>
        </w:trPr>
        <w:tc>
          <w:tcPr>
            <w:tcW w:w="3320" w:type="dxa"/>
            <w:vAlign w:val="bottom"/>
          </w:tcPr>
          <w:p>
            <w:pPr>
              <w:spacing w:after="0"/>
              <w:rPr>
                <w:sz w:val="17"/>
                <w:szCs w:val="17"/>
                <w:color w:val="auto"/>
              </w:rPr>
            </w:pPr>
          </w:p>
        </w:tc>
        <w:tc>
          <w:tcPr>
            <w:tcW w:w="660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7"/>
        </w:trPr>
        <w:tc>
          <w:tcPr>
            <w:tcW w:w="3320" w:type="dxa"/>
            <w:vAlign w:val="bottom"/>
          </w:tcPr>
          <w:p>
            <w:pPr>
              <w:spacing w:after="0"/>
              <w:rPr>
                <w:sz w:val="18"/>
                <w:szCs w:val="18"/>
                <w:color w:val="auto"/>
              </w:rPr>
            </w:pPr>
          </w:p>
        </w:tc>
        <w:tc>
          <w:tcPr>
            <w:tcW w:w="6600" w:type="dxa"/>
            <w:vAlign w:val="bottom"/>
            <w:gridSpan w:val="2"/>
          </w:tcPr>
          <w:p>
            <w:pPr>
              <w:ind w:left="16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r>
        <w:trPr>
          <w:trHeight w:val="708"/>
        </w:trPr>
        <w:tc>
          <w:tcPr>
            <w:tcW w:w="3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4" w:lineRule="exact"/>
        <w:rPr>
          <w:sz w:val="20"/>
          <w:szCs w:val="20"/>
          <w:color w:val="auto"/>
        </w:rPr>
      </w:pPr>
    </w:p>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In connection with the Quarterly Report on Form 10-Q of Vertex, Inc. (the “Company”) for the period ended September 30, 2020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1180" w:hanging="291"/>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5" w:lineRule="exact"/>
        <w:rPr>
          <w:rFonts w:ascii="Times New Roman" w:cs="Times New Roman" w:eastAsia="Times New Roman" w:hAnsi="Times New Roman"/>
          <w:sz w:val="16"/>
          <w:szCs w:val="16"/>
          <w:color w:val="auto"/>
        </w:rPr>
      </w:pPr>
    </w:p>
    <w:p>
      <w:pPr>
        <w:ind w:left="1180" w:right="20" w:hanging="291"/>
        <w:spacing w:after="0" w:line="297"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12, 2020</w:t>
            </w:r>
          </w:p>
        </w:tc>
        <w:tc>
          <w:tcPr>
            <w:tcW w:w="658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By: /s/ John Schwab</w:t>
            </w:r>
          </w:p>
        </w:tc>
      </w:tr>
      <w:tr>
        <w:trPr>
          <w:trHeight w:val="161"/>
        </w:trPr>
        <w:tc>
          <w:tcPr>
            <w:tcW w:w="3340" w:type="dxa"/>
            <w:vAlign w:val="bottom"/>
          </w:tcPr>
          <w:p>
            <w:pPr>
              <w:spacing w:after="0"/>
              <w:rPr>
                <w:sz w:val="14"/>
                <w:szCs w:val="14"/>
                <w:color w:val="auto"/>
              </w:rPr>
            </w:pPr>
          </w:p>
        </w:tc>
        <w:tc>
          <w:tcPr>
            <w:tcW w:w="1920" w:type="dxa"/>
            <w:vAlign w:val="bottom"/>
          </w:tcPr>
          <w:p>
            <w:pPr>
              <w:ind w:left="1620"/>
              <w:spacing w:after="0" w:line="161" w:lineRule="exact"/>
              <w:rPr>
                <w:sz w:val="20"/>
                <w:szCs w:val="20"/>
                <w:color w:val="auto"/>
              </w:rPr>
            </w:pPr>
            <w:r>
              <w:rPr>
                <w:rFonts w:ascii="Times New Roman" w:cs="Times New Roman" w:eastAsia="Times New Roman" w:hAnsi="Times New Roman"/>
                <w:sz w:val="16"/>
                <w:szCs w:val="16"/>
                <w:color w:val="auto"/>
                <w:w w:val="92"/>
              </w:rPr>
              <w:t>John</w:t>
            </w:r>
          </w:p>
        </w:tc>
        <w:tc>
          <w:tcPr>
            <w:tcW w:w="466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Schwab</w:t>
            </w:r>
          </w:p>
        </w:tc>
      </w:tr>
      <w:tr>
        <w:trPr>
          <w:trHeight w:val="196"/>
        </w:trPr>
        <w:tc>
          <w:tcPr>
            <w:tcW w:w="3340" w:type="dxa"/>
            <w:vAlign w:val="bottom"/>
          </w:tcPr>
          <w:p>
            <w:pPr>
              <w:spacing w:after="0"/>
              <w:rPr>
                <w:sz w:val="17"/>
                <w:szCs w:val="17"/>
                <w:color w:val="auto"/>
              </w:rPr>
            </w:pPr>
          </w:p>
        </w:tc>
        <w:tc>
          <w:tcPr>
            <w:tcW w:w="658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7"/>
        </w:trPr>
        <w:tc>
          <w:tcPr>
            <w:tcW w:w="3340" w:type="dxa"/>
            <w:vAlign w:val="bottom"/>
          </w:tcPr>
          <w:p>
            <w:pPr>
              <w:spacing w:after="0"/>
              <w:rPr>
                <w:sz w:val="18"/>
                <w:szCs w:val="18"/>
                <w:color w:val="auto"/>
              </w:rPr>
            </w:pPr>
          </w:p>
        </w:tc>
        <w:tc>
          <w:tcPr>
            <w:tcW w:w="6580" w:type="dxa"/>
            <w:vAlign w:val="bottom"/>
            <w:gridSpan w:val="2"/>
          </w:tcPr>
          <w:p>
            <w:pPr>
              <w:ind w:left="16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708"/>
        </w:trPr>
        <w:tc>
          <w:tcPr>
            <w:tcW w:w="3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7"/>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2020-11-13T05:28:49Z</dcterms:created>
  <dcterms:modified xsi:type="dcterms:W3CDTF">2020-11-13T05:28:49Z</dcterms:modified>
</cp:coreProperties>
</file>