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565785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526" w:hanging="526"/>
        <w:spacing w:after="0" w:line="273" w:lineRule="auto"/>
        <w:tabs>
          <w:tab w:leader="none" w:pos="52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0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506" w:right="40" w:hanging="479"/>
        <w:spacing w:after="0" w:line="273" w:lineRule="auto"/>
        <w:tabs>
          <w:tab w:leader="none" w:pos="506"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8" w:lineRule="exact"/>
        <w:rPr>
          <w:sz w:val="24"/>
          <w:szCs w:val="24"/>
          <w:color w:val="auto"/>
        </w:rPr>
      </w:pPr>
    </w:p>
    <w:tbl>
      <w:tblPr>
        <w:tblLayout w:type="fixed"/>
        <w:tblInd w:w="6"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Commission File Number: 001-39413</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0"/>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3"/>
          </w:tcPr>
          <w:p>
            <w:pPr>
              <w:jc w:val="center"/>
              <w:ind w:right="460"/>
              <w:spacing w:after="0"/>
              <w:rPr>
                <w:sz w:val="20"/>
                <w:szCs w:val="20"/>
                <w:color w:val="auto"/>
              </w:rPr>
            </w:pPr>
            <w:r>
              <w:rPr>
                <w:rFonts w:ascii="Times New Roman" w:cs="Times New Roman" w:eastAsia="Times New Roman" w:hAnsi="Times New Roman"/>
                <w:sz w:val="41"/>
                <w:szCs w:val="41"/>
                <w:b w:val="1"/>
                <w:bCs w:val="1"/>
                <w:color w:val="auto"/>
              </w:rPr>
              <w:t>VERTEX, INC.</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6"/>
                <w:szCs w:val="16"/>
                <w:b w:val="1"/>
                <w:bCs w:val="1"/>
                <w:color w:val="auto"/>
              </w:rPr>
              <w:t>23-2081753</w:t>
            </w:r>
          </w:p>
        </w:tc>
        <w:tc>
          <w:tcPr>
            <w:tcW w:w="0" w:type="dxa"/>
            <w:vAlign w:val="bottom"/>
          </w:tcPr>
          <w:p>
            <w:pPr>
              <w:spacing w:after="0"/>
              <w:rPr>
                <w:sz w:val="1"/>
                <w:szCs w:val="1"/>
                <w:color w:val="auto"/>
              </w:rPr>
            </w:pPr>
          </w:p>
        </w:tc>
      </w:tr>
      <w:tr>
        <w:trPr>
          <w:trHeight w:val="135"/>
        </w:trPr>
        <w:tc>
          <w:tcPr>
            <w:tcW w:w="3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tcPr>
          <w:p>
            <w:pPr>
              <w:jc w:val="center"/>
              <w:ind w:right="2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7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2301 Renaissance Blvd</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19406</w:t>
            </w:r>
          </w:p>
        </w:tc>
        <w:tc>
          <w:tcPr>
            <w:tcW w:w="0" w:type="dxa"/>
            <w:vAlign w:val="bottom"/>
          </w:tcPr>
          <w:p>
            <w:pPr>
              <w:spacing w:after="0"/>
              <w:rPr>
                <w:sz w:val="1"/>
                <w:szCs w:val="1"/>
                <w:color w:val="auto"/>
              </w:rPr>
            </w:pPr>
          </w:p>
        </w:tc>
      </w:tr>
      <w:tr>
        <w:trPr>
          <w:trHeight w:val="19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King of Prussia, Pennsylvania</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334"/>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(800) 355-3500</w:t>
            </w:r>
          </w:p>
        </w:tc>
        <w:tc>
          <w:tcPr>
            <w:tcW w:w="0" w:type="dxa"/>
            <w:vAlign w:val="bottom"/>
          </w:tcPr>
          <w:p>
            <w:pPr>
              <w:spacing w:after="0"/>
              <w:rPr>
                <w:sz w:val="1"/>
                <w:szCs w:val="1"/>
                <w:color w:val="auto"/>
              </w:rPr>
            </w:pPr>
          </w:p>
        </w:tc>
      </w:tr>
      <w:tr>
        <w:trPr>
          <w:trHeight w:val="283"/>
        </w:trPr>
        <w:tc>
          <w:tcPr>
            <w:tcW w:w="7260" w:type="dxa"/>
            <w:vAlign w:val="bottom"/>
            <w:gridSpan w:val="5"/>
          </w:tcPr>
          <w:p>
            <w:pPr>
              <w:jc w:val="center"/>
              <w:ind w:left="286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00" w:type="dxa"/>
            <w:vAlign w:val="bottom"/>
          </w:tcPr>
          <w:p>
            <w:pPr>
              <w:spacing w:after="0"/>
              <w:rPr>
                <w:sz w:val="21"/>
                <w:szCs w:val="21"/>
                <w:color w:val="auto"/>
              </w:rPr>
            </w:pPr>
          </w:p>
        </w:tc>
        <w:tc>
          <w:tcPr>
            <w:tcW w:w="38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96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56"/>
        </w:trPr>
        <w:tc>
          <w:tcPr>
            <w:tcW w:w="32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Class A Common Stock, Par Value $0.001 Per</w:t>
            </w:r>
          </w:p>
        </w:tc>
        <w:tc>
          <w:tcPr>
            <w:tcW w:w="200" w:type="dxa"/>
            <w:vAlign w:val="bottom"/>
            <w:vMerge w:val="continue"/>
          </w:tcPr>
          <w:p>
            <w:pPr>
              <w:spacing w:after="0"/>
              <w:rPr>
                <w:sz w:val="15"/>
                <w:szCs w:val="15"/>
                <w:color w:val="auto"/>
              </w:rPr>
            </w:pPr>
          </w:p>
        </w:tc>
        <w:tc>
          <w:tcPr>
            <w:tcW w:w="3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VERX</w:t>
            </w:r>
          </w:p>
        </w:tc>
        <w:tc>
          <w:tcPr>
            <w:tcW w:w="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jc w:val="center"/>
              <w:ind w:right="249"/>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left="6" w:firstLine="47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6" w:firstLine="47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6" w:firstLine="46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6" w:type="dxa"/>
        <w:tblCellMar>
          <w:top w:w="0" w:type="dxa"/>
          <w:left w:w="0" w:type="dxa"/>
          <w:bottom w:w="0" w:type="dxa"/>
          <w:right w:w="0" w:type="dxa"/>
        </w:tblCellMar>
      </w:tblPr>
      <w:tr>
        <w:trPr>
          <w:trHeight w:val="20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0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left="6" w:right="20" w:firstLine="46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466"/>
        <w:spacing w:after="0" w:line="184" w:lineRule="exact"/>
        <w:tabs>
          <w:tab w:leader="none" w:pos="8545"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2" w:lineRule="exact"/>
        <w:rPr>
          <w:sz w:val="24"/>
          <w:szCs w:val="24"/>
          <w:color w:val="auto"/>
        </w:rPr>
      </w:pPr>
    </w:p>
    <w:p>
      <w:pPr>
        <w:ind w:left="6" w:right="20" w:firstLine="466"/>
        <w:spacing w:after="0" w:line="298" w:lineRule="auto"/>
        <w:rPr>
          <w:sz w:val="20"/>
          <w:szCs w:val="20"/>
          <w:color w:val="auto"/>
        </w:rPr>
      </w:pPr>
      <w:r>
        <w:rPr>
          <w:rFonts w:ascii="Times New Roman" w:cs="Times New Roman" w:eastAsia="Times New Roman" w:hAnsi="Times New Roman"/>
          <w:sz w:val="16"/>
          <w:szCs w:val="16"/>
          <w:color w:val="auto"/>
        </w:rPr>
        <w:t>As of May 3, 2024, the registrant had 64,952,704 shares of Class A common stock, $0.001 par value per share, and 90,161,000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sectPr>
      </w:pPr>
    </w:p>
    <w:p>
      <w:pPr>
        <w:spacing w:after="0" w:line="18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0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0" w:type="dxa"/>
            <w:vAlign w:val="bottom"/>
            <w:gridSpan w:val="11"/>
            <w:vMerge w:val="restart"/>
          </w:tcPr>
          <w:p>
            <w:pPr>
              <w:jc w:val="center"/>
              <w:ind w:right="2360"/>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rPr>
              <w:t>Item 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0" w:type="dxa"/>
            <w:vAlign w:val="bottom"/>
            <w:gridSpan w:val="11"/>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25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2160" w:type="dxa"/>
            <w:vAlign w:val="bottom"/>
            <w:tcBorders>
              <w:top w:val="single" w:sz="8" w:color="0000EE"/>
            </w:tcBorders>
            <w:gridSpan w:val="5"/>
            <w:vMerge w:val="restart"/>
          </w:tcPr>
          <w:p>
            <w:pPr>
              <w:spacing w:after="0"/>
              <w:rPr>
                <w:sz w:val="18"/>
                <w:szCs w:val="18"/>
                <w:color w:val="auto"/>
              </w:rPr>
            </w:pPr>
          </w:p>
        </w:tc>
        <w:tc>
          <w:tcPr>
            <w:tcW w:w="2580" w:type="dxa"/>
            <w:vAlign w:val="bottom"/>
            <w:gridSpan w:val="5"/>
            <w:vMerge w:val="restart"/>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80" w:type="dxa"/>
            <w:vAlign w:val="bottom"/>
            <w:gridSpan w:val="10"/>
            <w:vMerge w:val="continue"/>
          </w:tcPr>
          <w:p>
            <w:pPr>
              <w:spacing w:after="0"/>
              <w:rPr>
                <w:sz w:val="8"/>
                <w:szCs w:val="8"/>
                <w:color w:val="auto"/>
              </w:rPr>
            </w:pPr>
          </w:p>
        </w:tc>
        <w:tc>
          <w:tcPr>
            <w:tcW w:w="2160" w:type="dxa"/>
            <w:vAlign w:val="bottom"/>
            <w:tcBorders>
              <w:top w:val="single" w:sz="8" w:color="0000EE"/>
            </w:tcBorders>
            <w:gridSpan w:val="5"/>
            <w:vMerge w:val="continue"/>
          </w:tcPr>
          <w:p>
            <w:pPr>
              <w:spacing w:after="0"/>
              <w:rPr>
                <w:sz w:val="8"/>
                <w:szCs w:val="8"/>
                <w:color w:val="auto"/>
              </w:rPr>
            </w:pPr>
          </w:p>
        </w:tc>
        <w:tc>
          <w:tcPr>
            <w:tcW w:w="2580" w:type="dxa"/>
            <w:vAlign w:val="bottom"/>
            <w:gridSpan w:val="5"/>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December 31, 2023</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Months 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March 31, 2024 and 2023 (unaudited)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Months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2024 and 2023 (unaudited)</w:t>
            </w:r>
          </w:p>
        </w:tc>
        <w:tc>
          <w:tcPr>
            <w:tcW w:w="408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2023 (unaudited)</w:t>
            </w:r>
          </w:p>
        </w:tc>
        <w:tc>
          <w:tcPr>
            <w:tcW w:w="60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40" w:type="dxa"/>
            <w:vAlign w:val="bottom"/>
            <w:gridSpan w:val="10"/>
          </w:tcPr>
          <w:p>
            <w:pPr>
              <w:jc w:val="center"/>
              <w:ind w:right="2580"/>
              <w:spacing w:after="0" w:line="196" w:lineRule="exact"/>
              <w:rPr>
                <w:sz w:val="20"/>
                <w:szCs w:val="20"/>
                <w:color w:val="auto"/>
              </w:rPr>
            </w:pPr>
            <w:r>
              <w:rPr>
                <w:rFonts w:ascii="Times New Roman" w:cs="Times New Roman" w:eastAsia="Times New Roman" w:hAnsi="Times New Roman"/>
                <w:sz w:val="18"/>
                <w:szCs w:val="18"/>
                <w:color w:val="0000EE"/>
                <w:w w:val="99"/>
              </w:rPr>
              <w:t>Part II - 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27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900" w:type="dxa"/>
            <w:vAlign w:val="bottom"/>
            <w:tcBorders>
              <w:top w:val="single" w:sz="8" w:color="0000EE"/>
            </w:tcBorders>
            <w:gridSpan w:val="3"/>
          </w:tcPr>
          <w:p>
            <w:pPr>
              <w:spacing w:after="0"/>
              <w:rPr>
                <w:sz w:val="17"/>
                <w:szCs w:val="17"/>
                <w:color w:val="auto"/>
              </w:rPr>
            </w:pPr>
          </w:p>
        </w:tc>
        <w:tc>
          <w:tcPr>
            <w:tcW w:w="270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56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6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560" w:type="dxa"/>
            <w:vAlign w:val="bottom"/>
            <w:gridSpan w:val="1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3"/>
          </w:tcPr>
          <w:p>
            <w:pPr>
              <w:ind w:left="36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95" w:lineRule="exact"/>
        <w:rPr>
          <w:sz w:val="20"/>
          <w:szCs w:val="20"/>
          <w:color w:val="auto"/>
        </w:rPr>
      </w:pPr>
    </w:p>
    <w:p>
      <w:pPr>
        <w:ind w:left="1040" w:right="7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revenue from existing customers and new customers, and expand their usage of our solutions;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strategic relationships with third parties;</w:t>
      </w:r>
    </w:p>
    <w:p>
      <w:pPr>
        <w:spacing w:after="0" w:line="90" w:lineRule="exact"/>
        <w:rPr>
          <w:rFonts w:ascii="Times New Roman" w:cs="Times New Roman" w:eastAsia="Times New Roman" w:hAnsi="Times New Roman"/>
          <w:sz w:val="18"/>
          <w:szCs w:val="18"/>
          <w:color w:val="auto"/>
        </w:rPr>
      </w:pPr>
    </w:p>
    <w:p>
      <w:pPr>
        <w:ind w:left="1040" w:right="29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technological change and successfully introduce new solutions or provide updates to existing solutions;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failures in information technology or infrastructure;</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using and managing use of Artificial Intelligence in our business;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improper implementation, integration or use of our solutions;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qualified technical and tax-content personnel;</w:t>
      </w:r>
    </w:p>
    <w:p>
      <w:pPr>
        <w:spacing w:after="0" w:line="90" w:lineRule="exact"/>
        <w:rPr>
          <w:rFonts w:ascii="Times New Roman" w:cs="Times New Roman" w:eastAsia="Times New Roman" w:hAnsi="Times New Roman"/>
          <w:sz w:val="18"/>
          <w:szCs w:val="18"/>
          <w:color w:val="auto"/>
        </w:rPr>
      </w:pPr>
    </w:p>
    <w:p>
      <w:pPr>
        <w:ind w:left="1040" w:right="1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from other tax software and service providers and challenges of convincing businesses using native enterprise resource planning (“ERP”) functions to switch to our software;</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our revenue and other future results of operations based on recent success;</w:t>
      </w:r>
    </w:p>
    <w:p>
      <w:pPr>
        <w:spacing w:after="0" w:line="103" w:lineRule="exact"/>
        <w:rPr>
          <w:rFonts w:ascii="Times New Roman" w:cs="Times New Roman" w:eastAsia="Times New Roman" w:hAnsi="Times New Roman"/>
          <w:sz w:val="18"/>
          <w:szCs w:val="18"/>
          <w:color w:val="auto"/>
        </w:rPr>
      </w:pPr>
    </w:p>
    <w:p>
      <w:pPr>
        <w:ind w:left="1040" w:right="51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specific software deployment methods based on changes to customers’ and partners’ software systems;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making significant investments in software development and equipment;</w:t>
      </w:r>
    </w:p>
    <w:p>
      <w:pPr>
        <w:spacing w:after="0" w:line="90" w:lineRule="exact"/>
        <w:rPr>
          <w:rFonts w:ascii="Times New Roman" w:cs="Times New Roman" w:eastAsia="Times New Roman" w:hAnsi="Times New Roman"/>
          <w:sz w:val="18"/>
          <w:szCs w:val="18"/>
          <w:color w:val="auto"/>
        </w:rPr>
      </w:pPr>
    </w:p>
    <w:p>
      <w:pPr>
        <w:ind w:left="1040" w:right="2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expand revenues, maintain profitability, and to effectively manage our anticipated growth;</w:t>
      </w:r>
    </w:p>
    <w:p>
      <w:pPr>
        <w:spacing w:after="0" w:line="27" w:lineRule="exact"/>
        <w:rPr>
          <w:rFonts w:ascii="Times New Roman" w:cs="Times New Roman" w:eastAsia="Times New Roman" w:hAnsi="Times New Roman"/>
          <w:sz w:val="18"/>
          <w:szCs w:val="18"/>
          <w:color w:val="auto"/>
        </w:rPr>
      </w:pPr>
    </w:p>
    <w:p>
      <w:pPr>
        <w:ind w:left="1040" w:right="3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diversify our solutions by developing or introducing new solutions or acquiring and integrating additional businesses, products, services, or content;</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fluctuations in our results of operations;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expanding international operations;</w:t>
      </w:r>
    </w:p>
    <w:p>
      <w:pPr>
        <w:spacing w:after="0" w:line="103" w:lineRule="exact"/>
        <w:rPr>
          <w:rFonts w:ascii="Times New Roman" w:cs="Times New Roman" w:eastAsia="Times New Roman" w:hAnsi="Times New Roman"/>
          <w:sz w:val="18"/>
          <w:szCs w:val="18"/>
          <w:color w:val="auto"/>
        </w:rPr>
      </w:pPr>
    </w:p>
    <w:p>
      <w:pPr>
        <w:ind w:left="1040" w:right="8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liability from errors, delays, fraud or system failures, which may not be covered by insurance;</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organizational changes and effectively implement strategic initiatives;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determinations of customers’ transaction tax and tax payments;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and regulations or their interpretation or enforcement;</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cybersecurity and data privacy risks;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material legal proceedings and audits;</w:t>
      </w:r>
    </w:p>
    <w:p>
      <w:pPr>
        <w:sectPr>
          <w:pgSz w:w="11900" w:h="16838" w:orient="portrait"/>
          <w:cols w:equalWidth="0" w:num="1">
            <w:col w:w="9019"/>
          </w:cols>
          <w:pgMar w:left="1440" w:top="513" w:right="1440"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undetected errors, bugs or defects in our software;</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utilization of open-source software, business processes and information systems;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failures in information technology, infrastructure, and third-party service providers;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protect, maintain, and enhance our brand;</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application, scope, interpretation or enforcement of laws and regulations;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weakness and uncertainties, and disruption in the capital and credit markets;</w:t>
      </w:r>
    </w:p>
    <w:p>
      <w:pPr>
        <w:spacing w:after="0" w:line="103" w:lineRule="exact"/>
        <w:rPr>
          <w:rFonts w:ascii="Times New Roman" w:cs="Times New Roman" w:eastAsia="Times New Roman" w:hAnsi="Times New Roman"/>
          <w:sz w:val="18"/>
          <w:szCs w:val="18"/>
          <w:color w:val="auto"/>
        </w:rPr>
      </w:pPr>
    </w:p>
    <w:p>
      <w:pPr>
        <w:ind w:left="1040" w:right="85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related to natural disasters, epidemic outbreaks, including a global endemic or pandemic, terrorist acts, political events, or other events outside of our control;</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anti-corruption, anti-bribery, and similar laws;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03" w:lineRule="exact"/>
        <w:rPr>
          <w:rFonts w:ascii="Times New Roman" w:cs="Times New Roman" w:eastAsia="Times New Roman" w:hAnsi="Times New Roman"/>
          <w:sz w:val="18"/>
          <w:szCs w:val="18"/>
          <w:color w:val="auto"/>
        </w:rPr>
      </w:pPr>
    </w:p>
    <w:p>
      <w:pPr>
        <w:ind w:left="1040" w:right="21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security ratings and market perceptions of the industry in which we operate, or our ability to obtain capital on commercially reasonable terms or at all;</w:t>
      </w:r>
    </w:p>
    <w:p>
      <w:pPr>
        <w:spacing w:after="0" w:line="14" w:lineRule="exact"/>
        <w:rPr>
          <w:rFonts w:ascii="Times New Roman" w:cs="Times New Roman" w:eastAsia="Times New Roman" w:hAnsi="Times New Roman"/>
          <w:sz w:val="18"/>
          <w:szCs w:val="18"/>
          <w:color w:val="auto"/>
        </w:rPr>
      </w:pPr>
    </w:p>
    <w:p>
      <w:pPr>
        <w:ind w:left="1040" w:right="9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or ability to remediate any material weakness in our internal controls;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Class A common stock and controlled company status;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adherence to the covenants under our debt instruments;</w:t>
      </w:r>
    </w:p>
    <w:p>
      <w:pPr>
        <w:spacing w:after="0" w:line="90" w:lineRule="exact"/>
        <w:rPr>
          <w:rFonts w:ascii="Times New Roman" w:cs="Times New Roman" w:eastAsia="Times New Roman" w:hAnsi="Times New Roman"/>
          <w:sz w:val="18"/>
          <w:szCs w:val="18"/>
          <w:color w:val="auto"/>
        </w:rPr>
      </w:pPr>
    </w:p>
    <w:p>
      <w:pPr>
        <w:ind w:left="1040" w:right="47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the Capped Call Transactions (as defined below) and regarding actions of the Option Counterparties (as defined below) and/or their respective affiliates;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of belief and any statements of assumptions underlying any of the foregoing; and</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w:t>
      </w:r>
    </w:p>
    <w:p>
      <w:pPr>
        <w:spacing w:after="0" w:line="3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risks included here are not exhaustive, and additional factors could adversely affect our business and financial performance, including factors and risks included in our Annual Report on Form 10-K for the year ended December 31, 2023, filed with the Securities and Exchange Commission (the “SEC”) on February 29, 2024 (the “2023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PART I - FINANCIAL INFORMATION</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840" w:type="dxa"/>
            <w:vAlign w:val="bottom"/>
          </w:tcPr>
          <w:p>
            <w:pPr>
              <w:jc w:val="center"/>
              <w:ind w:left="3008"/>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40" w:type="dxa"/>
            <w:vAlign w:val="bottom"/>
          </w:tcPr>
          <w:p>
            <w:pPr>
              <w:jc w:val="center"/>
              <w:ind w:left="3008"/>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gridSpan w:val="2"/>
          </w:tcPr>
          <w:p>
            <w:pPr>
              <w:jc w:val="center"/>
              <w:ind w:left="2748"/>
              <w:spacing w:after="0" w:line="149" w:lineRule="exact"/>
              <w:rPr>
                <w:sz w:val="20"/>
                <w:szCs w:val="20"/>
                <w:color w:val="auto"/>
              </w:rPr>
            </w:pPr>
            <w:r>
              <w:rPr>
                <w:rFonts w:ascii="Times New Roman" w:cs="Times New Roman" w:eastAsia="Times New Roman" w:hAnsi="Times New Roman"/>
                <w:sz w:val="14"/>
                <w:szCs w:val="14"/>
                <w:b w:val="1"/>
                <w:bCs w:val="1"/>
                <w:color w:val="auto"/>
              </w:rPr>
              <w:t>As of March 31, 2024 and December 31, 2023</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100" w:type="dxa"/>
            <w:vAlign w:val="bottom"/>
            <w:gridSpan w:val="2"/>
          </w:tcPr>
          <w:p>
            <w:pPr>
              <w:jc w:val="center"/>
              <w:ind w:left="2768"/>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56,134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Funds held for customers</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$20,241 and $16,272, respectively</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133,149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Investment securities available-for-sale, at fair value (amortized cost of $9,123 and $9,550,</w:t>
            </w:r>
          </w:p>
        </w:tc>
        <w:tc>
          <w:tcPr>
            <w:tcW w:w="26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9,101</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266,836</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100,594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software, net of accumulated amortization</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38,532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other intangible assets</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255,681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 asset</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44,311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14,774</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755,802</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759,927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36,754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Customer funds obligations</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33,670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18,659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variable compensation</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296,845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current</w:t>
            </w: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13,390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442,504</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440,779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26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net of current portion</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43,458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net of current portion</w:t>
            </w:r>
          </w:p>
        </w:tc>
        <w:tc>
          <w:tcPr>
            <w:tcW w:w="260" w:type="dxa"/>
            <w:vAlign w:val="bottom"/>
          </w:tcPr>
          <w:p>
            <w:pPr>
              <w:spacing w:after="0"/>
              <w:rPr>
                <w:sz w:val="12"/>
                <w:szCs w:val="12"/>
                <w:color w:val="auto"/>
              </w:rPr>
            </w:pPr>
          </w:p>
        </w:tc>
        <w:tc>
          <w:tcPr>
            <w:tcW w:w="15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other liabilities</w:t>
            </w:r>
          </w:p>
        </w:tc>
        <w:tc>
          <w:tcPr>
            <w:tcW w:w="2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505,672</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506,946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11)</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shares, $0.001 par value, 30,000 shares authorized; no shares issued and outstanding</w:t>
            </w:r>
          </w:p>
        </w:tc>
        <w:tc>
          <w:tcPr>
            <w:tcW w:w="2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8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voting common stock, $0.001 par value, 300,000 shares authorized; 62,316 and 60,989</w:t>
            </w:r>
          </w:p>
        </w:tc>
        <w:tc>
          <w:tcPr>
            <w:tcW w:w="26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and outstanding, respectively</w:t>
            </w: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8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voting common stock, $0.001 par value, 150,000 shares authorized; 92,661 and 92,661</w:t>
            </w:r>
          </w:p>
        </w:tc>
        <w:tc>
          <w:tcPr>
            <w:tcW w:w="26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issued and outstanding, respectively</w:t>
            </w:r>
          </w:p>
        </w:tc>
        <w:tc>
          <w:tcPr>
            <w:tcW w:w="26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26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273,647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Retained earnings (Accumulated deficit)</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(25,770)</w:t>
            </w:r>
          </w:p>
        </w:tc>
        <w:tc>
          <w:tcPr>
            <w:tcW w:w="2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250,130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252,981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755,802</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320"/>
          </w:cols>
          <w:pgMar w:left="1440" w:top="513" w:right="11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Vertex,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 and 2023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9"/>
        </w:trPr>
        <w:tc>
          <w:tcPr>
            <w:tcW w:w="60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right"/>
              <w:ind w:right="39"/>
              <w:spacing w:after="0" w:line="183"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131,830</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24,951</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156,781</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60,989</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95,792</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expense (income), net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97,357</w:t>
            </w:r>
          </w:p>
        </w:tc>
        <w:tc>
          <w:tcPr>
            <w:tcW w:w="2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(4,535)</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Unrealized (gain) loss on investments, net of tax</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Class A stockholders, basic</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Class A share, 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Class A common stock, basic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61,560</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Class A stockholders,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Class A share, diluted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Class A common stock, diluted</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67,921</w:t>
            </w: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Class B stockholders, basic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Class B share, 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Class B common stock, basic</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92,661</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Class B stockholders,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Class B share, diluted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Class B common stock, diluted</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92,661</w:t>
            </w:r>
          </w:p>
        </w:tc>
        <w:tc>
          <w:tcPr>
            <w:tcW w:w="2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right="464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For the three months ended March 31, 2024 and 2023 (unaudited)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266700</wp:posOffset>
            </wp:positionV>
            <wp:extent cx="6480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5"/>
        </w:trPr>
        <w:tc>
          <w:tcPr>
            <w:tcW w:w="3280" w:type="dxa"/>
            <w:vAlign w:val="bottom"/>
          </w:tcPr>
          <w:p>
            <w:pPr>
              <w:spacing w:after="0"/>
              <w:rPr>
                <w:sz w:val="11"/>
                <w:szCs w:val="11"/>
                <w:color w:val="auto"/>
              </w:rPr>
            </w:pPr>
          </w:p>
        </w:tc>
        <w:tc>
          <w:tcPr>
            <w:tcW w:w="9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8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12"/>
                <w:szCs w:val="12"/>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Paid In</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55"/>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8"/>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January 1, 2024</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60,989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92,661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275,155</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(586)</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(21,742)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252,981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(5,454)</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(10,898)</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14,845</w:t>
            </w:r>
          </w:p>
        </w:tc>
      </w:tr>
      <w:tr>
        <w:trPr>
          <w:trHeight w:val="117"/>
        </w:trPr>
        <w:tc>
          <w:tcPr>
            <w:tcW w:w="32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tax</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from available-for-sale investments</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2,684</w:t>
            </w:r>
          </w:p>
        </w:tc>
      </w:tr>
      <w:tr>
        <w:trPr>
          <w:trHeight w:val="128"/>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62,316</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92,661</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273,647</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2,098</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(25,770)</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250,130</w:t>
            </w: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7"/>
        </w:trPr>
        <w:tc>
          <w:tcPr>
            <w:tcW w:w="3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22"/>
                <w:szCs w:val="2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149"/>
        </w:trPr>
        <w:tc>
          <w:tcPr>
            <w:tcW w:w="3280" w:type="dxa"/>
            <w:vAlign w:val="bottom"/>
          </w:tcPr>
          <w:p>
            <w:pPr>
              <w:spacing w:after="0"/>
              <w:rPr>
                <w:sz w:val="12"/>
                <w:szCs w:val="1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2"/>
                <w:szCs w:val="12"/>
                <w:color w:val="auto"/>
              </w:rPr>
            </w:pPr>
          </w:p>
        </w:tc>
        <w:tc>
          <w:tcPr>
            <w:tcW w:w="6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12"/>
                <w:szCs w:val="12"/>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Paid In</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55"/>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8"/>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January 1, 2023</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50,014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100,307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244,820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12,507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(27,752)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229,725</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592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10,938</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Class B shares exchanged for Class A shares</w:t>
            </w: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of tax</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gain from available-for-sale investments</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(18,132)</w:t>
            </w:r>
          </w:p>
        </w:tc>
      </w:tr>
      <w:tr>
        <w:trPr>
          <w:trHeight w:val="129"/>
        </w:trPr>
        <w:tc>
          <w:tcPr>
            <w:tcW w:w="3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53,586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97,718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253,566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(5,625)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(24,617)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223,475</w:t>
            </w: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Vertex, Inc. and Subsidiaries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 and 2023 (unaudited)</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66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8"/>
        </w:trPr>
        <w:tc>
          <w:tcPr>
            <w:tcW w:w="66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r>
      <w:tr>
        <w:trPr>
          <w:trHeight w:val="183"/>
        </w:trPr>
        <w:tc>
          <w:tcPr>
            <w:tcW w:w="6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8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cloud computing implementation costs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subscription cancellations and non-renewals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(2,588)</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(7,335)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commissions</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(1,153)</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(8,486)</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17,578</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deferred compensation</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(14,515)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20" w:type="dxa"/>
            <w:vAlign w:val="bottom"/>
          </w:tcPr>
          <w:p>
            <w:pPr>
              <w:spacing w:after="0"/>
              <w:rPr>
                <w:sz w:val="17"/>
                <w:szCs w:val="17"/>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(1,125)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20" w:type="dxa"/>
            <w:vAlign w:val="bottom"/>
          </w:tcPr>
          <w:p>
            <w:pPr>
              <w:spacing w:after="0"/>
              <w:rPr>
                <w:sz w:val="17"/>
                <w:szCs w:val="17"/>
                <w:color w:val="auto"/>
              </w:rPr>
            </w:pPr>
          </w:p>
        </w:tc>
      </w:tr>
      <w:tr>
        <w:trPr>
          <w:trHeight w:val="203"/>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24,566</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20" w:type="dxa"/>
            <w:vAlign w:val="bottom"/>
          </w:tcPr>
          <w:p>
            <w:pPr>
              <w:spacing w:after="0"/>
              <w:rPr>
                <w:sz w:val="17"/>
                <w:szCs w:val="17"/>
                <w:color w:val="auto"/>
              </w:rPr>
            </w:pPr>
          </w:p>
        </w:tc>
      </w:tr>
      <w:tr>
        <w:trPr>
          <w:trHeight w:val="19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and equipment additions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(14,449)</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w:t>
            </w:r>
          </w:p>
        </w:tc>
        <w:tc>
          <w:tcPr>
            <w:tcW w:w="20" w:type="dxa"/>
            <w:vAlign w:val="bottom"/>
          </w:tcPr>
          <w:p>
            <w:pPr>
              <w:spacing w:after="0"/>
              <w:rPr>
                <w:sz w:val="18"/>
                <w:szCs w:val="18"/>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Capitalized software additions</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(5,615)</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investment securities, available-for-sale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(4,271)</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20" w:type="dxa"/>
            <w:vAlign w:val="bottom"/>
          </w:tcPr>
          <w:p>
            <w:pPr>
              <w:spacing w:after="0"/>
              <w:rPr>
                <w:sz w:val="17"/>
                <w:szCs w:val="17"/>
                <w:color w:val="auto"/>
              </w:rPr>
            </w:pPr>
          </w:p>
        </w:tc>
      </w:tr>
      <w:tr>
        <w:trPr>
          <w:trHeight w:val="203"/>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Proceeds from sales and maturities of investment securities, available-for-sale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(19,535)</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(14,297)</w:t>
            </w:r>
          </w:p>
        </w:tc>
        <w:tc>
          <w:tcPr>
            <w:tcW w:w="20" w:type="dxa"/>
            <w:vAlign w:val="bottom"/>
          </w:tcPr>
          <w:p>
            <w:pPr>
              <w:spacing w:after="0"/>
              <w:rPr>
                <w:sz w:val="17"/>
                <w:szCs w:val="17"/>
                <w:color w:val="auto"/>
              </w:rPr>
            </w:pPr>
          </w:p>
        </w:tc>
      </w:tr>
      <w:tr>
        <w:trPr>
          <w:trHeight w:val="19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increase in customer funds obligations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15,939</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(625)</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for deferred financing costs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(89)</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stock-based awards</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(17,862)</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0" w:type="dxa"/>
            <w:vAlign w:val="bottom"/>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finance lease liabilities</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for deferred purchase commitments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17"/>
                <w:szCs w:val="17"/>
                <w:color w:val="auto"/>
              </w:rPr>
            </w:pPr>
          </w:p>
        </w:tc>
      </w:tr>
      <w:tr>
        <w:trPr>
          <w:trHeight w:val="19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20" w:type="dxa"/>
            <w:vAlign w:val="bottom"/>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 w:type="dxa"/>
            <w:vAlign w:val="bottom"/>
          </w:tcPr>
          <w:p>
            <w:pPr>
              <w:spacing w:after="0"/>
              <w:rPr>
                <w:sz w:val="17"/>
                <w:szCs w:val="17"/>
                <w:color w:val="auto"/>
              </w:rPr>
            </w:pPr>
          </w:p>
        </w:tc>
      </w:tr>
      <w:tr>
        <w:trPr>
          <w:trHeight w:val="196"/>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(12,133)</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89,151</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106,748</w:t>
            </w:r>
          </w:p>
        </w:tc>
        <w:tc>
          <w:tcPr>
            <w:tcW w:w="20" w:type="dxa"/>
            <w:vAlign w:val="bottom"/>
          </w:tcPr>
          <w:p>
            <w:pPr>
              <w:spacing w:after="0"/>
              <w:rPr>
                <w:sz w:val="17"/>
                <w:szCs w:val="17"/>
                <w:color w:val="auto"/>
              </w:rPr>
            </w:pPr>
          </w:p>
        </w:tc>
      </w:tr>
      <w:tr>
        <w:trPr>
          <w:trHeight w:val="23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92,680</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94,615</w:t>
            </w:r>
          </w:p>
        </w:tc>
        <w:tc>
          <w:tcPr>
            <w:tcW w:w="20" w:type="dxa"/>
            <w:vAlign w:val="bottom"/>
          </w:tcPr>
          <w:p>
            <w:pPr>
              <w:spacing w:after="0"/>
              <w:rPr>
                <w:sz w:val="20"/>
                <w:szCs w:val="20"/>
                <w:color w:val="auto"/>
              </w:rPr>
            </w:pPr>
          </w:p>
        </w:tc>
      </w:tr>
      <w:tr>
        <w:trPr>
          <w:trHeight w:val="142"/>
        </w:trPr>
        <w:tc>
          <w:tcPr>
            <w:tcW w:w="6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 the Condensed Consolidated Balance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Sheets, end of period: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56,134</w:t>
            </w:r>
          </w:p>
        </w:tc>
        <w:tc>
          <w:tcPr>
            <w:tcW w:w="18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68,643</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cash—funds held for customers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25,972</w:t>
            </w:r>
          </w:p>
        </w:tc>
        <w:tc>
          <w:tcPr>
            <w:tcW w:w="20" w:type="dxa"/>
            <w:vAlign w:val="bottom"/>
          </w:tcPr>
          <w:p>
            <w:pPr>
              <w:spacing w:after="0"/>
              <w:rPr>
                <w:sz w:val="17"/>
                <w:szCs w:val="17"/>
                <w:color w:val="auto"/>
              </w:rPr>
            </w:pPr>
          </w:p>
        </w:tc>
      </w:tr>
      <w:tr>
        <w:trPr>
          <w:trHeight w:val="196"/>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92,680</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94,615</w:t>
            </w:r>
          </w:p>
        </w:tc>
        <w:tc>
          <w:tcPr>
            <w:tcW w:w="20" w:type="dxa"/>
            <w:vAlign w:val="bottom"/>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142875</wp:posOffset>
            </wp:positionV>
            <wp:extent cx="5648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80" w:right="3959" w:hanging="330"/>
        <w:spacing w:after="0" w:line="503" w:lineRule="auto"/>
        <w:tabs>
          <w:tab w:leader="none" w:pos="37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has an 80% controlling equity interest in Systax Sistemas Fiscais LTDA (“Systax”), a provider of Brazilian transaction tax content and software. Systax was determined to be a VIE and the accounts are included in the condensed consolidated financial statements. Vertex does not have full decision-making authority over Systax; however, Vertex is the entity that most significantly participates in the variability of the fair value of Systax’s net assets and is considered the entity most closely associated to Systax. As such, Vertex is deemed the primary beneficiary of Systax and consolidates Systax into its condensed consolidated financial statements.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2023 included in the Company’s Annual Report on Form 10-K for the year ended December 31, 2023 (the “2023 Annual Report”) filed with the SEC on February 29, 2024. The condensed consolidated balance sheet as of December 31, 2023 has been derived from audited financial statements included in the 2023 Annual Report. The accompanying interim condensed consolidated balance sheet as of March 31, 2024, the interim condensed consolidated statements of comprehensive income (loss) and changes in stockholders’ equity for the three months ended March 31, 2024 and 2023, and the interim condensed consolidated statements of cash flows for the three months ended March 31, 2024 and 2023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months ended March 31, 2024 are not necessarily indicative of the results expected for the full year ending December 31, 2024.</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43" w:lineRule="exact"/>
        <w:rPr>
          <w:sz w:val="20"/>
          <w:szCs w:val="20"/>
          <w:color w:val="auto"/>
        </w:rPr>
      </w:pPr>
    </w:p>
    <w:p>
      <w:pPr>
        <w:jc w:val="both"/>
        <w:ind w:left="100" w:right="119" w:firstLine="292"/>
        <w:spacing w:after="0" w:line="281"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For both the three months ended March 31, 2024 and March 31, 2023, approximately 7% of the Company’s revenues were generated from customers located outside the U.S. As of March 31, 2024 and December 31, 2023, $527 and $633, respectively, of the Company’s property and equipment assets were held outside the U.S.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43" w:lineRule="exact"/>
        <w:rPr>
          <w:sz w:val="20"/>
          <w:szCs w:val="20"/>
          <w:color w:val="auto"/>
        </w:rPr>
      </w:pPr>
    </w:p>
    <w:p>
      <w:pPr>
        <w:jc w:val="both"/>
        <w:ind w:left="100" w:right="119" w:firstLine="292"/>
        <w:spacing w:after="0" w:line="269"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w:t>
      </w:r>
    </w:p>
    <w:p>
      <w:pPr>
        <w:spacing w:after="0" w:line="3" w:lineRule="exact"/>
        <w:rPr>
          <w:sz w:val="20"/>
          <w:szCs w:val="20"/>
          <w:color w:val="auto"/>
        </w:rPr>
      </w:pPr>
    </w:p>
    <w:p>
      <w:pPr>
        <w:jc w:val="both"/>
        <w:ind w:left="100" w:right="119" w:firstLine="4"/>
        <w:spacing w:after="0" w:line="273" w:lineRule="auto"/>
        <w:tabs>
          <w:tab w:leader="none" w:pos="5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useful lives and potential impairment of long-lived assets, intangible assets, and capitalized cloud computing arrangement (“CCA”)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contingent consideration liabilities,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Cloud Computing Software Implementation Costs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Accounting Standards Codification (“ASC”) 350-40, </w:t>
      </w:r>
      <w:r>
        <w:rPr>
          <w:rFonts w:ascii="Times New Roman" w:cs="Times New Roman" w:eastAsia="Times New Roman" w:hAnsi="Times New Roman"/>
          <w:sz w:val="18"/>
          <w:szCs w:val="18"/>
          <w:i w:val="1"/>
          <w:iCs w:val="1"/>
          <w:color w:val="auto"/>
        </w:rPr>
        <w:t>Goodwill and Other, 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to account for development costs incurred for cloud computing software implementations. ASC 350-40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costs to be capitalized once certain criteria are met. Costs are primarily comprised of third-party consulting fees, direct labor, and related expenses. ASC 350-40 includes specific guidance on costs not to be capitalized, such as overhead, general and administrative and training costs.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w:t>
      </w:r>
    </w:p>
    <w:p>
      <w:pPr>
        <w:spacing w:after="0" w:line="187" w:lineRule="exact"/>
        <w:rPr>
          <w:sz w:val="20"/>
          <w:szCs w:val="20"/>
          <w:color w:val="auto"/>
        </w:rPr>
      </w:pPr>
    </w:p>
    <w:p>
      <w:pPr>
        <w:jc w:val="both"/>
        <w:ind w:left="60" w:right="59" w:firstLine="383"/>
        <w:spacing w:after="0" w:line="261" w:lineRule="auto"/>
        <w:rPr>
          <w:sz w:val="20"/>
          <w:szCs w:val="20"/>
          <w:color w:val="auto"/>
        </w:rPr>
      </w:pPr>
      <w:r>
        <w:rPr>
          <w:rFonts w:ascii="Times New Roman" w:cs="Times New Roman" w:eastAsia="Times New Roman" w:hAnsi="Times New Roman"/>
          <w:sz w:val="18"/>
          <w:szCs w:val="18"/>
          <w:color w:val="auto"/>
        </w:rPr>
        <w:t>Cloud computing software implementation costs incurred in hosting arrangements are capitalized and reported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two to five years.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for capitalized cloud computing implementation costs for the three months ended March 31, 2024 was $994 and is included in general and administrative expense in the condensed consolidated statements of comprehensive income (loss). There was no amortization expense for the three months ended March 31,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disclosures are as follows for the respective periods: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40" w:type="dxa"/>
            <w:vAlign w:val="bottom"/>
          </w:tcPr>
          <w:p>
            <w:pPr>
              <w:spacing w:after="0"/>
              <w:rPr>
                <w:sz w:val="15"/>
                <w:szCs w:val="15"/>
                <w:color w:val="auto"/>
              </w:rPr>
            </w:pP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licenses and support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0" w:type="dxa"/>
            <w:vAlign w:val="bottom"/>
          </w:tcPr>
          <w:p>
            <w:pPr>
              <w:spacing w:after="0"/>
              <w:rPr>
                <w:sz w:val="1"/>
                <w:szCs w:val="1"/>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contract labor and professional fees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1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Pronouncements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left="60" w:right="59" w:firstLine="410"/>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 Segment Reporting (Topic 280): Improvements to Reportable Segment Disclosures. The amendments in ASU 2023-07 improve reportable segment disclosure requirements through enhanced disclosures. These new requirements include: disclosure of significant segment expenses regularly provided to the CODM, the title and position of the CODM, and the extension of certain annual disclosures to interim periods, permitting the disclosure of multiple measures of segment profit or loss, provided that certain criteria are met. The standard also clarifies that entities with a single reportable segment are subject to new and existing segment reporting requirements. The standard will be effective for annual periods in fiscal years beginning after December 15, 2023, and interim periods within fiscal years beginning after December 15, 2024, with early adoption permitted. Entities must adopt the changes to the segment reporting guidance on a retrospective basis. The Company is continuing to assess the potential impacts of the amendments, and it does not expect this pronouncement to have a material effect on its consolidated financial statements, other than the required changes to the segment disclosures.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227" w:lineRule="exact"/>
        <w:rPr>
          <w:sz w:val="20"/>
          <w:szCs w:val="20"/>
          <w:color w:val="auto"/>
        </w:rPr>
      </w:pPr>
    </w:p>
    <w:p>
      <w:pPr>
        <w:jc w:val="both"/>
        <w:ind w:left="60" w:right="59" w:firstLine="410"/>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and for</w:t>
      </w:r>
    </w:p>
    <w:p>
      <w:pPr>
        <w:sectPr>
          <w:pgSz w:w="11900" w:h="16838" w:orient="portrait"/>
          <w:cols w:equalWidth="0" w:num="1">
            <w:col w:w="9019"/>
          </w:cols>
          <w:pgMar w:left="1440" w:top="661" w:right="1440" w:bottom="1440"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financial statements, other than the required changes to the income tax disclosures.</w:t>
      </w:r>
    </w:p>
    <w:p>
      <w:pPr>
        <w:spacing w:after="0" w:line="392"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w:t>
        <w:tab/>
        <w:t>REVENUE RECOGNITION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reflects revenue by major source for the following periods:</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14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 licenses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69,994</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62,808</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Cloud subscriptions</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61,836</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48,206</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111,014</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Services</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156,781</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$20,241 and $16,272 at March 31, 2024 and December 31, 2023, respectively. The allowance for potentially uncollectible accounts represents future expected credit losses over the life of the receivables based on past experience, current information and forward-looking economic considerations.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accounts receivable, net of allowance,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3"/>
                <w:szCs w:val="13"/>
                <w:color w:val="auto"/>
              </w:rPr>
            </w:pPr>
          </w:p>
        </w:tc>
        <w:tc>
          <w:tcPr>
            <w:tcW w:w="14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 March 31, 2024</w:t>
            </w:r>
          </w:p>
        </w:tc>
        <w:tc>
          <w:tcPr>
            <w:tcW w:w="140" w:type="dxa"/>
            <w:vAlign w:val="bottom"/>
          </w:tcPr>
          <w:p>
            <w:pPr>
              <w:spacing w:after="0"/>
              <w:rPr>
                <w:sz w:val="15"/>
                <w:szCs w:val="15"/>
                <w:color w:val="auto"/>
              </w:rPr>
            </w:pPr>
          </w:p>
        </w:tc>
        <w:tc>
          <w:tcPr>
            <w:tcW w:w="14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102,885</w:t>
            </w:r>
          </w:p>
        </w:tc>
      </w:tr>
      <w:tr>
        <w:trPr>
          <w:trHeight w:val="216"/>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141,752</w:t>
            </w:r>
          </w:p>
        </w:tc>
      </w:tr>
      <w:tr>
        <w:trPr>
          <w:trHeight w:val="210"/>
        </w:trPr>
        <w:tc>
          <w:tcPr>
            <w:tcW w:w="5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w:t>
            </w: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left="1500"/>
        <w:spacing w:after="0" w:line="263" w:lineRule="auto"/>
        <w:rPr>
          <w:sz w:val="20"/>
          <w:szCs w:val="20"/>
          <w:color w:val="auto"/>
        </w:rPr>
      </w:pPr>
      <w:r>
        <w:rPr>
          <w:rFonts w:ascii="Times New Roman" w:cs="Times New Roman" w:eastAsia="Times New Roman" w:hAnsi="Times New Roman"/>
          <w:sz w:val="18"/>
          <w:szCs w:val="18"/>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Deferred revenue is reflected net of a related deferred allowance for subscription cancellations (the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“deferred allowance”) of $14,634 and $11,741 at March 31, 2024 and December 31, 2023, respectively. The deferred allowance represents the portion of the allowance for subscription cancellations associated with deferred revenue.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and changes to the allowance and the deferred allowance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1100" w:type="dxa"/>
            <w:vAlign w:val="bottom"/>
            <w:tcBorders>
              <w:bottom w:val="single" w:sz="8" w:color="auto"/>
            </w:tcBorders>
            <w:gridSpan w:val="4"/>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7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Net Change</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2"/>
                <w:szCs w:val="12"/>
                <w:color w:val="auto"/>
              </w:rPr>
            </w:pPr>
          </w:p>
        </w:tc>
      </w:tr>
      <w:tr>
        <w:trPr>
          <w:trHeight w:val="128"/>
        </w:trPr>
        <w:tc>
          <w:tcPr>
            <w:tcW w:w="4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4"/>
          </w:tcPr>
          <w:p>
            <w:pPr>
              <w:jc w:val="right"/>
              <w:ind w:right="416"/>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January 1,</w:t>
            </w:r>
          </w:p>
        </w:tc>
        <w:tc>
          <w:tcPr>
            <w:tcW w:w="9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98"/>
              </w:rPr>
              <w:t>$ (16,272)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March 31,</w:t>
            </w: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(10,641)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January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March 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r>
      <w:tr>
        <w:trPr>
          <w:trHeight w:val="209"/>
        </w:trPr>
        <w:tc>
          <w:tcPr>
            <w:tcW w:w="4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Changes to deferred revenue:</w:t>
            </w:r>
          </w:p>
        </w:tc>
        <w:tc>
          <w:tcPr>
            <w:tcW w:w="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279,136</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(156,781)</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(132,751)</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300,991</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283,116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contract cost balances as of and for the following periods are: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02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3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46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4" w:lineRule="exact"/>
        <w:rPr>
          <w:sz w:val="20"/>
          <w:szCs w:val="20"/>
          <w:color w:val="auto"/>
        </w:rPr>
      </w:pPr>
    </w:p>
    <w:p>
      <w:pPr>
        <w:ind w:left="460" w:hanging="410"/>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 MEASUREMENTS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fair value for its financial assets and liabilities measured at fair value on a recurring basis:</w:t>
      </w:r>
    </w:p>
    <w:tbl>
      <w:tblPr>
        <w:tblLayout w:type="fixed"/>
        <w:tblInd w:w="4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 (unaudited)</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The Company has investments in bank and corporate issued commercial paper (“Commercial Paper”) and U.S. treasury securities (“U.S. Treasury Securities”). The Company believes that Level 2 designation is appropriate for Commercial Paper and U.S. Treasury Securities under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 these securities are fixed income securities, none are exchange-traded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January 2021 Tellutax LLC (“Tellutax”) acquisition, the sellers are entitled to contingent consideration if sales targets are met during a period of time following the acquisition (the “Tellutax Contingent Consideration”).</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sectPr>
          <w:pgSz w:w="11900" w:h="16838" w:orient="portrait"/>
          <w:cols w:equalWidth="0" w:num="1">
            <w:col w:w="9019"/>
          </w:cols>
          <w:pgMar w:left="1440" w:top="661" w:right="1440"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 fair value adjustment of $(800) was recorded in other operating expense (income), net for the three months ended March 31, 2024. A fair value adjustment of $200 was recorded in other operating expense (income), net for the three months ended March 31, 2023. At March 31, 2024, the Tellutax Contingent Consideration of $4,100 is included in purchase commitment and contingent consideration liabilities, current in the condensed consolidated balance sheets. At December 31, 2023, the Tellutax Contingent Consideration of $2,300 and $2,600 is included in purchase commitment and contingent consideration liabilities, current, and purchase commitment and contingent consideration liabilities, net of current portion, respectively, in the condensed consolidated balance sheets.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Tellutax Contingent Consideration fair value as of March 31, 2024 and December 31, 2023 and unobservable inputs used for the Monte Carlo Simulation valuation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March 31, 2024 (unaudited)</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9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20" w:type="dxa"/>
            <w:vAlign w:val="bottom"/>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7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900" w:type="dxa"/>
            <w:vAlign w:val="bottom"/>
            <w:gridSpan w:val="3"/>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20" w:type="dxa"/>
            <w:vAlign w:val="bottom"/>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40" w:type="dxa"/>
            <w:vAlign w:val="bottom"/>
          </w:tcPr>
          <w:p>
            <w:pPr>
              <w:spacing w:after="0"/>
              <w:rPr>
                <w:sz w:val="18"/>
                <w:szCs w:val="18"/>
                <w:color w:val="auto"/>
              </w:rPr>
            </w:pPr>
          </w:p>
        </w:tc>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6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Changes in the fair value of Tellutax Contingent Consideration during the three months ended March 31, 2024 were as follows:</w:t>
      </w:r>
    </w:p>
    <w:tbl>
      <w:tblPr>
        <w:tblLayout w:type="fixed"/>
        <w:tblInd w:w="40" w:type="dxa"/>
        <w:tblCellMar>
          <w:top w:w="0" w:type="dxa"/>
          <w:left w:w="0" w:type="dxa"/>
          <w:bottom w:w="0" w:type="dxa"/>
          <w:right w:w="0" w:type="dxa"/>
        </w:tblCellMar>
      </w:tblPr>
      <w:tr>
        <w:trPr>
          <w:trHeight w:val="137"/>
        </w:trPr>
        <w:tc>
          <w:tcPr>
            <w:tcW w:w="6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Tellutax</w:t>
            </w:r>
          </w:p>
        </w:tc>
      </w:tr>
      <w:tr>
        <w:trPr>
          <w:trHeight w:val="148"/>
        </w:trPr>
        <w:tc>
          <w:tcPr>
            <w:tcW w:w="6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Contingent</w:t>
            </w:r>
          </w:p>
        </w:tc>
      </w:tr>
      <w:tr>
        <w:trPr>
          <w:trHeight w:val="173"/>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142"/>
        </w:trPr>
        <w:tc>
          <w:tcPr>
            <w:tcW w:w="68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0" w:type="dxa"/>
            <w:vAlign w:val="bottom"/>
          </w:tcPr>
          <w:p>
            <w:pPr>
              <w:spacing w:after="0"/>
              <w:rPr>
                <w:sz w:val="18"/>
                <w:szCs w:val="18"/>
                <w:color w:val="auto"/>
              </w:rPr>
            </w:pP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r>
      <w:tr>
        <w:trPr>
          <w:trHeight w:val="21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and the carrying amount of funds held for customers were the same as their respective fair values and are considered Level 1 measurements.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our bank debt approximates fair value as the variable rates on the debt approximate those commercially available in the market, and is considered a Level 3 measurement.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a contractual commitment to acquire the remaining equity interest from the original Systax Quotaholders incrementally through 2024. Future purchase commitment payments for these incremental acquisition amounts are based on a multiple of Systax revenue and earnings before interest, depreciation, amortization, and income taxes (“EBITDA”) performance at the end of 2023 and 2022,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Liability at the acquisition date was finalized 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income (loss). Adjustments to the settlement date value that arise as a result of remeasurement at future balance sheet dates will be recorded as interest expense related to financing costs in the condensed consolidated statements of comprehensive income (loss) in the period the change is identified. No such adjustments have been recorded for the three months ended March 31, 2024 or 2023.</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remaining Purchase Commitment Liability at March 31, 2024 was $9,290, and is included in purchase commitment and contingent consideration liabilities, current, in the condensed consolidated balance sheet. The Purchase Commitment Liability included in purchase commitment and contingent consideration liabilities, current in the condensed consolidated balance sheet on December 31, 2023 was $9,601.</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the Purchase Commitment Liability discussed above approximated their respective fair values at such dates and are considered Level 3 non-recurring fair value measurements.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16" w:lineRule="exact"/>
        <w:rPr>
          <w:sz w:val="20"/>
          <w:szCs w:val="20"/>
          <w:color w:val="auto"/>
        </w:rPr>
      </w:pPr>
    </w:p>
    <w:p>
      <w:pPr>
        <w:jc w:val="both"/>
        <w:ind w:left="100" w:right="119" w:firstLine="292"/>
        <w:spacing w:after="0" w:line="266" w:lineRule="auto"/>
        <w:rPr>
          <w:sz w:val="20"/>
          <w:szCs w:val="20"/>
          <w:color w:val="auto"/>
        </w:rPr>
      </w:pPr>
      <w:r>
        <w:rPr>
          <w:rFonts w:ascii="Times New Roman" w:cs="Times New Roman" w:eastAsia="Times New Roman" w:hAnsi="Times New Roman"/>
          <w:sz w:val="18"/>
          <w:szCs w:val="18"/>
          <w:color w:val="auto"/>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foreign currency forward contracts to reduce our exposure to adverse fluctuations in the Brazilian Real associated with a portion of the Purchase Commitment Liability. Such forward contracts have not been designated as a hedge, do not qualify for hedge accounting and are not material to our condensed consolidated financial statements. These forward contacts are remeasured at fair value on a recurring basis and are included in other assets in our condensed consolidated balance sheets with changes in their estimated fair value recognized as interest expense in our condensed consolidated statements of comprehensive income (loss). Our fair value determinations are based on foreign currency exchange rates in active markets, which are considered to be Level 2 measurements within the Fair Value Hierarchy.</w:t>
      </w:r>
    </w:p>
    <w:p>
      <w:pPr>
        <w:spacing w:after="0" w:line="200" w:lineRule="exact"/>
        <w:rPr>
          <w:sz w:val="20"/>
          <w:szCs w:val="20"/>
          <w:color w:val="auto"/>
        </w:rPr>
      </w:pPr>
    </w:p>
    <w:p>
      <w:pPr>
        <w:spacing w:after="0" w:line="204" w:lineRule="exact"/>
        <w:rPr>
          <w:sz w:val="20"/>
          <w:szCs w:val="20"/>
          <w:color w:val="auto"/>
        </w:rPr>
      </w:pPr>
    </w:p>
    <w:p>
      <w:pPr>
        <w:ind w:left="780" w:hanging="406"/>
        <w:spacing w:after="0"/>
        <w:tabs>
          <w:tab w:leader="none" w:pos="7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property and equipment are as follows: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4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4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20,658</w:t>
            </w:r>
          </w:p>
        </w:tc>
        <w:tc>
          <w:tcPr>
            <w:tcW w:w="4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142,302</w:t>
            </w: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14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28,883</w:t>
            </w:r>
          </w:p>
        </w:tc>
      </w:tr>
      <w:tr>
        <w:trPr>
          <w:trHeight w:val="210"/>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263,648</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(174,546)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(162,914)</w:t>
            </w:r>
          </w:p>
        </w:tc>
      </w:tr>
      <w:tr>
        <w:trPr>
          <w:trHeight w:val="210"/>
        </w:trPr>
        <w:tc>
          <w:tcPr>
            <w:tcW w:w="4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100,594</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100,734</w:t>
            </w:r>
          </w:p>
        </w:tc>
      </w:tr>
      <w:tr>
        <w:trPr>
          <w:trHeight w:val="20"/>
        </w:trPr>
        <w:tc>
          <w:tcPr>
            <w:tcW w:w="4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property and equipment, excluding all internal-use software developed and finance leases, was $1,245 and $1,517 for the three months ended March 31, 2024 and 2023, respectively, and is reflected in depreciation and amortization in the condensed consolidated statements of comprehensive income (loss).</w:t>
      </w:r>
    </w:p>
    <w:p>
      <w:pPr>
        <w:sectPr>
          <w:pgSz w:w="11900" w:h="16838" w:orient="portrait"/>
          <w:cols w:equalWidth="0" w:num="1">
            <w:col w:w="9019"/>
          </w:cols>
          <w:pgMar w:left="1440" w:top="661"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Finance lease amortization was $22 and $279 for the three months ended March 31, 2024 and 2023, respectively, and is included in depreciation and amortization expense in the condensed consolidated statements of comprehensive income (loss).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Assets under finance leases of $297 and $297, net of accumulated amortization of $211 and $190, respectively, at March 31, 2024 and December 31, 2023, respectively, are included in property and equipment in the condensed consolidated balance sheets.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internal-use software developed are as follows: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24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As of March 31,   As of December 31,</w:t>
            </w:r>
          </w:p>
        </w:tc>
      </w:tr>
      <w:tr>
        <w:trPr>
          <w:trHeight w:val="173"/>
        </w:trPr>
        <w:tc>
          <w:tcPr>
            <w:tcW w:w="5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9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216,181</w:t>
            </w: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181,732</w:t>
            </w: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(134,073)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(121,646)</w:t>
            </w:r>
          </w:p>
        </w:tc>
      </w:tr>
      <w:tr>
        <w:trPr>
          <w:trHeight w:val="210"/>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 of accumulated depreciation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28,883</w:t>
            </w:r>
          </w:p>
        </w:tc>
      </w:tr>
      <w:tr>
        <w:trPr>
          <w:trHeight w:val="209"/>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w:t>
            </w: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90,114</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88,969</w:t>
            </w:r>
          </w:p>
        </w:tc>
      </w:tr>
      <w:tr>
        <w:trPr>
          <w:trHeight w:val="20"/>
        </w:trPr>
        <w:tc>
          <w:tcPr>
            <w:tcW w:w="5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property and equipment additions related to capitalized internal-use software on the condensed consolidated statements of cash flows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4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3"/>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6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In-process internal-use software developed is not depreciated until it is available for its intended use. Depreciation expense for internal-use software developed for cloud-based customer solutions for the three months ended March 31, 2024 and 2023 was $9,432 and $8,148, respectively, and is included in cost of revenues, software subscriptions in the condensed consolidated statements of comprehensive income (loss).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for internal-use software developed for internal systems and tools for the three months ended March 31, 2024 and 2023 was $3,739 and $1,945, respectively, and is included in depreciation and amortization in the condensed consolidated statements of comprehensive income (loss).</w:t>
      </w:r>
    </w:p>
    <w:p>
      <w:pPr>
        <w:spacing w:after="0" w:line="388" w:lineRule="exact"/>
        <w:rPr>
          <w:sz w:val="20"/>
          <w:szCs w:val="20"/>
          <w:color w:val="auto"/>
        </w:rPr>
      </w:pPr>
    </w:p>
    <w:p>
      <w:pPr>
        <w:ind w:left="680" w:hanging="306"/>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Capitalized software includes acquired software and direct labor and related expenses for software developed for sale for new products and enhancements to existing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capitalized software are as follows: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660" w:type="dxa"/>
            <w:vAlign w:val="bottom"/>
            <w:gridSpan w:val="6"/>
          </w:tcPr>
          <w:p>
            <w:pPr>
              <w:ind w:left="1280"/>
              <w:spacing w:after="0"/>
              <w:rPr>
                <w:sz w:val="20"/>
                <w:szCs w:val="20"/>
                <w:color w:val="auto"/>
              </w:rPr>
            </w:pPr>
            <w:r>
              <w:rPr>
                <w:rFonts w:ascii="Times New Roman" w:cs="Times New Roman" w:eastAsia="Times New Roman" w:hAnsi="Times New Roman"/>
                <w:sz w:val="14"/>
                <w:szCs w:val="14"/>
                <w:b w:val="1"/>
                <w:bCs w:val="1"/>
                <w:color w:val="auto"/>
              </w:rPr>
              <w:t>As of March 31,   As of December 31,</w:t>
            </w:r>
          </w:p>
        </w:tc>
      </w:tr>
      <w:tr>
        <w:trPr>
          <w:trHeight w:val="173"/>
        </w:trPr>
        <w:tc>
          <w:tcPr>
            <w:tcW w:w="5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124,937</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115,152</w:t>
            </w: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(81,410)</w:t>
            </w:r>
          </w:p>
        </w:tc>
      </w:tr>
      <w:tr>
        <w:trPr>
          <w:trHeight w:val="209"/>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 of accumulated depreciation</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w:t>
            </w: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capitalized software</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r>
      <w:tr>
        <w:trPr>
          <w:trHeight w:val="210"/>
        </w:trPr>
        <w:tc>
          <w:tcPr>
            <w:tcW w:w="5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w:t>
            </w:r>
          </w:p>
        </w:tc>
      </w:tr>
      <w:tr>
        <w:trPr>
          <w:trHeight w:val="20"/>
        </w:trPr>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61"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Software development costs capitalized for the three months ended March 31, 2024 and 2023, excluding acquisitions, were $5,615 and $4,007, respectively.</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Capitalized software amortization expense, including amortization of acquired technology, was $5,854 and $4,229 for the three months ended March 31, 2024 and 2023, respectively, and is included in cost of revenues, software subscriptions in the condensed consolidated statements of comprehensive income (loss).</w:t>
      </w:r>
    </w:p>
    <w:p>
      <w:pPr>
        <w:spacing w:after="0" w:line="388"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other intangible assets are as follows for the periods presented:</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9"/>
        </w:trPr>
        <w:tc>
          <w:tcPr>
            <w:tcW w:w="6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257,842</w:t>
            </w:r>
          </w:p>
        </w:tc>
      </w:tr>
      <w:tr>
        <w:trPr>
          <w:trHeight w:val="216"/>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09"/>
        </w:trPr>
        <w:tc>
          <w:tcPr>
            <w:tcW w:w="6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255,681</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260,238</w:t>
            </w: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3"/>
                <w:szCs w:val="13"/>
                <w:color w:val="auto"/>
              </w:rPr>
            </w:pPr>
          </w:p>
        </w:tc>
        <w:tc>
          <w:tcPr>
            <w:tcW w:w="16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center"/>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amortization period</w:t>
            </w:r>
          </w:p>
        </w:tc>
        <w:tc>
          <w:tcPr>
            <w:tcW w:w="260" w:type="dxa"/>
            <w:vAlign w:val="bottom"/>
            <w:shd w:val="clear" w:color="auto" w:fill="CCEEFF"/>
          </w:tcPr>
          <w:p>
            <w:pPr>
              <w:spacing w:after="0"/>
              <w:rPr>
                <w:sz w:val="17"/>
                <w:szCs w:val="17"/>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(9,115)</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amortization of other intangible assets: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2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Software Subscriptions</w:t>
            </w:r>
          </w:p>
        </w:tc>
        <w:tc>
          <w:tcPr>
            <w:tcW w:w="120" w:type="dxa"/>
            <w:vAlign w:val="bottom"/>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42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a credit agreement (“Credit Agreement”) with a banking syndicate, which provides (i) a term loan in the aggregate amount of $50,000 (the “Term Loan”); and (ii) a $200,000 revolving facility (the “Line of Credit”).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indebtedness at March 31, 2024 and December 31, 2023 was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300" w:type="dxa"/>
            <w:vAlign w:val="bottom"/>
          </w:tcPr>
          <w:p>
            <w:pPr>
              <w:spacing w:after="0"/>
              <w:rPr>
                <w:sz w:val="16"/>
                <w:szCs w:val="16"/>
                <w:color w:val="auto"/>
              </w:rPr>
            </w:pPr>
          </w:p>
        </w:tc>
        <w:tc>
          <w:tcPr>
            <w:tcW w:w="18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9"/>
        </w:trPr>
        <w:tc>
          <w:tcPr>
            <w:tcW w:w="4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09"/>
        </w:trPr>
        <w:tc>
          <w:tcPr>
            <w:tcW w:w="4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44,375</w:t>
            </w: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44,059</w:t>
            </w:r>
          </w:p>
        </w:tc>
      </w:tr>
      <w:tr>
        <w:trPr>
          <w:trHeight w:val="209"/>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45,958</w:t>
            </w:r>
          </w:p>
        </w:tc>
        <w:tc>
          <w:tcPr>
            <w:tcW w:w="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46,559</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80" w:right="6319" w:hanging="330"/>
        <w:spacing w:after="0" w:line="503" w:lineRule="auto"/>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issued 653 and 592 shares of Class A common stock, respectively, related to the exercise of options, net of 265 and 17 shares, respectively, returned to the Company in lieu of payment of the exercise price and taxes due on these exercises.</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issued 674 and 391 shares of Class A common stock, respectively, in connection with the vesting of Restricted Stock Units (“RSUs”), net of 417 and 231 shares, respectively, returned to the Company in lieu of payment of taxes due on the vesting of these RSUs.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 stockholder exchanged 2,589 shares of Class B common stock for an equivalent number of shares of Class A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360" w:hanging="310"/>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tables below illustrate the calculation of basic and diluted net loss per common share for the Class A common stock and Class B common stock for the periods reflected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80" w:type="dxa"/>
            <w:vAlign w:val="bottom"/>
          </w:tcPr>
          <w:p>
            <w:pPr>
              <w:spacing w:after="0"/>
              <w:rPr>
                <w:sz w:val="15"/>
                <w:szCs w:val="15"/>
                <w:color w:val="auto"/>
              </w:rPr>
            </w:pPr>
          </w:p>
        </w:tc>
        <w:tc>
          <w:tcPr>
            <w:tcW w:w="27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6"/>
        </w:trPr>
        <w:tc>
          <w:tcPr>
            <w:tcW w:w="580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4"/>
          </w:tcPr>
          <w:p>
            <w:pPr>
              <w:jc w:val="center"/>
              <w:ind w:left="433"/>
              <w:spacing w:after="0" w:line="129"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basic:</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all stockholders</w:t>
            </w:r>
          </w:p>
        </w:tc>
        <w:tc>
          <w:tcPr>
            <w:tcW w:w="6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5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A common stock as a percentage of total shares outstanding, basic</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33.49 %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Class A stockholders, basic</w:t>
            </w:r>
          </w:p>
        </w:tc>
        <w:tc>
          <w:tcPr>
            <w:tcW w:w="3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diluted: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all stockholders</w:t>
            </w:r>
          </w:p>
        </w:tc>
        <w:tc>
          <w:tcPr>
            <w:tcW w:w="6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58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Class A common stock as a percentage of total shares outstanding, diluted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Class A stockholders, diluted</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basic and diluted:</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 average Class A common stock, basic</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80"/>
              <w:spacing w:after="0" w:line="216" w:lineRule="exact"/>
              <w:rPr>
                <w:sz w:val="20"/>
                <w:szCs w:val="20"/>
                <w:color w:val="auto"/>
              </w:rPr>
            </w:pPr>
            <w:r>
              <w:rPr>
                <w:rFonts w:ascii="Times New Roman" w:cs="Times New Roman" w:eastAsia="Times New Roman" w:hAnsi="Times New Roman"/>
                <w:sz w:val="18"/>
                <w:szCs w:val="18"/>
                <w:color w:val="auto"/>
              </w:rPr>
              <w:t>Dilutive effect of common stock equivalents</w:t>
            </w:r>
            <w:r>
              <w:rPr>
                <w:rFonts w:ascii="Times New Roman" w:cs="Times New Roman" w:eastAsia="Times New Roman" w:hAnsi="Times New Roman"/>
                <w:sz w:val="24"/>
                <w:szCs w:val="24"/>
                <w:color w:val="auto"/>
                <w:vertAlign w:val="superscript"/>
              </w:rPr>
              <w:t>(1)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Weighted average Class A common stock, diluted</w:t>
            </w:r>
          </w:p>
        </w:tc>
        <w:tc>
          <w:tcPr>
            <w:tcW w:w="3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67,921</w:t>
            </w:r>
          </w:p>
        </w:tc>
        <w:tc>
          <w:tcPr>
            <w:tcW w:w="4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50,456</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Class A share, basic</w:t>
            </w:r>
          </w:p>
        </w:tc>
        <w:tc>
          <w:tcPr>
            <w:tcW w:w="6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Class A share, diluted</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480" w:right="99" w:hanging="322"/>
        <w:spacing w:after="0" w:line="275" w:lineRule="auto"/>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2023, the following weighted-average outstanding shares of common stock equivalents by award type were excluded from the computation of diluted net loss per share attributable to Class A stockholders, as the impact of including them would have been anti-dilutive: 8,335 options (including 705 out-of-the-money options), 235 restricted stock awards (“RSAs”), 3,141 RSUs, and 45 shares under the ESPP.</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basic: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all stockholders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(18,132)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 as a percentage of total shares outstanding, basic</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66.51 %</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Class B stockholders, basic</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diluted: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all stockholders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6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(18,132)</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 common stock as a percentage of total shares outstanding, diluted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66.51 %</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Class B stockholders, diluted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basic and diluted: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Class B common stock, basic</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Class B common stock, diluted</w:t>
            </w: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92,661</w:t>
            </w:r>
          </w:p>
        </w:tc>
        <w:tc>
          <w:tcPr>
            <w:tcW w:w="2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100,221</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Class B share, basic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Class B share, diluted</w:t>
            </w: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61"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4" w:lineRule="exact"/>
        <w:rPr>
          <w:sz w:val="20"/>
          <w:szCs w:val="20"/>
          <w:color w:val="auto"/>
        </w:rPr>
      </w:pPr>
    </w:p>
    <w:p>
      <w:pPr>
        <w:ind w:left="460" w:hanging="410"/>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 PLANS</w:t>
      </w:r>
    </w:p>
    <w:p>
      <w:pPr>
        <w:spacing w:after="0" w:line="25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2020 Incentive Award Plan (the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March 31, 2024, 20,921 shares of Class A common stock were available for issuance under the 2020 Plan.</w:t>
      </w:r>
    </w:p>
    <w:p>
      <w:pPr>
        <w:spacing w:after="0" w:line="3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activity for options outstanding under the 2020 Plan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2020 Plan Option Activity</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532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Plan options outstanding at March 31,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124,161</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2020 Plan options exercisable at March 31, 2024</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95,703</w:t>
            </w:r>
          </w:p>
        </w:tc>
        <w:tc>
          <w:tcPr>
            <w:tcW w:w="0" w:type="dxa"/>
            <w:vAlign w:val="bottom"/>
          </w:tcPr>
          <w:p>
            <w:pPr>
              <w:spacing w:after="0" w:line="20" w:lineRule="exact"/>
              <w:rPr>
                <w:sz w:val="1"/>
                <w:szCs w:val="1"/>
                <w:color w:val="auto"/>
              </w:rPr>
            </w:pPr>
          </w:p>
        </w:tc>
      </w:tr>
      <w:tr>
        <w:trPr>
          <w:trHeight w:val="196"/>
        </w:trPr>
        <w:tc>
          <w:tcPr>
            <w:tcW w:w="5320" w:type="dxa"/>
            <w:vAlign w:val="bottom"/>
            <w:gridSpan w:val="3"/>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3,582</w:t>
            </w: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 of options outstanding, vested, and exercisable under the 2020 Plan as of March 31, 2024 is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60" w:type="dxa"/>
            <w:vAlign w:val="bottom"/>
            <w:vMerge w:val="restart"/>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$0.15 to $0.71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*These options have indefinite contractual lives.</w:t>
      </w:r>
    </w:p>
    <w:p>
      <w:pPr>
        <w:spacing w:after="0" w:line="20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one to four years. The grant date fair value of options is estimated using the Black-Scholes model.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options issued under the 2020 Plan during the three months ended March 31, 2024 or 2023.</w:t>
      </w:r>
    </w:p>
    <w:p>
      <w:pPr>
        <w:spacing w:after="0" w:line="225" w:lineRule="exact"/>
        <w:rPr>
          <w:sz w:val="20"/>
          <w:szCs w:val="20"/>
          <w:color w:val="auto"/>
        </w:rPr>
      </w:pPr>
    </w:p>
    <w:p>
      <w:pPr>
        <w:ind w:left="60" w:right="839" w:firstLine="324"/>
        <w:spacing w:after="0" w:line="282" w:lineRule="auto"/>
        <w:rPr>
          <w:sz w:val="20"/>
          <w:szCs w:val="20"/>
          <w:color w:val="auto"/>
        </w:rPr>
      </w:pPr>
      <w:r>
        <w:rPr>
          <w:rFonts w:ascii="Times New Roman" w:cs="Times New Roman" w:eastAsia="Times New Roman" w:hAnsi="Times New Roman"/>
          <w:sz w:val="18"/>
          <w:szCs w:val="18"/>
          <w:color w:val="auto"/>
        </w:rPr>
        <w:t>At March 31, 2024, $3,628 of unrecognized compensation expense associated with options is expected to be recognized over a weighted average period of approximately 1.0 years.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 for the three months ended March 31,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16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(1,091)</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Stock-based compensation cost for RSUs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one to four years. Vested RSUs are settled by issuing Class A shares or the equivalent value in cash at the Board’s discretion. At March 31, 2024, $73,843 of unrecognized compensation cost for RSUs is expected to be recognized over a weighted average period of approximately 2.8 years.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RSA activity for the three months ended March 31,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6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RSAs is measured based on the fair value of the Company’s underlying common stock on the date of grant and is recognized on a straight-line basis in the condensed consolidated statements of comprehensive income (loss) over the period during which the participants are required to perform services in exchange for the award, which is generally one to four years. At March 31, 2024, $459 of unrecognized compensation cost for RSAs is expected to be recognized over a weighted average period of approximately 0.3 years.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reflected in accrued salaries and benefits in the condensed consolidated balance sheets until such shares are purchased. Amounts withheld from participants for the offering period ending May 31, 2024 aggregated $1,135 as of March 31, 2024. As of March 31, 2024, 6,451 shares of Class A common stock were available for issuance under the ESPP.</w:t>
      </w:r>
    </w:p>
    <w:p>
      <w:pPr>
        <w:sectPr>
          <w:pgSz w:w="11900" w:h="16838" w:orient="portrait"/>
          <w:cols w:equalWidth="0" w:num="1">
            <w:col w:w="9019"/>
          </w:cols>
          <w:pgMar w:left="1440" w:top="661" w:right="1440" w:bottom="1440"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there was approximately $150 of unrecognized ESPP stock-based compensation cost expected to be recognized on a straight-line basis over the remaining term of the six-month offering period ending May 31, 2024.</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At March 31, 2024 and 2023, there were two ESPP offering periods open that end May 31, 2024 and 2023, respectively. The fair value of ESPP purchase rights for the offering periods is comprised of the value of the 15% ESPP discount and the value associated with the call or put over the respective ESPP offering period. ESPP offering periods reflected in the March 31, 2024 and 2023 financial statements include the periods noted below in the table. The value of the call or put was estimated using the Black-Scholes model with the following assumptions: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Offering Period Ending</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5/31/2024</w:t>
            </w: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5/31/2023</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jc w:val="both"/>
        <w:ind w:left="60" w:right="59" w:firstLine="383"/>
        <w:spacing w:after="0" w:line="258" w:lineRule="auto"/>
        <w:rPr>
          <w:sz w:val="20"/>
          <w:szCs w:val="20"/>
          <w:color w:val="auto"/>
        </w:rPr>
      </w:pPr>
      <w:r>
        <w:rPr>
          <w:rFonts w:ascii="Times New Roman" w:cs="Times New Roman" w:eastAsia="Times New Roman" w:hAnsi="Times New Roman"/>
          <w:sz w:val="18"/>
          <w:szCs w:val="18"/>
          <w:color w:val="auto"/>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total stock-based compensation cost related to incentive awards, net of forfeitures, as follows:</w:t>
      </w:r>
    </w:p>
    <w:tbl>
      <w:tblPr>
        <w:tblLayout w:type="fixed"/>
        <w:tblInd w:w="4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RSAs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ESPP</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cost in the condensed consolidated statements of comprehensive income (loss) as follows:</w:t>
      </w:r>
    </w:p>
    <w:tbl>
      <w:tblPr>
        <w:tblLayout w:type="fixed"/>
        <w:tblInd w:w="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spacing w:after="0"/>
              <w:rPr>
                <w:sz w:val="15"/>
                <w:szCs w:val="15"/>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w w:val="77"/>
              </w:rPr>
              <w:t>(unaudited)</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9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1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16,324</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w:t>
      </w:r>
    </w:p>
    <w:p>
      <w:pPr>
        <w:sectPr>
          <w:pgSz w:w="11900" w:h="16838" w:orient="portrait"/>
          <w:cols w:equalWidth="0" w:num="1">
            <w:col w:w="9019"/>
          </w:cols>
          <w:pgMar w:left="1440" w:top="661" w:right="1440" w:bottom="1440" w:gutter="0" w:footer="0" w:header="0"/>
        </w:sectPr>
      </w:pP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reported income tax (benefit) expense of $(4,535) and $9,553 for the three months ended March 31, 2024 and 2023, respectively. The effective income tax rate ("ETR") was 245.0% for the three months ended March 31, 2024, compared to (111.4)% for the three months ended March 31, 2023.</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determining interim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due to state taxes, foreign taxes, limitations on deductions of certain employees’ compensation under Internal Revenue Code Section 162(m), tax benefits on the exercises and vesting of stock awards, tax credits, and fluctuations in valuation allowances on certain foreign deferred tax assets.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income tax benefit for the three months ended March 31, 2024 was primarily attributable to tax benefits from stock-based awards exercised or vested during the quarter, net of the impact from limitations on deductions of certain employees’ compensation. The income tax expense for the three months ended March 31, 2023 was primarily attributable to differences in tax rates on foreign jurisdiction income or loss, limitations on deductions of certain employees’ compensation, fluctuations in valuation allowances on certain foreign deferred tax assets, and income tax expense on income allocated to state jurisdictions.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April 19, 2024, the Company entered into the Fourth Amendment to the Credit Agreement (the “Fourth Amendment”) with a banking syndicate, which amended the Credit Agreement, dated as of March 31, 2020, providing for, among other things, amendments of certain definitions.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Indenture and Notes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April 26, 2024, the Company closed its private offering of $345,000 aggregate principal amount of 0.750% Convertible Senior Notes due 2029 (the “Notes”). The Notes were issued pursuant to, and are governed by, an indenture (the “Indenture”) between the Company and U.S. Bank Trust Company, National Association, as trustee. The Notes issued on April 26, 2024 include an additional $45,000 aggregate principal amount of Notes, issued pursuant to the full exercise by the initial purchasers of the Notes of their option to purchase additional Notes.</w:t>
      </w:r>
    </w:p>
    <w:p>
      <w:pPr>
        <w:spacing w:after="0" w:line="14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Notes are the senior, unsecured obligations of the Company and are (i) ranked equal in right of payment with the Company’s senior unsecured indebtedness, (ii) senior in right of payment to the Company’s indebtedness that is expressly subordinated to the Notes, (iii) effectively subordinated to the Company’s senior secured indebtedness, to the extent of the value of the collateral securing that indebtedness, and (iv) structurally subordinated to all indebtedness and other liabilities, including trade payables, and (to the extent the Company is not a holder thereof) preferred equity, if any, of the Company’s subsidiaries.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Notes bear interest at a rate of 0.750% per annum on the principal amount thereof, payable semi-annually in arrears on May 1 and November 1 of each year, beginning on November 1, 2024. The Notes will mature on May 1, 2029 (the “maturity date”), unless earlier repurchased, redeemed or converted in accordance with their terms. Before November 1, 2028, holders have the right to convert their Notes only upon the occurrence of certain events. On November 1, 2028, and thereafter, holders may convert their Notes anytime at their election, until the close of business on the second scheduled trading day immediately before the maturity date.</w:t>
      </w:r>
    </w:p>
    <w:p>
      <w:pPr>
        <w:sectPr>
          <w:pgSz w:w="11900" w:h="16838" w:orient="portrait"/>
          <w:cols w:equalWidth="0" w:num="1">
            <w:col w:w="9019"/>
          </w:cols>
          <w:pgMar w:left="1440" w:top="661" w:right="1440" w:bottom="1440" w:gutter="0" w:footer="0" w:header="0"/>
        </w:sectPr>
      </w:pP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Upon conversion, the Company will pay or deliver, as applicable, cash, shares of Class A common stock or a combination of cash and shares of Class A common stock at the Company’s election. The initial conversion rate for the Notes is 27.5315 shares of Class A common stock per $1,000 principal amount of Notes, which represents an initial conversion price of approximately $36.32 per share of Class A common stock, and is subject to adjustment upon the occurrence of certain specified events as set forth in the Indenture.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 offering of the Notes were $333,650, after deducting the initial purchasers’ discount and commissions, and the estimated offering expenses payable by the Company. The Company used $42,366 of the net proceeds from this offering to fund the cost of the Capped Call Transactions (as defined below) and intends to use the remainder for working capital or other general corporate expenses, which may include capital expenditures, potential acquisitions, and strategic transactions. However, the Company has not designated any specific uses and has no current agreements with respect to any acquisition or strategic transaction.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Capped Call Transactions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on April 23, 2024, the Company entered into privately negotiated capped call transactions (together, the “Base Capped Call Transactions”) with certain financial institutions (together, the “Option Counterparties”). In connection with the exercise of the option to purchase the additional Notes in full, the Company entered into additional capped call transactions with the Option Counterparties (together, the “Additional Capped Call Transactions” and, together with the Base Capped Call Transactions, the “Capped Call Transactions”).</w:t>
      </w:r>
    </w:p>
    <w:p>
      <w:pPr>
        <w:spacing w:after="0" w:line="156"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cap price of the Capped Call Transactions will initially be $55.88 per share of Class A common stock, and is subject to certain adjustments under the terms of the Capped Call Transactions. The Capped Call Transactions are expected generally to reduce the potential dilution to the Class A common stock upon any conversion of the Notes and/or to offset any cash payments the Company is required to make in excess of the principal amount of the converted Notes, as the case may be, upon any conversion of the Notes. The cost of the Capped Call Transactions was $42,366.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right="239"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February 29, 2024 (the “2023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2023 Annual Report and as may be subsequently updated by our other SEC filings.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1,500 professionals and serves companies across the globe.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89" w:lineRule="exact"/>
        <w:rPr>
          <w:sz w:val="20"/>
          <w:szCs w:val="20"/>
          <w:color w:val="auto"/>
        </w:rPr>
      </w:pPr>
    </w:p>
    <w:p>
      <w:pPr>
        <w:jc w:val="both"/>
        <w:ind w:left="60" w:right="59" w:firstLine="383"/>
        <w:spacing w:after="0" w:line="254" w:lineRule="auto"/>
        <w:rPr>
          <w:sz w:val="20"/>
          <w:szCs w:val="20"/>
          <w:color w:val="auto"/>
        </w:rPr>
      </w:pPr>
      <w:r>
        <w:rPr>
          <w:rFonts w:ascii="Times New Roman" w:cs="Times New Roman" w:eastAsia="Times New Roman" w:hAnsi="Times New Roman"/>
          <w:sz w:val="18"/>
          <w:szCs w:val="18"/>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47% and 43% of software subscription revenue from cloud-based subscriptions during the three months ended March 31, 2024 and 2023, respectively. While our on-premise software subscription revenue comprised 53% and 57% of our software subscription revenue during the three months ended March 31, 2024 and 2023, respectively, it continues to decrease as a percentage of total software subscriptions revenues as cloud-based subscriptions grow.</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partner ecosystem is a differentiating, competitive strength in both our software development and our sales and marketing activities. We integrate with key technology partners that span Enterprise Resource Planning (“ERP”), Customer Relationship Management (“CRM”), procurement, billing, Point of Sale (“POS”) and e-commerce. These partners include Adobe/Magento, Coupa, Microsoft Dynamics, NetSuite, Oracle, Salesforce, SAP, SAP Ariba, Shopify, Workday and Zuora. We also collaborate with numerous accounting firms who have built implementation practices around our software to serve their customer base.</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that global commerce and the compliance environment provides durable and accelerating growth opportunities for our business. We generated revenue of $156.8 million and $132.8 million for the three months ended March 31, 2024 and 2023, respectively. We had a net income (loss) of $2.7 million and $(18.1) million for the three months ended March 31, 2024 and 2023, respectively. These amounts are presented in accordance with United States (“U.S.”) generally accepted accounting principles (“GAAP”).</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loss or income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litigation settlements, and transaction costs. Adjusted EBITDA was $36.7 million and $20.2 million for the three months ended March 31, 2024 and 2023,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8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generate revenue from software subscriptions and services.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9" w:lineRule="exact"/>
        <w:rPr>
          <w:sz w:val="20"/>
          <w:szCs w:val="20"/>
          <w:color w:val="auto"/>
        </w:rPr>
      </w:pPr>
    </w:p>
    <w:p>
      <w:pPr>
        <w:jc w:val="center"/>
        <w:ind w:left="60" w:right="59"/>
        <w:spacing w:after="0" w:line="261" w:lineRule="auto"/>
        <w:rPr>
          <w:sz w:val="20"/>
          <w:szCs w:val="20"/>
          <w:color w:val="auto"/>
        </w:rPr>
      </w:pPr>
      <w:r>
        <w:rPr>
          <w:rFonts w:ascii="Times New Roman" w:cs="Times New Roman" w:eastAsia="Times New Roman" w:hAnsi="Times New Roman"/>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associated with returns processing volume increases attributable to regulatory changes, as customers expanded their tax filings into more jurisdictions.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will occur in advance of experiencing the benefits from such investments and may vary in scope and scale over future periods.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related to our ERP modernization initiative, and other internal support and infrastructure costs.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we continue to expand our operations, hire additional personnel, integrate current and future acquisitions, and incur additional costs associated with being a publicly-listed company, including costs related to compliance with Section 404(b) of the Sarbanes-Oxley Act of 2002 beginning in 2023, as well as the additional requirements resulting from the Company's loss of emerging growth company status.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(income), net reflects the net amount of our interest expense and interest income within the same period.</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incurred related to borrowings,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 future payment obligation for the Systax Sistemas Fiscais Limited (“Systax”) acquisition.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and estimates related to our projections and assumptions are inherently uncertain; therefore, actual results could materially differ from our projections.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2023 Annual Report. The period-to-period comparison of financial results is not necessarily indicative of financial results to be achieved in future periods. The following table sets forth our condensed consolidated statements of comprehensive income (loss) for the periods indicated.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3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Period-Over-Period</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111,014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132,751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Software subscriptions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Services </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95,792</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Research and development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Selling and marketing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(14,088)</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investments, net of tax</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1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22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20" w:hanging="170"/>
        <w:spacing w:after="0"/>
        <w:tabs>
          <w:tab w:leader="none" w:pos="2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stock-based compensation expenses as follows in the table below.</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05"/>
        </w:trPr>
        <w:tc>
          <w:tcPr>
            <w:tcW w:w="152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60" w:type="dxa"/>
            <w:vAlign w:val="bottom"/>
            <w:gridSpan w:val="5"/>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36"/>
        </w:trPr>
        <w:tc>
          <w:tcPr>
            <w:tcW w:w="1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4"/>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58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18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services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6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revenues for the periods presented.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980" w:type="dxa"/>
            <w:vAlign w:val="bottom"/>
          </w:tcPr>
          <w:p>
            <w:pPr>
              <w:spacing w:after="0"/>
              <w:rPr>
                <w:sz w:val="15"/>
                <w:szCs w:val="15"/>
                <w:color w:val="auto"/>
              </w:rPr>
            </w:pPr>
          </w:p>
        </w:tc>
        <w:tc>
          <w:tcPr>
            <w:tcW w:w="1760" w:type="dxa"/>
            <w:vAlign w:val="bottom"/>
            <w:gridSpan w:val="3"/>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15.9 %</w:t>
            </w: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9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10.1 %</w:t>
            </w: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19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9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34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25.8 %</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198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9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9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9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investments, net of tax</w:t>
            </w:r>
          </w:p>
        </w:tc>
        <w:tc>
          <w:tcPr>
            <w:tcW w:w="19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98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98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32</w:t>
            </w: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111,014</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Services</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132,751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$24.0 million, or 18.1%, to $156.8 million for the three months ended March 31, 2024 compared to $132.8 million for the same period in 2023. The increase in software subscriptions revenues of $20.8 million, or 18.8%, was primarily driven by increases from our existing customers in cross selling new products to existing customers, and to a lesser extent, increases due to expanded use and price increases. Software subscriptions revenues derived from new customers averaged 5.6% and 6.8% of total software subscriptions revenues in the three months ended March 31, 2024 and 2023, respectively.</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$3.2 million increase in services revenues was primarily driven by an increase of $1.9 million in software subscription-related services associated with the growth in subscription revenues, which includes new customers implementing our solutions and existing customers upgrading to newer versions of our solutions. In addition, our managed services offering experienced a $1.3 million increase driven by an increase in recurring services revenues over the prior year due to returns processing volume increases related to customer business growth and regulatory changes as customers expanded their tax filings into more jurisdictions, as well as an increase in interest received from our funds held for customers.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Revenues</w:t>
      </w:r>
    </w:p>
    <w:p>
      <w:pPr>
        <w:spacing w:after="0" w:line="26"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24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7,725</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revenues increased $7.7 million, or 20.7%, to $45.1 million for the three months ended March 31, 2024 compared to $37.4 million for the same period in 2023. The increase in cost of software subscriptions revenues was primarily driven by a $4.8 million increase in costs of personnel supporting period-over-period growth of sales and customers, ongoing infrastructure investments and support costs to enable the continued expansion of customer transaction volumes for our cloud-based subscription customers. In addition, the increase in cost of software subscriptions revenues included an increase in depreciation and amortization of capitalized software and acquired intangible assets of $2.9 million associated with our ongoing investments in internal-use software for cloud-based subscription solutions, software developed for sale for new products and enhancements to existing products, and costs associated with the amortization of acquired intangible assets.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Services Revenues</w:t>
      </w:r>
    </w:p>
    <w:p>
      <w:pPr>
        <w:spacing w:after="0" w:line="26"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20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1,517</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Cost of services revenues increased $1.5 million, or 10.6%, to $15.9 million for the three months ended March 31, 2024, compared to $14.3 million for the same period in 2023. The increase in cost of services revenues was primarily due to an increase in costs of service delivery personnel to support revenue growth in software subscription-related services and our managed services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6"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40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4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060" w:type="dxa"/>
            <w:vAlign w:val="bottom"/>
            <w:gridSpan w:val="4"/>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16,845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983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$1.0 million, or 6.2%, to $16.8 million for the three months ended March 31, 2024 compared to $15.9 million for the same period in 2023. The increase in research and development expenses is due primarily to an increase in personnel costs related to development work associated with new solutions to address end-to-end data analysis and compliance needs of our customers, and continued expansion of connectors and application program interfaces (“APIs”) to customer ERP and other software platforms. Research and development expense excludes those costs that have been capitalized for solutions that have met our capitalization policy.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182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4,755</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Selling and marketing expenses increased $4.8 million, or 13.3%, to $40.5 million for the three months ended March 31, 2024 compared to $35.7 million for the same period in 2023. This increase was primarily driven by a $5.8 million increase in payroll and related expenses associated with the growth in period-over-period subscription sales and services revenues and expansion of our partner and channel management programs. The increase was partly offset by a decrease of $0.9 million in advertising and promotional spending related to expanded brand awareness efforts due to certain delayed activities in the three months ended March 31, 2024, which are expected to occur later in the year. Additionally, we experienced a decrease of $0.2 million in amortization of acquired intangible assets associated with prior acquisitions.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6" w:lineRule="exact"/>
        <w:rPr>
          <w:sz w:val="20"/>
          <w:szCs w:val="20"/>
          <w:color w:val="auto"/>
        </w:rPr>
      </w:pPr>
    </w:p>
    <w:p>
      <w:pPr>
        <w:jc w:val="center"/>
        <w:ind w:left="2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32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1,232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$1.2 million, or 3.6%, to $35.5 million for the three months ended March 31, 2024 compared to $34.3 million for the same period in 2023. The increase was primarily due to an increase of $1.0 million for the amortization of capitalized cloud computing implementation costs related to our ERP modernization initiative.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6"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46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020" w:type="dxa"/>
            <w:vAlign w:val="bottom"/>
            <w:gridSpan w:val="4"/>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$1.3 million, or 33.8%, to $5.0 million for the three months ended March 31, 2024 compared to $3.7 million for the same period in 2023. The increase was primarily due to the impact of infrastructure and technology purchases and other capitalized costs to support our growth.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Borders>
              <w:bottom w:val="single" w:sz="8" w:color="CCEEFF"/>
            </w:tcBorders>
          </w:tcPr>
          <w:p>
            <w:pPr>
              <w:spacing w:after="0"/>
              <w:rPr>
                <w:sz w:val="15"/>
                <w:szCs w:val="15"/>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(811)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(285.6)%</w:t>
            </w:r>
          </w:p>
        </w:tc>
      </w:tr>
    </w:tbl>
    <w:p>
      <w:pPr>
        <w:spacing w:after="0" w:line="19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Other operating expense (income), net decreased to income of $0.5 million, net for the three months ended March 31, 2024 compared to expense of $0.3 million, net for the same period in 2023. Other operating expense (income), net for the three months ended March 31, 2024 included a $0.8 million decrease in the contingent consideration liability for the Tellutax, Inc. acquisition (“Tellutax”), which was partially offset by $0.1 million in foreign currency transaction losses. Other operating expense (income), net for the three months ended March 31, 2023 was primarily comprised of $0.1 million in foreign currency transaction losses incurred and $0.2 million associated with an increase in the contingent consideration liability for Tellutax.</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Borders>
              <w:bottom w:val="single" w:sz="8" w:color="CCEEFF"/>
            </w:tcBorders>
          </w:tcPr>
          <w:p>
            <w:pPr>
              <w:spacing w:after="0"/>
              <w:rPr>
                <w:sz w:val="15"/>
                <w:szCs w:val="15"/>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636</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(181.7)%</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(income), net increased to expense of $0.3 million for the three months ended March 31, 2024 compared to interest income of $0.4 million for the same period in 2023. The change was primarily due to a $0.4 million decrease of the valuation of our foreign currency forward contracts as a result of market fluctuations. Additionally, interest expense related to bank debt increased $0.1 million during the three months ended March 31, 2024 and interest income decreased by $0.1 million primarily due to a decrease in dollars invested during the period.</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p>
      <w:pPr>
        <w:spacing w:after="0" w:line="26"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-3175</wp:posOffset>
            </wp:positionV>
            <wp:extent cx="1337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60" w:type="dxa"/>
            <w:vAlign w:val="bottom"/>
            <w:tcBorders>
              <w:bottom w:val="single" w:sz="8" w:color="CCEEFF"/>
            </w:tcBorders>
          </w:tcPr>
          <w:p>
            <w:pPr>
              <w:spacing w:after="0"/>
              <w:rPr>
                <w:sz w:val="15"/>
                <w:szCs w:val="15"/>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(14,088)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bl>
    <w:p>
      <w:pPr>
        <w:spacing w:after="0" w:line="21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Income tax (benefit) expense was $(4.5) million and $9.6 million for the three months ended March 31, 2024 and 2023, respectively. The change in tax (benefit) expense was primarily driven by tax benefits on exercises and vestings of stock awards recognized during the three months ended March 31, 2024, as well as differences in tax rates on foreign jurisdiction income or loss, limitations on deductions of certain employees’ compensation, fluctuations in valuation allowances on certain foreign deferred tax assets, and income tax expense on income allocated to state jurisdictions.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we had unrestricted cash and cash equivalents of $56.1 million and retained earnings of $2.1 million. In addition, we had $9.1 million in investment securities with a maturity date exceeding three months as of March 31, 2024, not included in unrestricted cash and cash equivalents. Our primary sources of capital include sales of our solutions, proceeds from bank lending facilities, and the offering of existing or future classes of stock.</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March 31, 2024, we had a credit agreement with a banking syndicate (the “Credit Agreement”) that provided (i) a term loan in the aggregate amount of $50.0 million (the “Term Loan”); and (ii) a $200.0 million revolving facility (the “Line of Credit”). We believe that our existing cash resources and our Line of Credit will be sufficient to meet our capital requirements and fund our operations for the next 12 months as well as our longer-term liquidity needs.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April 19, 2024, we entered into the Fourth Amendment to the Credit Agreement (the “Fourth Amendment”) with a banking syndicate. On April 26, 2024, we closed a private offering of $345.0 million aggregate principal amount of 0.750% Convertible Senior Notes due in 2029 (the “Notes”). For additional information on the Fourth Amendment and the Notes, refer to Note 13, “Subsequent Events” to the condensed consolidated financial statements included in this Quarterly Report on Form 10-Q.</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420" w:type="dxa"/>
            <w:vAlign w:val="bottom"/>
            <w:gridSpan w:val="2"/>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of $24.6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consisted of net income of $2.7 million, adjusted for non-cash charges of $36.8 million, which was partially offset by cash outflows of $14.9 million from changes in operating assets and liabilities. The change in operating assets and liabilities was primarily driven by decreases in accrued and deferred compensation and accrued expenses, and an increase in prepaid expenses and other current assets. These movements were primarily due to the timing of cash payments. These changes were partially offset by an increase in deferred revenue and a decrease in accounts receivable, primarily due to customer growth and cash collections during the period.</w:t>
      </w:r>
    </w:p>
    <w:p>
      <w:pPr>
        <w:spacing w:after="0" w:line="207"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8"/>
          <w:szCs w:val="18"/>
          <w:color w:val="auto"/>
        </w:rPr>
        <w:t>Net cash provided by operating activities of $3.5 million for the three months ended March 31, 2023 consisted of a net loss of $18.1 million, adjusted for non-cash charges of $17.1 million, which was partially offset by cash inflows of $4.5 million from changes in operating assets and liabilities. The change in operating assets and liabilities was primarily driven by an increase in accrued expenses and accounts payable, which were partially offset by decreases in accrued and deferred compensation and an increase in prepaids and other current assets. These movements were primarily due to timing of cash payments during the period.</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of $19.5 million for the three months ended March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consisted of investments in property and equipment, and capitalized software of $14.4 million and $5.6 million, respectively, related to investments in infrastructure, new products, and enhancements to existing products. Additionally, we invested $4.3 million in available-for-sale investment securities, which was offset by proceeds of $4.8 million received during the period for sales and maturities in our investment securities.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of $14.3 million for the three months ended March 31, 2023 consisted of investments in property and equipment, and capitalized software of $10.0 million and $4.0 million, respectively, related to infrastructure investments to drive operating leverage and commercial solutions to support our customers. Additionally, we invested $3.5 million in available-for-sale investment securities, which was partially offset by proceeds of $3.3 million received during the period for sales and maturities in our investment securities.</w:t>
      </w:r>
    </w:p>
    <w:p>
      <w:pPr>
        <w:spacing w:after="0" w:line="179" w:lineRule="exact"/>
        <w:rPr>
          <w:sz w:val="20"/>
          <w:szCs w:val="20"/>
          <w:color w:val="auto"/>
        </w:rPr>
      </w:pPr>
    </w:p>
    <w:p>
      <w:pPr>
        <w:jc w:val="both"/>
        <w:ind w:left="60" w:right="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of $1.2 million for the three months ended March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consisted of $17.9 million in payments for taxes related to the net share settlement of stock-based awards, and $0.6 million used for principal debt repayments. These transactions were partially offset by a $15.9 million increase in customer funds obligations, primarily due to timing differences between receipt of funds from customers and taxing jurisdiction withdrawals of these funds, and $1.5 million in proceeds from the exercise of stock options.</w:t>
      </w:r>
    </w:p>
    <w:p>
      <w:pPr>
        <w:spacing w:after="0" w:line="183" w:lineRule="exact"/>
        <w:rPr>
          <w:sz w:val="20"/>
          <w:szCs w:val="20"/>
          <w:color w:val="auto"/>
        </w:rPr>
      </w:pPr>
    </w:p>
    <w:p>
      <w:pPr>
        <w:jc w:val="both"/>
        <w:ind w:left="60" w:right="59" w:firstLine="369"/>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of $1.5 million for the three months ended March 31, 2023 consisted of a $10.0 million payment for a deferred purchase commitment, $3.7 million in payments for taxes related to the net share settlement of stock-based awards, and $0.3 million used for principal debt repayments. These transactions were partially offset by a $11.0 million increase in customer funds obligations, primarily due to timing differences between receipt of funds from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customers and taxing jurisdiction withdrawals of these funds, and $1.5 million in proceeds from the exercise of stock options.</w:t>
      </w:r>
    </w:p>
    <w:p>
      <w:pPr>
        <w:spacing w:after="0" w:line="158" w:lineRule="exact"/>
        <w:rPr>
          <w:sz w:val="20"/>
          <w:szCs w:val="20"/>
          <w:color w:val="auto"/>
        </w:rPr>
      </w:pPr>
    </w:p>
    <w:p>
      <w:pPr>
        <w:jc w:val="both"/>
        <w:ind w:left="60" w:right="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As of March 31, 2024, we had a $200.0 million Line of Credit with no outstanding borrowings and a $50.0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Term Loan in connection with our Credit Agreement. Interest on outstanding borrowings accrue at a base rate plus an applicable margin (8.50% as of March 31, 2024) or the Secured Overnight Financing Rate (“SOFR”) plus an applicable margin (6.43% as of March 31, 2024). We have $46.3 million in bank debt outstanding at March 31, 2024 associated with the Term Loan.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Funds Held for Customers and Customer Funds Obligations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Times New Roman" w:cs="Times New Roman" w:eastAsia="Times New Roman" w:hAnsi="Times New Roman"/>
          <w:sz w:val="18"/>
          <w:szCs w:val="18"/>
          <w:color w:val="auto"/>
        </w:rPr>
        <w:t>As of March 31, 2024, other than the borrowings under the Term Loan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have been no material updates or changes to our contractual obligations and commitments compared to contractual obligations and commitments described in our 2023 Annual Report.</w:t>
      </w:r>
    </w:p>
    <w:p>
      <w:pPr>
        <w:spacing w:after="0" w:line="17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April 26, 2024, we closed a private offering of $345.0 million Notes. For further information, refer to Note 13, “Subsequent Events” to the condensed consolidated financial statements included in this Quarterly Report on Form 10-Q.</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metrics identified below to evaluate growth trends, measure our performance, formulate financial projections and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 and Average Annual Revenue Per Customer (“AARPC”).</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AARPC represents average annual revenue per customer and is calculated by dividing ARR by the number of software subscription customers at the end of the respective period.</w:t>
      </w:r>
    </w:p>
    <w:p>
      <w:pPr>
        <w:spacing w:after="0" w:line="10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2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Recurring Revenue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78.0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ARR increased by $78.0 million, or 17.5%, at March 31, 2024, as compared to March 31, 2023. The increase was primarily driven by $53.8 million of growth in revenues from existing customers through their expanded use of our solutions as well as price increases, and $24.2 million in growth of subscriptions of our solutions to new customers.</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had 4,309 direct customers and AARPC was approximately $121,720 at March 31, 2024. At March 31, 2023, we had 4,278 direct customers and approximately $104,370 of AARPC. The increase in AARPC was primarily due to expansion of usage by existing customers and adding new customers through organic growth.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 (“NRR”).</w:t>
      </w:r>
    </w:p>
    <w:p>
      <w:pPr>
        <w:spacing w:after="0" w:line="229" w:lineRule="exact"/>
        <w:rPr>
          <w:sz w:val="20"/>
          <w:szCs w:val="20"/>
          <w:color w:val="auto"/>
        </w:rPr>
      </w:pPr>
    </w:p>
    <w:p>
      <w:pPr>
        <w:jc w:val="both"/>
        <w:ind w:left="60" w:right="59" w:firstLine="369"/>
        <w:spacing w:after="0" w:line="253" w:lineRule="auto"/>
        <w:rPr>
          <w:sz w:val="20"/>
          <w:szCs w:val="20"/>
          <w:color w:val="auto"/>
        </w:rPr>
      </w:pPr>
      <w:r>
        <w:rPr>
          <w:rFonts w:ascii="Times New Roman" w:cs="Times New Roman" w:eastAsia="Times New Roman" w:hAnsi="Times New Roman"/>
          <w:sz w:val="18"/>
          <w:szCs w:val="18"/>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p>
      <w:pPr>
        <w:spacing w:after="0" w:line="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635</wp:posOffset>
            </wp:positionV>
            <wp:extent cx="1071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6380"/>
        <w:spacing w:after="0"/>
        <w:tabs>
          <w:tab w:leader="none" w:pos="73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Revenue Retention Rate</w:t>
            </w:r>
          </w:p>
        </w:tc>
        <w:tc>
          <w:tcPr>
            <w:tcW w:w="104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112 %</w:t>
            </w: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110 %</w:t>
            </w: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Revenue Retention Rate (“GRR”).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 Retention Rate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litigation settlements, and transaction costs. Adjusted EBITDA margin represents Adjusted EBITDA divided by total revenues for the same period. For purposes of comparison,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our net income (loss) was $2.7 million and $(18.1) million for the three months ended March 31, 2024 and 2023, respectively, while our net income (loss) margin was 1.7% and (13.7)% over the same periods, respectively.</w:t>
      </w: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08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5"/>
                <w:szCs w:val="15"/>
                <w:color w:val="auto"/>
              </w:rPr>
            </w:pPr>
          </w:p>
        </w:tc>
        <w:tc>
          <w:tcPr>
            <w:tcW w:w="200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tcPr>
          <w:p>
            <w:pPr>
              <w:spacing w:after="0"/>
              <w:rPr>
                <w:sz w:val="15"/>
                <w:szCs w:val="15"/>
                <w:color w:val="auto"/>
              </w:rPr>
            </w:pPr>
          </w:p>
        </w:tc>
        <w:tc>
          <w:tcPr>
            <w:tcW w:w="17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(18,132)</w:t>
            </w: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(4,535)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property and equipment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 software and acquired intangible assets – cost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subscription revenues</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 – selling and marketing expense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cloud computing implementation costs – general and administrative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156,781</w:t>
            </w: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132,751</w:t>
            </w:r>
          </w:p>
        </w:tc>
        <w:tc>
          <w:tcPr>
            <w:tcW w:w="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179" w:firstLine="324"/>
        <w:spacing w:after="0" w:line="257" w:lineRule="auto"/>
        <w:rPr>
          <w:sz w:val="20"/>
          <w:szCs w:val="20"/>
          <w:color w:val="auto"/>
        </w:rPr>
      </w:pPr>
      <w:r>
        <w:rPr>
          <w:rFonts w:ascii="Times New Roman" w:cs="Times New Roman" w:eastAsia="Times New Roman" w:hAnsi="Times New Roman"/>
          <w:sz w:val="18"/>
          <w:szCs w:val="18"/>
          <w:color w:val="auto"/>
        </w:rPr>
        <w:t>The increase in Adjusted EBITDA for the three months ended March 31, 2024 of $16.5 million over the comparable period in 2023 was primarily driven by an increase of $18.5 million in non-GAAP gross profit, offset by increases in non-GAAP operating expense categories, including a $3.6 million increase in non-GAAP selling and marketing expense.</w:t>
      </w:r>
    </w:p>
    <w:p>
      <w:pPr>
        <w:spacing w:after="0" w:line="1" w:lineRule="exact"/>
        <w:rPr>
          <w:sz w:val="20"/>
          <w:szCs w:val="20"/>
          <w:color w:val="auto"/>
        </w:rPr>
      </w:pPr>
    </w:p>
    <w:p>
      <w:pPr>
        <w:ind w:left="60" w:right="219"/>
        <w:spacing w:after="0" w:line="290" w:lineRule="auto"/>
        <w:rPr>
          <w:sz w:val="20"/>
          <w:szCs w:val="20"/>
          <w:color w:val="auto"/>
        </w:rPr>
      </w:pPr>
      <w:r>
        <w:rPr>
          <w:rFonts w:ascii="Times New Roman" w:cs="Times New Roman" w:eastAsia="Times New Roman" w:hAnsi="Times New Roman"/>
          <w:sz w:val="17"/>
          <w:szCs w:val="17"/>
          <w:color w:val="auto"/>
        </w:rPr>
        <w:t>Adjusted EBITDA margin increased to 23.4% for the three months ended March 31, 2024, compared to 15.2% for the comparable period in 2023, primarily due to increased non-GAAP gross margin from our software subscriptions revenue.</w:t>
      </w:r>
    </w:p>
    <w:p>
      <w:pPr>
        <w:spacing w:after="0" w:line="15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The increase in Adjusted EBITDA is also partially due to the previously announced strategic investments that were made primarily during 2020 through 2023 into information technology infrastructure, business and re-engineering processes, employees, and other initiatives, which were strategically aimed to deliver consistent revenue growth, drive future earnings leverage, and expand adjusted EBITDA margins.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1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180" w:right="160"/>
        <w:spacing w:after="0" w:line="282" w:lineRule="auto"/>
        <w:rPr>
          <w:sz w:val="20"/>
          <w:szCs w:val="20"/>
          <w:color w:val="auto"/>
        </w:rPr>
      </w:pPr>
      <w:r>
        <w:rPr>
          <w:rFonts w:ascii="Times New Roman" w:cs="Times New Roman" w:eastAsia="Times New Roman" w:hAnsi="Times New Roman"/>
          <w:sz w:val="18"/>
          <w:szCs w:val="18"/>
          <w:color w:val="auto"/>
        </w:rPr>
        <w:t>property and equipment and capitalized software. We define free cash flow margin as free cash flow divided by total revenues for the same period.</w:t>
      </w:r>
    </w:p>
    <w:p>
      <w:pPr>
        <w:spacing w:after="0" w:line="162" w:lineRule="exact"/>
        <w:rPr>
          <w:sz w:val="20"/>
          <w:szCs w:val="20"/>
          <w:color w:val="auto"/>
        </w:rPr>
      </w:pPr>
    </w:p>
    <w:p>
      <w:pPr>
        <w:jc w:val="both"/>
        <w:ind w:left="180" w:right="160" w:firstLine="324"/>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was $24.6 million and $3.5 million for the three months ended March 31, 2024 and 2023, respectively, while our operating cash flow margin was 15.7% and 2.6% over the same periods,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additions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5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156,781</w:t>
            </w:r>
          </w:p>
        </w:tc>
        <w:tc>
          <w:tcPr>
            <w:tcW w:w="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14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56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80" w:right="160" w:firstLine="324"/>
        <w:spacing w:after="0" w:line="256" w:lineRule="auto"/>
        <w:rPr>
          <w:sz w:val="20"/>
          <w:szCs w:val="20"/>
          <w:color w:val="auto"/>
        </w:rPr>
      </w:pPr>
      <w:r>
        <w:rPr>
          <w:rFonts w:ascii="Times New Roman" w:cs="Times New Roman" w:eastAsia="Times New Roman" w:hAnsi="Times New Roman"/>
          <w:sz w:val="18"/>
          <w:szCs w:val="18"/>
          <w:color w:val="auto"/>
        </w:rPr>
        <w:t>Free cash flow increased by $15.1 million for the three months ended March 31, 2024, as compared to the same period in 2023. This increase was primarily driven by an increase in net cash provided by operating activities of $21.1 million, primarily attributable to customer growth and cash collections during the period. This increase was partly offset by a $6.0 million increase in ongoing investments in internal-use software for cloud-based subscription solutions and software developed for sale for new products and enhancements to existing products. Free cash flow margin increased to 2.9% for the three months ended March 31, 2024, compared to (8.0)% for the same period in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jc w:val="both"/>
        <w:ind w:left="180" w:right="160"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87" w:lineRule="exact"/>
        <w:rPr>
          <w:sz w:val="20"/>
          <w:szCs w:val="20"/>
          <w:color w:val="auto"/>
        </w:rPr>
      </w:pPr>
    </w:p>
    <w:p>
      <w:pPr>
        <w:jc w:val="both"/>
        <w:ind w:left="180" w:right="160" w:firstLine="324"/>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76" w:lineRule="exact"/>
        <w:rPr>
          <w:sz w:val="20"/>
          <w:szCs w:val="20"/>
          <w:color w:val="auto"/>
        </w:rPr>
      </w:pPr>
    </w:p>
    <w:p>
      <w:pPr>
        <w:jc w:val="both"/>
        <w:ind w:left="1040" w:right="7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services is determined by adding back to GAAP cost of revenues, services, the stock-based compensation expense included in cost of revenues, services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is determined by dividing non-GAAP gross profit by total revenues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included in GAAP loss or income from operations for the respective periods.</w:t>
      </w:r>
    </w:p>
    <w:p>
      <w:pPr>
        <w:spacing w:after="0" w:line="187"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determined by adding back to GAAP net income or loss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adjustments to the settlement value of deferred purchase commitment liabilities recorded as interest expense, litigation settlements, and transaction costs, included in GAAP net income or loss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p>
      <w:pPr>
        <w:spacing w:after="0" w:line="194" w:lineRule="exact"/>
        <w:rPr>
          <w:sz w:val="20"/>
          <w:szCs w:val="20"/>
          <w:color w:val="auto"/>
        </w:rPr>
      </w:pPr>
    </w:p>
    <w:p>
      <w:pPr>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following schedules reflect our additional non-GAAP financial measures and reconciles our additional non-GAAP financial measures to the related GAAP financial measures.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22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selling and marketing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22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31,737</w:t>
            </w:r>
          </w:p>
        </w:tc>
        <w:tc>
          <w:tcPr>
            <w:tcW w:w="22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85"/>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8"/>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6"/>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software subscriptions</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45,128</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37,403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191"/>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(12,435)</w:t>
            </w: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28,191</w:t>
            </w:r>
          </w:p>
        </w:tc>
        <w:tc>
          <w:tcPr>
            <w:tcW w:w="260" w:type="dxa"/>
            <w:vAlign w:val="bottom"/>
            <w:tcBorders>
              <w:bottom w:val="single" w:sz="8" w:color="CCEEFF"/>
            </w:tcBorders>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23,972</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services</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12"/>
        </w:trPr>
        <w:tc>
          <w:tcPr>
            <w:tcW w:w="6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14,855</w:t>
            </w:r>
          </w:p>
        </w:tc>
        <w:tc>
          <w:tcPr>
            <w:tcW w:w="2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95,792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81,004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12,435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113,735</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95,271</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22"/>
                <w:szCs w:val="22"/>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156,781</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132,751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6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71.8</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 and development expense</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16,845</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249"/>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13,472</w:t>
            </w:r>
          </w:p>
        </w:tc>
        <w:tc>
          <w:tcPr>
            <w:tcW w:w="260" w:type="dxa"/>
            <w:vAlign w:val="bottom"/>
            <w:tcBorders>
              <w:bottom w:val="single" w:sz="8" w:color="CCEEFF"/>
            </w:tcBorders>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13,628</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Selling and marketing expense</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35,736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color w:val="auto"/>
              </w:rPr>
              <w:t>(2,898)</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10"/>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35,674</w:t>
            </w:r>
          </w:p>
        </w:tc>
        <w:tc>
          <w:tcPr>
            <w:tcW w:w="26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32,072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513"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140" w:type="dxa"/>
            <w:vAlign w:val="bottom"/>
          </w:tcPr>
          <w:p>
            <w:pPr>
              <w:spacing w:after="0"/>
              <w:rPr>
                <w:sz w:val="17"/>
                <w:szCs w:val="17"/>
                <w:color w:val="auto"/>
              </w:rPr>
            </w:pPr>
          </w:p>
        </w:tc>
        <w:tc>
          <w:tcPr>
            <w:tcW w:w="1300" w:type="dxa"/>
            <w:vAlign w:val="bottom"/>
            <w:gridSpan w:val="3"/>
          </w:tcPr>
          <w:p>
            <w:pPr>
              <w:jc w:val="center"/>
              <w:ind w:left="441"/>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General and administrative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(6,133)</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(4,470)</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(842)</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(994)</w:t>
            </w:r>
          </w:p>
        </w:tc>
        <w:tc>
          <w:tcPr>
            <w:tcW w:w="2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(1,565)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(8,929)</w:t>
            </w: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31,737</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(18,132)</w:t>
            </w: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(4,535)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 intangible assets – cost of</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 revenues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 expense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 administrative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Non-GAAP income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Income tax adjustment at statutory rate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(8,020)</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(4,287)</w:t>
            </w:r>
          </w:p>
        </w:tc>
        <w:tc>
          <w:tcPr>
            <w:tcW w:w="0" w:type="dxa"/>
            <w:vAlign w:val="bottom"/>
          </w:tcPr>
          <w:p>
            <w:pPr>
              <w:spacing w:after="0"/>
              <w:rPr>
                <w:sz w:val="1"/>
                <w:szCs w:val="1"/>
                <w:color w:val="auto"/>
              </w:rPr>
            </w:pPr>
          </w:p>
        </w:tc>
      </w:tr>
      <w:tr>
        <w:trPr>
          <w:trHeight w:val="208"/>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23,431</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-144145</wp:posOffset>
            </wp:positionV>
            <wp:extent cx="564896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160" w:right="499" w:hanging="2"/>
        <w:spacing w:after="0" w:line="202" w:lineRule="auto"/>
        <w:tabs>
          <w:tab w:leader="none" w:pos="322"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Non-GAAP income (loss) before income taxes is adjusted for income taxes using the respective statutory tax rates for applicable jurisdictions, which for purposes of this determination were assumed to be 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-189865</wp:posOffset>
            </wp:positionV>
            <wp:extent cx="13373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that reflect our more significant judgments and estimates used in the preparation of our condensed consolidated financial statements include revenue recognition and income taxes, which are described in our 2023 Annual Report.</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updates or changes to our critical accounting estimates compared to the critical accounting estimates described in our 2023 Annual Report.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on recent accounting pronouncements, refer to Note 1, “Summary of Significant Accounting Policies” to the condensed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had unrestricted cash and cash equivalents of $56.1 million and $68.2 million as of March 31, 2024 and December 31, 2023, respectively, and investments of $9.1 million and $9.5 million as of March 31, 2024 and December 31, 2023, respectively.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be expected to result in a projected increase in interest expense of $0.4 million annually.</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three months ended March 31, 2024 and 2023, approximately 4% and 3%, respectively, of our revenues were denominated in currencies other than U.S. Dollars.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 liabilities associated with this acquisition are expected to increase our exposure to fluctuations of the Brazilian Real over time. At March 31, 2024, outstanding foreign currency forward contracts hedge approximately 70% of our exposure to adverse fluctuations in the Brazilian Real associated with these future purchase commitment liabilities.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principal executive officer and principal financial officer concluded that, as of March 31, 2024, our disclosure controls and procedures were effective at a reasonable assurance level.</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prohibit the disclosure in any way of our confidential, proprietary and/or trade secret information. We are also seeking monetary damages, including punitive damages and attorney’s fees. Avalara has withdrawn its motion to dismiss for lack of personal jurisdiction and has filed a motion for judgment on the pleadings. Vertex has opposed Avalara’s motion. As of March 31, 2024, the matter remains before the Court.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This document incorporates by reference various risk factors discussed in the Company’s 2023 Annual Report, under the heading “Risk Factors”. Except as discussed below,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4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3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we had approximately $436.9 million of indebtedness, excluding indebtedness of our subsidiaries and intercompany liabilities. In April 2024, we incurred $345.0 million aggregate principal amount of additional indebtedness as a result of the issuance of the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56"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Class A common stock upon conversion of the Notes; and</w:t>
      </w:r>
    </w:p>
    <w:p>
      <w:pPr>
        <w:ind w:left="1040" w:right="79" w:hanging="315"/>
        <w:spacing w:after="0" w:line="260"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4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the Credit Agreement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incur substantially more debt or take other actions which would further intensify the risks associated with our indebtedness.</w:t>
      </w:r>
    </w:p>
    <w:p>
      <w:pPr>
        <w:spacing w:after="0" w:line="11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debt in the future, subject to the restrictions contained in our debt instruments, some of which may be secured debt. We will not be restricted under the terms of the Indenture governing the Notes from incurring additional debt, securing existing or future debt, recapitalizing our debt or taking a number of other actions that are not limited by the terms of the Indenture that could have the effect of diminishing our ability to make payments on our indebtedness when due. Each of our Line of Credit and Term Loan restricts our ability to incur additional indebtedness, including secured indebtedness, but if the respective facility matures or is repaid, we may not be subject to such restrictions under the terms of any subsequent indebtedness.</w:t>
      </w:r>
    </w:p>
    <w:p>
      <w:pPr>
        <w:spacing w:after="0" w:line="14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Notes for cash following a “fundamental change,” or to pay any cash amounts due upon conversion, and applicable law, regulatory authorities and our other indebtedness may limit our ability to repurchase the Notes or pay cash upon their conversion.</w:t>
      </w:r>
    </w:p>
    <w:p>
      <w:pPr>
        <w:spacing w:after="0" w:line="14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Noteholders may, subject to a limited exception, require us to repurchase their Notes following a “fundamental change” (as described in the Indenture governing the Notes) at a cash repurchase price generally equal to the principal amount of the Notes to be repurchased, plus accrued and unpaid interest, if any, to, but excluding, the fundamental change repurchase date. In addition, upon conversion, we will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us.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Certain provisions in the Notes and the Indenture could make a third party’s attempt to acquire us more difficult or expensive. For example, if a takeover constitutes a “fundamental change” (as described in the Indenture governing the Notes), then noteholders will have the right to require us (or in limited circumstances, such third party) to repurchase their Notes for cash. In addition, if a takeover constitutes a “make-whole fundamental change” (as described in the Indenture governing the Notes), then we may be required to temporarily increase the conversion rate. In either case, and in other cases, our obligations under the Notes and the Indenture could increase the cost of acquiring us or otherwise discourage a third party from acquiring us or removing incumbent management, including in a transaction that noteholders or holders of our Class A common stock may view as favorable.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Notes could adversely affect our reported financial condition and results.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August 2020, the FASB published ASU 2020-06, which simplifies certain of the accounting standards that apply to convertible notes. In accordance with ASU 2020-06, we expect that the Notes will be reflected as a liability on our balance sheets, with the initial carrying amount equal to the principal amount of the Notes, net of issuance costs. The issuance costs will be treated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we expect that the shares underlying the Notes will be reflected in our diluted earnings per share using the “if converted” method, in accordance with ASU 2020-06. Under that method, if the conversion value of the Notes exceeds their principal amount for a reporting period, then we will calculate our diluted earnings per share assuming that all of the Notes were converted at the beginning of the reporting period and that we issued shares of our Class A common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The application of the if-converted method may reduce our reported diluted earnings per share, and accounting standards may change in the future in a manner that may adversely affect our diluted earnings per share.</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holders of the Notes convert their Notes and could materially reduce our reported working capital.</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have not reached a final determination regarding the accounting treatment for the Notes, and the description above is preliminary. Accordingly, we may account for the Notes in a manner that is significantly different than described above.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our Class A common stock.</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Notes, we entered into Capped Call Transactions with certain Option Counterparties. The Capped Call Transactions are expected generally to reduce the potential dilution upon any conversion of the Notes and/or offset any cash payments we are required to make in excess of the principal amount of converted Notes, as the case may be, with such reduction and/or offset subject to a cap.</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from time to time prior to the maturity of the Notes (and are likely to do so during any observation period related to a conversion of Notes). This activity could also cause or avoid an increase or a decrease in the market price of our Class A common stock.</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if any such Capped Call Transactions are terminated for any reason, the Option Counterparties or their respective affiliates may unwind their hedge positions with respect to our Class A common stock, which could adversely affect the value of our Class A common stock.</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Furthermore, the Option Counterparties are financial institutions, and we will be subject to the risk that any or all of them might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Class A common stock. We can provide no assurances as to the financial stability or viability of the Option Counterparties.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8"/>
          <w:szCs w:val="18"/>
          <w:color w:val="auto"/>
        </w:rPr>
        <w:t>On March 4, 2024, Eric Andersen, Director, terminated a Rule 10b5-1 trading arrangement dated August 18, 2023, which was intended to satisfy the affirmative defense of Rule 10b5-1(c) for the sale of up to 80,000 shares of Class A common stock. Other than this termination, during the three months ended March 31, 2024, no other director or officer of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adopted, modified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320" w:type="dxa"/>
            <w:vAlign w:val="bottom"/>
            <w:gridSpan w:val="10"/>
          </w:tcPr>
          <w:p>
            <w:pPr>
              <w:ind w:left="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482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File No.    Exhibit   Filing Date   Filed Herewith   Furnished Herewith</w:t>
            </w:r>
          </w:p>
        </w:tc>
      </w:tr>
      <w:tr>
        <w:trPr>
          <w:trHeight w:val="155"/>
        </w:trPr>
        <w:tc>
          <w:tcPr>
            <w:tcW w:w="10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1</w:t>
            </w:r>
          </w:p>
        </w:tc>
        <w:tc>
          <w:tcPr>
            <w:tcW w:w="200" w:type="dxa"/>
            <w:vAlign w:val="bottom"/>
          </w:tcPr>
          <w:p>
            <w:pPr>
              <w:spacing w:after="0"/>
              <w:rPr>
                <w:sz w:val="13"/>
                <w:szCs w:val="13"/>
                <w:color w:val="auto"/>
              </w:rPr>
            </w:pPr>
          </w:p>
        </w:tc>
        <w:tc>
          <w:tcPr>
            <w:tcW w:w="2180" w:type="dxa"/>
            <w:vAlign w:val="bottom"/>
            <w:tcBorders>
              <w:top w:val="single" w:sz="8" w:color="auto"/>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Executive Officer Pursuant to</w:t>
            </w:r>
          </w:p>
        </w:tc>
        <w:tc>
          <w:tcPr>
            <w:tcW w:w="38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Rules 13a-14(a) and 15d-14(a)</w:t>
            </w:r>
          </w:p>
        </w:tc>
        <w:tc>
          <w:tcPr>
            <w:tcW w:w="32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under the Securities Exchange</w:t>
            </w:r>
          </w:p>
        </w:tc>
        <w:tc>
          <w:tcPr>
            <w:tcW w:w="34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Act of 1934, as Adopted</w:t>
            </w:r>
          </w:p>
        </w:tc>
        <w:tc>
          <w:tcPr>
            <w:tcW w:w="700" w:type="dxa"/>
            <w:vAlign w:val="bottom"/>
            <w:gridSpan w:val="9"/>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2</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Rules 13a-14(a) and 15d-14(a)</w:t>
            </w:r>
          </w:p>
        </w:tc>
        <w:tc>
          <w:tcPr>
            <w:tcW w:w="32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under the Securities Exchange</w:t>
            </w:r>
          </w:p>
        </w:tc>
        <w:tc>
          <w:tcPr>
            <w:tcW w:w="34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Act of 1934, as Adopted</w:t>
            </w:r>
          </w:p>
        </w:tc>
        <w:tc>
          <w:tcPr>
            <w:tcW w:w="700" w:type="dxa"/>
            <w:vAlign w:val="bottom"/>
            <w:gridSpan w:val="9"/>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1</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Executive Officer Pursuant to 18</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U.S.C. Section 1350, as Adopted</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906 of the</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6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2</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Financial Officer Pursuant to 18</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U.S.C. Section 1350, as Adopted</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906 of the</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600"/>
              <w:spacing w:after="0" w:line="183" w:lineRule="exact"/>
              <w:rPr>
                <w:sz w:val="20"/>
                <w:szCs w:val="20"/>
                <w:color w:val="auto"/>
              </w:rPr>
            </w:pPr>
            <w:r>
              <w:rPr>
                <w:rFonts w:ascii="Times New Roman" w:cs="Times New Roman" w:eastAsia="Times New Roman" w:hAnsi="Times New Roman"/>
                <w:sz w:val="16"/>
                <w:szCs w:val="16"/>
                <w:color w:val="auto"/>
              </w:rPr>
              <w:t>X</w:t>
            </w:r>
          </w:p>
        </w:tc>
      </w:tr>
      <w:tr>
        <w:trPr>
          <w:trHeight w:val="209"/>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101.INS</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Schema 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101.CAL</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Calculation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Definition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101.LAB</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Label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Extension Presentation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Document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ind w:left="1240" w:right="5659" w:hanging="1198"/>
        <w:spacing w:after="0" w:line="276" w:lineRule="auto"/>
        <w:tabs>
          <w:tab w:leader="none" w:pos="12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6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David DeStefano</w:t>
            </w:r>
          </w:p>
        </w:tc>
      </w:tr>
      <w:tr>
        <w:trPr>
          <w:trHeight w:val="189"/>
        </w:trPr>
        <w:tc>
          <w:tcPr>
            <w:tcW w:w="28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DeStefano</w:t>
            </w:r>
          </w:p>
        </w:tc>
      </w:tr>
      <w:tr>
        <w:trPr>
          <w:trHeight w:val="216"/>
        </w:trPr>
        <w:tc>
          <w:tcPr>
            <w:tcW w:w="2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Chairperson</w:t>
            </w:r>
          </w:p>
        </w:tc>
      </w:tr>
      <w:tr>
        <w:trPr>
          <w:trHeight w:val="236"/>
        </w:trPr>
        <w:tc>
          <w:tcPr>
            <w:tcW w:w="2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60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John Schwab</w:t>
            </w:r>
          </w:p>
        </w:tc>
      </w:tr>
      <w:tr>
        <w:trPr>
          <w:trHeight w:val="189"/>
        </w:trPr>
        <w:tc>
          <w:tcPr>
            <w:tcW w:w="28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John Schwab</w:t>
            </w:r>
          </w:p>
        </w:tc>
      </w:tr>
      <w:tr>
        <w:trPr>
          <w:trHeight w:val="236"/>
        </w:trPr>
        <w:tc>
          <w:tcPr>
            <w:tcW w:w="2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tc>
      </w:tr>
      <w:tr>
        <w:trPr>
          <w:trHeight w:val="446"/>
        </w:trPr>
        <w:tc>
          <w:tcPr>
            <w:tcW w:w="2860" w:type="dxa"/>
            <w:vAlign w:val="bottom"/>
          </w:tcPr>
          <w:p>
            <w:pPr>
              <w:spacing w:after="0"/>
              <w:rPr>
                <w:sz w:val="24"/>
                <w:szCs w:val="24"/>
                <w:color w:val="auto"/>
              </w:rPr>
            </w:pP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4200" w:type="dxa"/>
            <w:vAlign w:val="bottom"/>
          </w:tcPr>
          <w:p>
            <w:pPr>
              <w:spacing w:after="0"/>
              <w:rPr>
                <w:sz w:val="24"/>
                <w:szCs w:val="24"/>
                <w:color w:val="auto"/>
              </w:rPr>
            </w:pPr>
          </w:p>
        </w:tc>
      </w:tr>
      <w:tr>
        <w:trPr>
          <w:trHeight w:val="547"/>
        </w:trPr>
        <w:tc>
          <w:tcPr>
            <w:tcW w:w="28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1" w:name="page52"/>
    <w:bookmarkEnd w:id="51"/>
    <w:p>
      <w:pPr>
        <w:ind w:left="90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David DeStefano</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Schwab</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March 31, 2024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67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David DeStefano</w:t>
            </w:r>
          </w:p>
        </w:tc>
      </w:tr>
      <w:tr>
        <w:trPr>
          <w:trHeight w:val="178"/>
        </w:trPr>
        <w:tc>
          <w:tcPr>
            <w:tcW w:w="3140" w:type="dxa"/>
            <w:vAlign w:val="bottom"/>
          </w:tcPr>
          <w:p>
            <w:pPr>
              <w:spacing w:after="0"/>
              <w:rPr>
                <w:sz w:val="15"/>
                <w:szCs w:val="15"/>
                <w:color w:val="auto"/>
              </w:rPr>
            </w:pPr>
          </w:p>
        </w:tc>
        <w:tc>
          <w:tcPr>
            <w:tcW w:w="2140" w:type="dxa"/>
            <w:vAlign w:val="bottom"/>
          </w:tcPr>
          <w:p>
            <w:pPr>
              <w:ind w:left="1780"/>
              <w:spacing w:after="0" w:line="177" w:lineRule="exact"/>
              <w:rPr>
                <w:sz w:val="20"/>
                <w:szCs w:val="20"/>
                <w:color w:val="auto"/>
              </w:rPr>
            </w:pPr>
            <w:r>
              <w:rPr>
                <w:rFonts w:ascii="Times New Roman" w:cs="Times New Roman" w:eastAsia="Times New Roman" w:hAnsi="Times New Roman"/>
                <w:sz w:val="18"/>
                <w:szCs w:val="18"/>
                <w:color w:val="auto"/>
                <w:w w:val="77"/>
              </w:rPr>
              <w:t>David</w:t>
            </w:r>
          </w:p>
        </w:tc>
        <w:tc>
          <w:tcPr>
            <w:tcW w:w="464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DeStefano</w:t>
            </w:r>
          </w:p>
        </w:tc>
      </w:tr>
      <w:tr>
        <w:trPr>
          <w:trHeight w:val="214"/>
        </w:trPr>
        <w:tc>
          <w:tcPr>
            <w:tcW w:w="3140" w:type="dxa"/>
            <w:vAlign w:val="bottom"/>
          </w:tcPr>
          <w:p>
            <w:pPr>
              <w:spacing w:after="0"/>
              <w:rPr>
                <w:sz w:val="18"/>
                <w:szCs w:val="18"/>
                <w:color w:val="auto"/>
              </w:rPr>
            </w:pPr>
          </w:p>
        </w:tc>
        <w:tc>
          <w:tcPr>
            <w:tcW w:w="67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140" w:type="dxa"/>
            <w:vAlign w:val="bottom"/>
          </w:tcPr>
          <w:p>
            <w:pPr>
              <w:spacing w:after="0"/>
              <w:rPr>
                <w:sz w:val="20"/>
                <w:szCs w:val="20"/>
                <w:color w:val="auto"/>
              </w:rPr>
            </w:pPr>
          </w:p>
        </w:tc>
        <w:tc>
          <w:tcPr>
            <w:tcW w:w="6780" w:type="dxa"/>
            <w:vAlign w:val="bottom"/>
            <w:gridSpan w:val="2"/>
          </w:tcPr>
          <w:p>
            <w:pPr>
              <w:ind w:left="1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6"/>
        </w:trPr>
        <w:tc>
          <w:tcPr>
            <w:tcW w:w="3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March 31, 2024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78"/>
        </w:trPr>
        <w:tc>
          <w:tcPr>
            <w:tcW w:w="3160" w:type="dxa"/>
            <w:vAlign w:val="bottom"/>
          </w:tcPr>
          <w:p>
            <w:pPr>
              <w:spacing w:after="0"/>
              <w:rPr>
                <w:sz w:val="15"/>
                <w:szCs w:val="15"/>
                <w:color w:val="auto"/>
              </w:rPr>
            </w:pPr>
          </w:p>
        </w:tc>
        <w:tc>
          <w:tcPr>
            <w:tcW w:w="2120" w:type="dxa"/>
            <w:vAlign w:val="bottom"/>
          </w:tcPr>
          <w:p>
            <w:pPr>
              <w:ind w:left="1820"/>
              <w:spacing w:after="0" w:line="177" w:lineRule="exact"/>
              <w:rPr>
                <w:sz w:val="20"/>
                <w:szCs w:val="20"/>
                <w:color w:val="auto"/>
              </w:rPr>
            </w:pPr>
            <w:r>
              <w:rPr>
                <w:rFonts w:ascii="Times New Roman" w:cs="Times New Roman" w:eastAsia="Times New Roman" w:hAnsi="Times New Roman"/>
                <w:sz w:val="18"/>
                <w:szCs w:val="18"/>
                <w:color w:val="auto"/>
                <w:w w:val="82"/>
              </w:rPr>
              <w:t>John</w:t>
            </w:r>
          </w:p>
        </w:tc>
        <w:tc>
          <w:tcPr>
            <w:tcW w:w="464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Schwab</w:t>
            </w:r>
          </w:p>
        </w:tc>
      </w:tr>
      <w:tr>
        <w:trPr>
          <w:trHeight w:val="214"/>
        </w:trPr>
        <w:tc>
          <w:tcPr>
            <w:tcW w:w="3160" w:type="dxa"/>
            <w:vAlign w:val="bottom"/>
          </w:tcPr>
          <w:p>
            <w:pPr>
              <w:spacing w:after="0"/>
              <w:rPr>
                <w:sz w:val="18"/>
                <w:szCs w:val="18"/>
                <w:color w:val="auto"/>
              </w:rPr>
            </w:pP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160" w:type="dxa"/>
            <w:vAlign w:val="bottom"/>
          </w:tcPr>
          <w:p>
            <w:pPr>
              <w:spacing w:after="0"/>
              <w:rPr>
                <w:sz w:val="20"/>
                <w:szCs w:val="20"/>
                <w:color w:val="auto"/>
              </w:rPr>
            </w:pP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3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lowerRoman"/>
      <w:start w:val="7"/>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0"/>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2024-05-08T16:15:28Z</dcterms:created>
  <dcterms:modified xsi:type="dcterms:W3CDTF">2024-05-08T16:15:28Z</dcterms:modified>
</cp:coreProperties>
</file>