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22026_080646.xml.htm"/>
      <w:bookmarkStart w:id="1" w:name="ksform406122026_0806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ANDERSEN ERIC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VERTEX,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2301 RENAISSANCE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KING OF PRUSSIA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Vertex, Inc.</w:t>
              </w:r>
            </w:hyperlink>
            <w:r>
              <w:rPr/>
              <w:t xml:space="preserve"> [ </w:t>
            </w:r>
            <w:r>
              <w:rPr>
                <w:rFonts w:ascii="Times;serif" w:hAnsi="Times;serif"/>
                <w:color w:val="0000FF"/>
                <w:sz w:val="24"/>
                <w:shd w:fill="FFFFFF" w:val="clear"/>
              </w:rPr>
              <w:t>VERX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15,638</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165,979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that will vest on the earlier to occur of (i) the day immediately prior to the date of the next annual meeting of the Company's stockholders, and (ii) June 10,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Coleman,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2411" TargetMode="External"/><Relationship Id="rId5" Type="http://schemas.openxmlformats.org/officeDocument/2006/relationships/hyperlink" Target="http://www.sec.gov/cgi-bin/browse-edgar?action=getcompany&amp;CIK=00018068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3219</Characters>
  <CharactersWithSpaces>3760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