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120"/>
        <w:ind w:left="0" w:right="0" w:hanging="0"/>
        <w:jc w:val="left"/>
        <w:rPr/>
      </w:pPr>
      <w:hyperlink w:anchor="TOC">
        <w:bookmarkStart w:id="0" w:name="verx-20250331x10q.htm"/>
        <w:bookmarkStart w:id="1" w:name="ksverx20250331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2" w:space="1" w:color="000000"/>
        </w:pBdr>
        <w:bidi w:val="0"/>
        <w:spacing w:before="0" w:after="0"/>
        <w:ind w:left="0" w:right="0" w:hanging="0"/>
        <w:jc w:val="center"/>
        <w:rPr>
          <w:rFonts w:ascii="Times New Roman;Times;serif" w:hAnsi="Times New Roman;Times;serif"/>
          <w:sz w:val="2"/>
        </w:rPr>
      </w:pPr>
      <w:r>
        <w:rPr>
          <w:rFonts w:ascii="Times New Roman;Times;serif" w:hAnsi="Times New Roman;Times;serif"/>
          <w:sz w:val="2"/>
        </w:rPr>
        <w:t>v</w:t>
      </w:r>
    </w:p>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34"/>
        </w:rPr>
      </w:pPr>
      <w:bookmarkStart w:id="2" w:name="_6c7658dc_2b79_45c8_a76a_f7681f62e382"/>
      <w:bookmarkEnd w:id="2"/>
      <w:r>
        <w:rPr>
          <w:rFonts w:ascii="Times New Roman;Times;serif" w:hAnsi="Times New Roman;Times;serif"/>
          <w:b/>
          <w:sz w:val="34"/>
        </w:rPr>
        <w:t>UNITED STATES</w:t>
      </w:r>
    </w:p>
    <w:p>
      <w:pPr>
        <w:pStyle w:val="TextBody"/>
        <w:bidi w:val="0"/>
        <w:spacing w:before="0" w:after="0"/>
        <w:ind w:left="0" w:right="0" w:hanging="0"/>
        <w:jc w:val="center"/>
        <w:rPr>
          <w:rFonts w:ascii="Times New Roman;Times;serif" w:hAnsi="Times New Roman;Times;serif"/>
          <w:b/>
          <w:sz w:val="34"/>
        </w:rPr>
      </w:pPr>
      <w:r>
        <w:rPr>
          <w:rFonts w:ascii="Times New Roman;Times;serif" w:hAnsi="Times New Roman;Times;serif"/>
          <w:b/>
          <w:sz w:val="34"/>
        </w:rPr>
        <w:t>SECURITIES AND EXCHANGE COMMISSION</w:t>
      </w:r>
    </w:p>
    <w:p>
      <w:pPr>
        <w:pStyle w:val="TextBody"/>
        <w:bidi w:val="0"/>
        <w:spacing w:before="0" w:after="80"/>
        <w:ind w:left="0" w:right="0" w:hanging="0"/>
        <w:jc w:val="center"/>
        <w:rPr>
          <w:rFonts w:ascii="Times New Roman;Times;serif" w:hAnsi="Times New Roman;Times;serif"/>
          <w:b/>
          <w:sz w:val="22"/>
        </w:rPr>
      </w:pPr>
      <w:r>
        <w:rPr>
          <w:rFonts w:ascii="Times New Roman;Times;serif" w:hAnsi="Times New Roman;Times;serif"/>
          <w:b/>
          <w:sz w:val="22"/>
        </w:rPr>
        <w:t>WASHINGTON, DC 20549</w:t>
      </w:r>
    </w:p>
    <w:p>
      <w:pPr>
        <w:pStyle w:val="TextBody"/>
        <w:bidi w:val="0"/>
        <w:spacing w:before="0" w:after="80"/>
        <w:ind w:left="0" w:right="0" w:hanging="0"/>
        <w:jc w:val="center"/>
        <w:rPr>
          <w:rFonts w:ascii="Times New Roman;Times;serif" w:hAnsi="Times New Roman;Times;serif"/>
          <w:b/>
          <w:sz w:val="34"/>
        </w:rPr>
      </w:pPr>
      <w:r>
        <w:rPr>
          <w:rFonts w:ascii="Times New Roman;Times;serif" w:hAnsi="Times New Roman;Times;serif"/>
          <w:b/>
          <w:sz w:val="34"/>
        </w:rPr>
        <w:t>FORM 10-Q</w:t>
      </w:r>
    </w:p>
    <w:p>
      <w:pPr>
        <w:pStyle w:val="TextBody"/>
        <w:bidi w:val="0"/>
        <w:spacing w:before="0" w:after="0"/>
        <w:ind w:left="0" w:right="0" w:hanging="0"/>
        <w:jc w:val="both"/>
        <w:rPr>
          <w:rFonts w:ascii="Times New Roman;Times;serif" w:hAnsi="Times New Roman;Times;serif"/>
          <w:b/>
          <w:sz w:val="18"/>
        </w:rPr>
      </w:pPr>
      <w:r>
        <w:rPr>
          <w:rFonts w:ascii="Times New Roman;Times;serif" w:hAnsi="Times New Roman;Times;serif"/>
          <w:b/>
          <w:sz w:val="18"/>
        </w:rPr>
        <w:t>(Mark One)</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3" w:name="Tc_q4UVljI1N0igLpMZQi-h2w_1_2"/>
      <w:bookmarkStart w:id="4" w:name="_bf128692_be5f_4c23_8561_ac62219be472"/>
      <w:bookmarkStart w:id="5" w:name="Tc_q4UVljI1N0igLpMZQi-h2w_1_2"/>
      <w:bookmarkStart w:id="6" w:name="_bf128692_be5f_4c23_8561_ac62219be472"/>
      <w:bookmarkEnd w:id="5"/>
      <w:bookmarkEnd w:id="6"/>
    </w:p>
    <w:tbl>
      <w:tblPr>
        <w:tblW w:w="10205" w:type="dxa"/>
        <w:jc w:val="left"/>
        <w:tblInd w:w="0" w:type="dxa"/>
        <w:tblLayout w:type="fixed"/>
        <w:tblCellMar>
          <w:top w:w="0" w:type="dxa"/>
          <w:left w:w="0" w:type="dxa"/>
          <w:bottom w:w="0" w:type="dxa"/>
          <w:right w:w="0" w:type="dxa"/>
        </w:tblCellMar>
      </w:tblPr>
      <w:tblGrid>
        <w:gridCol w:w="331"/>
        <w:gridCol w:w="326"/>
        <w:gridCol w:w="9548"/>
      </w:tblGrid>
      <w:tr>
        <w:trPr/>
        <w:tc>
          <w:tcPr>
            <w:tcW w:w="3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548"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    </w:t>
            </w:r>
          </w:p>
        </w:tc>
        <w:tc>
          <w:tcPr>
            <w:tcW w:w="9548" w:type="dxa"/>
            <w:tcBorders/>
            <w:vAlign w:val="center"/>
          </w:tcPr>
          <w:p>
            <w:pPr>
              <w:pStyle w:val="TableContents"/>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QUARTERLY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80"/>
        <w:ind w:left="0" w:right="0" w:hanging="0"/>
        <w:jc w:val="center"/>
        <w:rPr>
          <w:rFonts w:ascii="Times New Roman;Times;serif" w:hAnsi="Times New Roman;Times;serif"/>
          <w:b/>
          <w:sz w:val="18"/>
        </w:rPr>
      </w:pPr>
      <w:r>
        <w:rPr>
          <w:rFonts w:ascii="Times New Roman;Times;serif" w:hAnsi="Times New Roman;Times;serif"/>
          <w:b/>
          <w:sz w:val="18"/>
        </w:rPr>
        <w:t>For the quarterly period ended March 31, 2025</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OR</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7" w:name="Tc_M6scnPIOkUCW42ot_zqIzg_1_2"/>
      <w:bookmarkStart w:id="8" w:name="_fcfd63c3_2698_4c49_b53c_deb29d8f9193"/>
      <w:bookmarkStart w:id="9" w:name="Tc_M6scnPIOkUCW42ot_zqIzg_1_2"/>
      <w:bookmarkStart w:id="10" w:name="_fcfd63c3_2698_4c49_b53c_deb29d8f9193"/>
      <w:bookmarkEnd w:id="9"/>
      <w:bookmarkEnd w:id="10"/>
    </w:p>
    <w:tbl>
      <w:tblPr>
        <w:tblW w:w="10205" w:type="dxa"/>
        <w:jc w:val="left"/>
        <w:tblInd w:w="0" w:type="dxa"/>
        <w:tblLayout w:type="fixed"/>
        <w:tblCellMar>
          <w:top w:w="0" w:type="dxa"/>
          <w:left w:w="0" w:type="dxa"/>
          <w:bottom w:w="0" w:type="dxa"/>
          <w:right w:w="0" w:type="dxa"/>
        </w:tblCellMar>
      </w:tblPr>
      <w:tblGrid>
        <w:gridCol w:w="331"/>
        <w:gridCol w:w="326"/>
        <w:gridCol w:w="9548"/>
      </w:tblGrid>
      <w:tr>
        <w:trPr/>
        <w:tc>
          <w:tcPr>
            <w:tcW w:w="3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548"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both"/>
              <w:rPr/>
            </w:pPr>
            <w:r>
              <w:rPr/>
              <w:t>    </w:t>
            </w:r>
          </w:p>
        </w:tc>
        <w:tc>
          <w:tcPr>
            <w:tcW w:w="9548" w:type="dxa"/>
            <w:tcBorders/>
            <w:vAlign w:val="center"/>
          </w:tcPr>
          <w:p>
            <w:pPr>
              <w:pStyle w:val="TableContents"/>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TRANSITION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80"/>
        <w:ind w:left="0" w:right="0" w:hanging="0"/>
        <w:jc w:val="center"/>
        <w:rPr>
          <w:rFonts w:ascii="Times New Roman;Times;serif" w:hAnsi="Times New Roman;Times;serif"/>
          <w:b/>
          <w:sz w:val="18"/>
        </w:rPr>
      </w:pPr>
      <w:r>
        <w:rPr>
          <w:rFonts w:ascii="Times New Roman;Times;serif" w:hAnsi="Times New Roman;Times;serif"/>
          <w:b/>
          <w:sz w:val="18"/>
        </w:rPr>
        <w:t>For the transition period from ________ to ________</w:t>
      </w:r>
    </w:p>
    <w:p>
      <w:pPr>
        <w:pStyle w:val="TextBody"/>
        <w:bidi w:val="0"/>
        <w:spacing w:before="0" w:after="80"/>
        <w:ind w:left="0" w:right="0" w:hanging="0"/>
        <w:jc w:val="center"/>
        <w:rPr>
          <w:rFonts w:ascii="Times New Roman;Times;serif" w:hAnsi="Times New Roman;Times;serif"/>
          <w:b/>
          <w:sz w:val="18"/>
        </w:rPr>
      </w:pPr>
      <w:r>
        <w:rPr>
          <w:rFonts w:ascii="Times New Roman;Times;serif" w:hAnsi="Times New Roman;Times;serif"/>
          <w:b/>
          <w:sz w:val="18"/>
        </w:rPr>
        <w:t>Commission File Number: 001-39413</w:t>
      </w:r>
    </w:p>
    <w:p>
      <w:pPr>
        <w:pStyle w:val="TextBody"/>
        <w:bidi w:val="0"/>
        <w:spacing w:before="0" w:after="0"/>
        <w:ind w:left="0" w:right="0" w:hanging="0"/>
        <w:jc w:val="center"/>
        <w:rPr>
          <w:rFonts w:ascii="Times New Roman;Times;serif" w:hAnsi="Times New Roman;Times;serif"/>
          <w:b/>
          <w:i w:val="false"/>
          <w:caps w:val="false"/>
          <w:smallCaps w:val="false"/>
          <w:sz w:val="46"/>
        </w:rPr>
      </w:pPr>
      <w:r>
        <w:rPr>
          <w:rFonts w:ascii="Times New Roman;Times;serif" w:hAnsi="Times New Roman;Times;serif"/>
          <w:b/>
          <w:i w:val="false"/>
          <w:caps w:val="false"/>
          <w:smallCaps w:val="false"/>
          <w:sz w:val="46"/>
        </w:rPr>
        <w:t>VERTEX, INC.</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(Exact Name of Registrant as Specified in its Charter)</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11" w:name="Tc_zXTFrtXa1EmhzHcNWQVNYw_5_4"/>
      <w:bookmarkStart w:id="12" w:name="Tc_uiZZiOLhT0mcd5waHmmwpw_5_0"/>
      <w:bookmarkStart w:id="13" w:name="Tc_3nPReNToy0WjrAzchfUH5g_4_4"/>
      <w:bookmarkStart w:id="14" w:name="Tc_wrA5Vcu8iEKzvU3l9Rqwfw_4_0"/>
      <w:bookmarkStart w:id="15" w:name="Tc_LedDXT_isESWP0Q5EJ4JnA_2_4"/>
      <w:bookmarkStart w:id="16" w:name="Tc_slBlJn0tpECmdN3zYOqsJg_2_0"/>
      <w:bookmarkStart w:id="17" w:name="_b80f365e_57d5_4c51_95d7_52d4c2e246ab"/>
      <w:bookmarkStart w:id="18" w:name="Tc_zXTFrtXa1EmhzHcNWQVNYw_5_4"/>
      <w:bookmarkStart w:id="19" w:name="Tc_uiZZiOLhT0mcd5waHmmwpw_5_0"/>
      <w:bookmarkStart w:id="20" w:name="Tc_3nPReNToy0WjrAzchfUH5g_4_4"/>
      <w:bookmarkStart w:id="21" w:name="Tc_wrA5Vcu8iEKzvU3l9Rqwfw_4_0"/>
      <w:bookmarkStart w:id="22" w:name="Tc_LedDXT_isESWP0Q5EJ4JnA_2_4"/>
      <w:bookmarkStart w:id="23" w:name="Tc_slBlJn0tpECmdN3zYOqsJg_2_0"/>
      <w:bookmarkStart w:id="24" w:name="_b80f365e_57d5_4c51_95d7_52d4c2e246ab"/>
      <w:bookmarkEnd w:id="18"/>
      <w:bookmarkEnd w:id="19"/>
      <w:bookmarkEnd w:id="20"/>
      <w:bookmarkEnd w:id="21"/>
      <w:bookmarkEnd w:id="22"/>
      <w:bookmarkEnd w:id="23"/>
      <w:bookmarkEnd w:id="24"/>
    </w:p>
    <w:tbl>
      <w:tblPr>
        <w:tblW w:w="4505" w:type="dxa"/>
        <w:jc w:val="left"/>
        <w:tblInd w:w="0" w:type="dxa"/>
        <w:tblLayout w:type="fixed"/>
        <w:tblCellMar>
          <w:top w:w="0" w:type="dxa"/>
          <w:left w:w="0" w:type="dxa"/>
          <w:bottom w:w="0" w:type="dxa"/>
          <w:right w:w="0" w:type="dxa"/>
        </w:tblCellMar>
      </w:tblPr>
      <w:tblGrid>
        <w:gridCol w:w="2461"/>
        <w:gridCol w:w="326"/>
        <w:gridCol w:w="146"/>
        <w:gridCol w:w="326"/>
        <w:gridCol w:w="1246"/>
      </w:tblGrid>
      <w:tr>
        <w:trPr/>
        <w:tc>
          <w:tcPr>
            <w:tcW w:w="24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left"/>
              <w:rPr/>
            </w:pPr>
            <w:r>
              <w:rPr/>
              <w:t>​</w:t>
            </w:r>
          </w:p>
        </w:tc>
      </w:tr>
      <w:tr>
        <w:trPr/>
        <w:tc>
          <w:tcPr>
            <w:tcW w:w="246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Delaware</w:t>
            </w:r>
          </w:p>
        </w:tc>
        <w:tc>
          <w:tcPr>
            <w:tcW w:w="326" w:type="dxa"/>
            <w:tcBorders/>
            <w:vAlign w:val="center"/>
          </w:tcPr>
          <w:p>
            <w:pPr>
              <w:pStyle w:val="TableContents"/>
              <w:bidi w:val="0"/>
              <w:spacing w:before="0" w:after="0"/>
              <w:ind w:left="0" w:right="0" w:hanging="0"/>
              <w:jc w:val="both"/>
              <w:rPr/>
            </w:pPr>
            <w:r>
              <w:rPr/>
              <w:t>    </w:t>
            </w:r>
          </w:p>
        </w:tc>
        <w:tc>
          <w:tcPr>
            <w:tcW w:w="146" w:type="dxa"/>
            <w:tcBorders/>
            <w:vAlign w:val="center"/>
          </w:tcPr>
          <w:p>
            <w:pPr>
              <w:pStyle w:val="TableContents"/>
              <w:bidi w:val="0"/>
              <w:spacing w:before="0" w:after="0"/>
              <w:ind w:left="0" w:right="0" w:hanging="0"/>
              <w:jc w:val="center"/>
              <w:rPr/>
            </w:pPr>
            <w:r>
              <w:rPr/>
              <w:t> </w:t>
            </w:r>
          </w:p>
        </w:tc>
        <w:tc>
          <w:tcPr>
            <w:tcW w:w="326" w:type="dxa"/>
            <w:tcBorders/>
            <w:vAlign w:val="center"/>
          </w:tcPr>
          <w:p>
            <w:pPr>
              <w:pStyle w:val="TableContents"/>
              <w:bidi w:val="0"/>
              <w:spacing w:before="0" w:after="0"/>
              <w:ind w:left="0" w:right="0" w:hanging="0"/>
              <w:jc w:val="both"/>
              <w:rPr/>
            </w:pPr>
            <w:r>
              <w:rPr/>
              <w:t>    </w:t>
            </w:r>
          </w:p>
        </w:tc>
        <w:tc>
          <w:tcPr>
            <w:tcW w:w="124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23-2081753</w:t>
            </w:r>
          </w:p>
        </w:tc>
      </w:tr>
      <w:tr>
        <w:trPr/>
        <w:tc>
          <w:tcPr>
            <w:tcW w:w="246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(State or other jurisdiction of</w:t>
            </w:r>
          </w:p>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incorporation or organization)</w:t>
            </w:r>
          </w:p>
        </w:tc>
        <w:tc>
          <w:tcPr>
            <w:tcW w:w="326" w:type="dxa"/>
            <w:tcBorders/>
            <w:vAlign w:val="center"/>
          </w:tcPr>
          <w:p>
            <w:pPr>
              <w:pStyle w:val="TableContents"/>
              <w:bidi w:val="0"/>
              <w:spacing w:before="0" w:after="240"/>
              <w:ind w:left="0" w:right="0" w:hanging="0"/>
              <w:jc w:val="both"/>
              <w:rPr/>
            </w:pPr>
            <w:r>
              <w:rPr/>
              <w:t>​</w:t>
            </w:r>
          </w:p>
        </w:tc>
        <w:tc>
          <w:tcPr>
            <w:tcW w:w="146" w:type="dxa"/>
            <w:tcBorders/>
            <w:vAlign w:val="center"/>
          </w:tcPr>
          <w:p>
            <w:pPr>
              <w:pStyle w:val="TableContents"/>
              <w:bidi w:val="0"/>
              <w:spacing w:before="0" w:after="0"/>
              <w:ind w:left="0" w:right="0" w:hanging="0"/>
              <w:jc w:val="center"/>
              <w:rPr/>
            </w:pPr>
            <w:r>
              <w:rPr/>
              <w:t> </w:t>
            </w:r>
          </w:p>
        </w:tc>
        <w:tc>
          <w:tcPr>
            <w:tcW w:w="326" w:type="dxa"/>
            <w:tcBorders/>
            <w:vAlign w:val="center"/>
          </w:tcPr>
          <w:p>
            <w:pPr>
              <w:pStyle w:val="TableContents"/>
              <w:bidi w:val="0"/>
              <w:spacing w:before="0" w:after="240"/>
              <w:ind w:left="0" w:right="0" w:hanging="0"/>
              <w:jc w:val="both"/>
              <w:rPr/>
            </w:pPr>
            <w:r>
              <w:rPr/>
              <w:t>​</w:t>
            </w:r>
          </w:p>
        </w:tc>
        <w:tc>
          <w:tcPr>
            <w:tcW w:w="124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(I.R.S. Employer</w:t>
            </w:r>
          </w:p>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Identification No.)</w:t>
            </w:r>
          </w:p>
        </w:tc>
      </w:tr>
      <w:tr>
        <w:trPr/>
        <w:tc>
          <w:tcPr>
            <w:tcW w:w="2461" w:type="dxa"/>
            <w:tcBorders/>
            <w:vAlign w:val="center"/>
          </w:tcPr>
          <w:p>
            <w:pPr>
              <w:pStyle w:val="TableContents"/>
              <w:bidi w:val="0"/>
              <w:spacing w:before="0" w:after="0"/>
              <w:ind w:left="0" w:right="0" w:hanging="0"/>
              <w:jc w:val="center"/>
              <w:rPr/>
            </w:pPr>
            <w:r>
              <w:rPr/>
              <w:t> </w:t>
            </w:r>
          </w:p>
        </w:tc>
        <w:tc>
          <w:tcPr>
            <w:tcW w:w="326" w:type="dxa"/>
            <w:tcBorders/>
            <w:vAlign w:val="center"/>
          </w:tcPr>
          <w:p>
            <w:pPr>
              <w:pStyle w:val="TableContents"/>
              <w:bidi w:val="0"/>
              <w:spacing w:before="0" w:after="240"/>
              <w:ind w:left="0" w:right="0" w:hanging="0"/>
              <w:jc w:val="both"/>
              <w:rPr/>
            </w:pPr>
            <w:r>
              <w:rPr/>
              <w:t>​</w:t>
            </w:r>
          </w:p>
        </w:tc>
        <w:tc>
          <w:tcPr>
            <w:tcW w:w="146" w:type="dxa"/>
            <w:tcBorders/>
            <w:vAlign w:val="center"/>
          </w:tcPr>
          <w:p>
            <w:pPr>
              <w:pStyle w:val="TableContents"/>
              <w:bidi w:val="0"/>
              <w:spacing w:before="0" w:after="0"/>
              <w:ind w:left="0" w:right="0" w:hanging="0"/>
              <w:jc w:val="center"/>
              <w:rPr/>
            </w:pPr>
            <w:r>
              <w:rPr/>
              <w:t> </w:t>
            </w:r>
          </w:p>
        </w:tc>
        <w:tc>
          <w:tcPr>
            <w:tcW w:w="326" w:type="dxa"/>
            <w:tcBorders/>
            <w:vAlign w:val="center"/>
          </w:tcPr>
          <w:p>
            <w:pPr>
              <w:pStyle w:val="TableContents"/>
              <w:bidi w:val="0"/>
              <w:spacing w:before="0" w:after="240"/>
              <w:ind w:left="0" w:right="0" w:hanging="0"/>
              <w:jc w:val="both"/>
              <w:rPr/>
            </w:pPr>
            <w:r>
              <w:rPr/>
              <w:t>​</w:t>
            </w:r>
          </w:p>
        </w:tc>
        <w:tc>
          <w:tcPr>
            <w:tcW w:w="1246" w:type="dxa"/>
            <w:tcBorders/>
            <w:vAlign w:val="center"/>
          </w:tcPr>
          <w:p>
            <w:pPr>
              <w:pStyle w:val="TableContents"/>
              <w:bidi w:val="0"/>
              <w:spacing w:before="0" w:after="0"/>
              <w:ind w:left="0" w:right="0" w:hanging="0"/>
              <w:jc w:val="center"/>
              <w:rPr/>
            </w:pPr>
            <w:r>
              <w:rPr/>
              <w:t> </w:t>
            </w:r>
          </w:p>
        </w:tc>
      </w:tr>
      <w:tr>
        <w:trPr/>
        <w:tc>
          <w:tcPr>
            <w:tcW w:w="24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18"/>
              </w:rPr>
              <w:t>2301 Renaissance Blvd</w:t>
            </w:r>
            <w:r>
              <w:rPr>
                <w:rFonts w:ascii="Times New Roman;Times;serif" w:hAnsi="Times New Roman;Times;serif"/>
                <w:sz w:val="18"/>
              </w:rPr>
              <w:br/>
            </w:r>
            <w:r>
              <w:rPr>
                <w:rFonts w:ascii="Times New Roman;Times;serif" w:hAnsi="Times New Roman;Times;serif"/>
                <w:b/>
                <w:sz w:val="18"/>
              </w:rPr>
              <w:t>King of Prussia, Pennsylvania</w:t>
            </w:r>
            <w:r>
              <w:rPr>
                <w:rFonts w:ascii="Times New Roman;Times;serif" w:hAnsi="Times New Roman;Times;serif"/>
                <w:sz w:val="20"/>
              </w:rPr>
              <w:t xml:space="preserve"> </w:t>
            </w:r>
          </w:p>
        </w:tc>
        <w:tc>
          <w:tcPr>
            <w:tcW w:w="326" w:type="dxa"/>
            <w:tcBorders/>
            <w:vAlign w:val="center"/>
          </w:tcPr>
          <w:p>
            <w:pPr>
              <w:pStyle w:val="TableContents"/>
              <w:bidi w:val="0"/>
              <w:spacing w:before="0" w:after="240"/>
              <w:ind w:left="0" w:right="0" w:hanging="0"/>
              <w:jc w:val="both"/>
              <w:rPr/>
            </w:pPr>
            <w:r>
              <w:rPr/>
              <w:t>​</w:t>
            </w:r>
          </w:p>
        </w:tc>
        <w:tc>
          <w:tcPr>
            <w:tcW w:w="146" w:type="dxa"/>
            <w:tcBorders/>
            <w:vAlign w:val="center"/>
          </w:tcPr>
          <w:p>
            <w:pPr>
              <w:pStyle w:val="TableContents"/>
              <w:bidi w:val="0"/>
              <w:spacing w:before="0" w:after="0"/>
              <w:ind w:left="0" w:right="0" w:hanging="0"/>
              <w:jc w:val="center"/>
              <w:rPr/>
            </w:pPr>
            <w:r>
              <w:rPr/>
              <w:t> </w:t>
            </w:r>
          </w:p>
        </w:tc>
        <w:tc>
          <w:tcPr>
            <w:tcW w:w="326" w:type="dxa"/>
            <w:tcBorders/>
            <w:vAlign w:val="center"/>
          </w:tcPr>
          <w:p>
            <w:pPr>
              <w:pStyle w:val="TableContents"/>
              <w:bidi w:val="0"/>
              <w:spacing w:before="0" w:after="240"/>
              <w:ind w:left="0" w:right="0" w:hanging="0"/>
              <w:jc w:val="both"/>
              <w:rPr/>
            </w:pPr>
            <w:r>
              <w:rPr/>
              <w:t>​</w:t>
            </w:r>
          </w:p>
        </w:tc>
        <w:tc>
          <w:tcPr>
            <w:tcW w:w="124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18"/>
              </w:rPr>
              <w:t>19406</w:t>
            </w:r>
            <w:r>
              <w:rPr>
                <w:rFonts w:ascii="Times New Roman;Times;serif" w:hAnsi="Times New Roman;Times;serif"/>
                <w:sz w:val="20"/>
              </w:rPr>
              <w:t> </w:t>
            </w:r>
          </w:p>
        </w:tc>
      </w:tr>
      <w:tr>
        <w:trPr/>
        <w:tc>
          <w:tcPr>
            <w:tcW w:w="246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(Address of principal executive offices)</w:t>
            </w:r>
          </w:p>
        </w:tc>
        <w:tc>
          <w:tcPr>
            <w:tcW w:w="326" w:type="dxa"/>
            <w:tcBorders/>
            <w:vAlign w:val="center"/>
          </w:tcPr>
          <w:p>
            <w:pPr>
              <w:pStyle w:val="TableContents"/>
              <w:bidi w:val="0"/>
              <w:spacing w:before="0" w:after="240"/>
              <w:ind w:left="0" w:right="0" w:hanging="0"/>
              <w:jc w:val="both"/>
              <w:rPr/>
            </w:pPr>
            <w:r>
              <w:rPr/>
              <w:t>​</w:t>
            </w:r>
          </w:p>
        </w:tc>
        <w:tc>
          <w:tcPr>
            <w:tcW w:w="146" w:type="dxa"/>
            <w:tcBorders/>
            <w:vAlign w:val="center"/>
          </w:tcPr>
          <w:p>
            <w:pPr>
              <w:pStyle w:val="TableContents"/>
              <w:bidi w:val="0"/>
              <w:spacing w:before="0" w:after="0"/>
              <w:ind w:left="0" w:right="0" w:hanging="0"/>
              <w:jc w:val="center"/>
              <w:rPr/>
            </w:pPr>
            <w:r>
              <w:rPr/>
              <w:t> </w:t>
            </w:r>
          </w:p>
        </w:tc>
        <w:tc>
          <w:tcPr>
            <w:tcW w:w="326" w:type="dxa"/>
            <w:tcBorders/>
            <w:vAlign w:val="center"/>
          </w:tcPr>
          <w:p>
            <w:pPr>
              <w:pStyle w:val="TableContents"/>
              <w:bidi w:val="0"/>
              <w:spacing w:before="0" w:after="240"/>
              <w:ind w:left="0" w:right="0" w:hanging="0"/>
              <w:jc w:val="both"/>
              <w:rPr/>
            </w:pPr>
            <w:r>
              <w:rPr/>
              <w:t>​</w:t>
            </w:r>
          </w:p>
        </w:tc>
        <w:tc>
          <w:tcPr>
            <w:tcW w:w="124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(Zip Code)</w:t>
            </w:r>
          </w:p>
        </w:tc>
      </w:tr>
    </w:tbl>
    <w:p>
      <w:pPr>
        <w:pStyle w:val="TextBody"/>
        <w:bidi w:val="0"/>
        <w:spacing w:before="0" w:after="0"/>
        <w:ind w:left="0" w:right="0" w:hanging="0"/>
        <w:jc w:val="left"/>
        <w:rPr/>
      </w:pPr>
      <w:r>
        <w:rPr/>
        <w:t>​</w:t>
      </w:r>
    </w:p>
    <w:p>
      <w:pPr>
        <w:pStyle w:val="TextBody"/>
        <w:bidi w:val="0"/>
        <w:spacing w:before="0" w:after="80"/>
        <w:ind w:left="0" w:right="0" w:hanging="0"/>
        <w:jc w:val="center"/>
        <w:rPr>
          <w:rFonts w:ascii="Times New Roman;Times;serif" w:hAnsi="Times New Roman;Times;serif"/>
          <w:b/>
          <w:sz w:val="18"/>
        </w:rPr>
      </w:pPr>
      <w:r>
        <w:rPr>
          <w:rFonts w:ascii="Times New Roman;Times;serif" w:hAnsi="Times New Roman;Times;serif"/>
          <w:b/>
          <w:sz w:val="18"/>
        </w:rPr>
        <w:t>Registrant’s telephone number, including area code: (800) 355-3500</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Securities registered pursuant to Section 12(b) of the Act:</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25" w:name="Tc_RcxYJLJKEkCR0qy9rYQ0HQ_1_4"/>
      <w:bookmarkStart w:id="26" w:name="Tc_gtnj_mUOPUKAYBgMU3MTjg_1_2"/>
      <w:bookmarkStart w:id="27" w:name="Tc_w-fLh1DiakaNe3jnP1fgqg_1_0"/>
      <w:bookmarkStart w:id="28" w:name="_2de39deb_a515_459a_b1f1_fd289b9c31c6"/>
      <w:bookmarkStart w:id="29" w:name="Tc_RcxYJLJKEkCR0qy9rYQ0HQ_1_4"/>
      <w:bookmarkStart w:id="30" w:name="Tc_gtnj_mUOPUKAYBgMU3MTjg_1_2"/>
      <w:bookmarkStart w:id="31" w:name="Tc_w-fLh1DiakaNe3jnP1fgqg_1_0"/>
      <w:bookmarkStart w:id="32" w:name="_2de39deb_a515_459a_b1f1_fd289b9c31c6"/>
      <w:bookmarkEnd w:id="29"/>
      <w:bookmarkEnd w:id="30"/>
      <w:bookmarkEnd w:id="31"/>
      <w:bookmarkEnd w:id="32"/>
    </w:p>
    <w:tbl>
      <w:tblPr>
        <w:tblW w:w="8575" w:type="dxa"/>
        <w:jc w:val="left"/>
        <w:tblInd w:w="0" w:type="dxa"/>
        <w:tblLayout w:type="fixed"/>
        <w:tblCellMar>
          <w:top w:w="0" w:type="dxa"/>
          <w:left w:w="0" w:type="dxa"/>
          <w:bottom w:w="0" w:type="dxa"/>
          <w:right w:w="0" w:type="dxa"/>
        </w:tblCellMar>
      </w:tblPr>
      <w:tblGrid>
        <w:gridCol w:w="4156"/>
        <w:gridCol w:w="326"/>
        <w:gridCol w:w="1066"/>
        <w:gridCol w:w="326"/>
        <w:gridCol w:w="2701"/>
      </w:tblGrid>
      <w:tr>
        <w:trPr/>
        <w:tc>
          <w:tcPr>
            <w:tcW w:w="41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01" w:type="dxa"/>
            <w:tcBorders/>
            <w:vAlign w:val="center"/>
          </w:tcPr>
          <w:p>
            <w:pPr>
              <w:pStyle w:val="TableContents"/>
              <w:bidi w:val="0"/>
              <w:spacing w:before="0" w:after="0"/>
              <w:ind w:left="0" w:right="0" w:hanging="0"/>
              <w:jc w:val="left"/>
              <w:rPr/>
            </w:pPr>
            <w:r>
              <w:rPr/>
              <w:t>​</w:t>
            </w:r>
          </w:p>
        </w:tc>
      </w:tr>
      <w:tr>
        <w:trPr/>
        <w:tc>
          <w:tcPr>
            <w:tcW w:w="41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Title of each class</w:t>
            </w:r>
          </w:p>
        </w:tc>
        <w:tc>
          <w:tcPr>
            <w:tcW w:w="326" w:type="dxa"/>
            <w:tcBorders/>
            <w:vAlign w:val="center"/>
          </w:tcPr>
          <w:p>
            <w:pPr>
              <w:pStyle w:val="TableContents"/>
              <w:bidi w:val="0"/>
              <w:spacing w:before="0" w:after="0"/>
              <w:ind w:left="0" w:right="0" w:hanging="0"/>
              <w:jc w:val="both"/>
              <w:rPr/>
            </w:pPr>
            <w:r>
              <w:rPr/>
              <w:t>    </w:t>
            </w:r>
          </w:p>
        </w:tc>
        <w:tc>
          <w:tcPr>
            <w:tcW w:w="10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Trading symbol</w:t>
            </w:r>
          </w:p>
        </w:tc>
        <w:tc>
          <w:tcPr>
            <w:tcW w:w="326" w:type="dxa"/>
            <w:tcBorders/>
            <w:vAlign w:val="center"/>
          </w:tcPr>
          <w:p>
            <w:pPr>
              <w:pStyle w:val="TableContents"/>
              <w:bidi w:val="0"/>
              <w:spacing w:before="0" w:after="0"/>
              <w:ind w:left="0" w:right="0" w:hanging="0"/>
              <w:jc w:val="both"/>
              <w:rPr/>
            </w:pPr>
            <w:r>
              <w:rPr/>
              <w:t>    </w:t>
            </w:r>
          </w:p>
        </w:tc>
        <w:tc>
          <w:tcPr>
            <w:tcW w:w="27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Name of each exchange on which registered</w:t>
            </w:r>
          </w:p>
        </w:tc>
      </w:tr>
      <w:tr>
        <w:trPr/>
        <w:tc>
          <w:tcPr>
            <w:tcW w:w="415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Class A Common Stock, Par Value $0.001 Per Share</w:t>
            </w:r>
          </w:p>
        </w:tc>
        <w:tc>
          <w:tcPr>
            <w:tcW w:w="326" w:type="dxa"/>
            <w:tcBorders/>
            <w:vAlign w:val="center"/>
          </w:tcPr>
          <w:p>
            <w:pPr>
              <w:pStyle w:val="TableContents"/>
              <w:bidi w:val="0"/>
              <w:spacing w:before="0" w:after="240"/>
              <w:ind w:left="0" w:right="0" w:hanging="0"/>
              <w:jc w:val="both"/>
              <w:rPr/>
            </w:pPr>
            <w:r>
              <w:rPr/>
              <w:t>​</w:t>
            </w:r>
          </w:p>
        </w:tc>
        <w:tc>
          <w:tcPr>
            <w:tcW w:w="106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VERX</w:t>
            </w:r>
          </w:p>
        </w:tc>
        <w:tc>
          <w:tcPr>
            <w:tcW w:w="326" w:type="dxa"/>
            <w:tcBorders/>
            <w:vAlign w:val="center"/>
          </w:tcPr>
          <w:p>
            <w:pPr>
              <w:pStyle w:val="TableContents"/>
              <w:bidi w:val="0"/>
              <w:spacing w:before="0" w:after="240"/>
              <w:ind w:left="0" w:right="0" w:hanging="0"/>
              <w:jc w:val="both"/>
              <w:rPr/>
            </w:pPr>
            <w:r>
              <w:rPr/>
              <w:t>​</w:t>
            </w:r>
          </w:p>
        </w:tc>
        <w:tc>
          <w:tcPr>
            <w:tcW w:w="270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The Nasdaq Stock Market LLC</w:t>
            </w:r>
          </w:p>
        </w:tc>
      </w:tr>
    </w:tbl>
    <w:p>
      <w:pPr>
        <w:pStyle w:val="TextBody"/>
        <w:bidi w:val="0"/>
        <w:spacing w:before="0" w:after="0"/>
        <w:ind w:left="0" w:right="0" w:hanging="0"/>
        <w:jc w:val="left"/>
        <w:rPr/>
      </w:pPr>
      <w:r>
        <w:rPr/>
        <w:t>​</w:t>
      </w:r>
    </w:p>
    <w:p>
      <w:pPr>
        <w:pStyle w:val="TextBody"/>
        <w:bidi w:val="0"/>
        <w:spacing w:before="0" w:after="80"/>
        <w:ind w:left="0" w:right="0" w:firstLine="523"/>
        <w:jc w:val="both"/>
        <w:rPr>
          <w:rFonts w:ascii="Times New Roman;Times;serif" w:hAnsi="Times New Roman;Times;serif"/>
          <w:sz w:val="20"/>
        </w:rPr>
      </w:pPr>
      <w:r>
        <w:rPr>
          <w:rFonts w:ascii="Times New Roman;Times;serif" w:hAnsi="Times New Roman;Times;serif"/>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    </w:t>
      </w:r>
      <w:r>
        <w:rPr>
          <w:rFonts w:ascii="Times New Roman;Times;serif" w:hAnsi="Times New Roman;Times;serif"/>
          <w:sz w:val="18"/>
        </w:rPr>
        <w:t>No  </w:t>
      </w:r>
      <w:r>
        <w:rPr>
          <w:rFonts w:ascii="Times New Roman;Times;serif" w:hAnsi="Times New Roman;Times;serif"/>
          <w:sz w:val="20"/>
        </w:rPr>
        <w:t>☐</w:t>
      </w:r>
    </w:p>
    <w:p>
      <w:pPr>
        <w:pStyle w:val="TextBody"/>
        <w:bidi w:val="0"/>
        <w:spacing w:before="0" w:after="80"/>
        <w:ind w:left="0" w:right="0" w:firstLine="523"/>
        <w:jc w:val="both"/>
        <w:rPr>
          <w:rFonts w:ascii="Times New Roman;Times;serif" w:hAnsi="Times New Roman;Times;serif"/>
          <w:sz w:val="20"/>
        </w:rPr>
      </w:pPr>
      <w:r>
        <w:rPr>
          <w:rFonts w:ascii="Times New Roman;Times;serif" w:hAnsi="Times New Roman;Times;serif"/>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Times;serif" w:hAnsi="Times New Roman;Times;serif"/>
          <w:sz w:val="20"/>
        </w:rPr>
        <w:t>  ☒    </w:t>
      </w:r>
      <w:r>
        <w:rPr>
          <w:rFonts w:ascii="Times New Roman;Times;serif" w:hAnsi="Times New Roman;Times;serif"/>
          <w:sz w:val="18"/>
        </w:rPr>
        <w:t>No  </w:t>
      </w:r>
      <w:r>
        <w:rPr>
          <w:rFonts w:ascii="Times New Roman;Times;serif" w:hAnsi="Times New Roman;Times;serif"/>
          <w:sz w:val="20"/>
        </w:rPr>
        <w:t>☐</w:t>
      </w:r>
    </w:p>
    <w:p>
      <w:pPr>
        <w:pStyle w:val="TextBody"/>
        <w:bidi w:val="0"/>
        <w:spacing w:before="0" w:after="0"/>
        <w:ind w:left="0" w:right="0" w:firstLine="518"/>
        <w:jc w:val="both"/>
        <w:rPr>
          <w:rFonts w:ascii="Times New Roman;Times;serif" w:hAnsi="Times New Roman;Times;serif"/>
          <w:sz w:val="18"/>
        </w:rPr>
      </w:pPr>
      <w:r>
        <w:rPr>
          <w:rFonts w:ascii="Times New Roman;Times;serif" w:hAnsi="Times New Roman;Times;serif"/>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33" w:name="Tc_eK0VHy8SqUmMumNJBp9ZeQ_3_3"/>
      <w:bookmarkStart w:id="34" w:name="Tc_K0mLWDzY4kucR_8MZ1NZIA_2_3"/>
      <w:bookmarkStart w:id="35" w:name="Tc_a8-My9Rft0aPyLTW0FeoDw_2_1"/>
      <w:bookmarkStart w:id="36" w:name="Tc_WBqiA_8eD0WBwBiwyQX8-A_2_0"/>
      <w:bookmarkStart w:id="37" w:name="Tc_abTRwIlsnEuz0zhi_2kFpw_1_4"/>
      <w:bookmarkStart w:id="38" w:name="Tc_IPlO-jry1UKt6gSGOemfTg_1_3"/>
      <w:bookmarkStart w:id="39" w:name="Tc_gcQl3oAeGUGf26KxFgBh2Q_1_1"/>
      <w:bookmarkStart w:id="40" w:name="_7a629acc_e15b_4ae7_90f9_3d0e349b3fdd"/>
      <w:bookmarkStart w:id="41" w:name="Tc_eK0VHy8SqUmMumNJBp9ZeQ_3_3"/>
      <w:bookmarkStart w:id="42" w:name="Tc_K0mLWDzY4kucR_8MZ1NZIA_2_3"/>
      <w:bookmarkStart w:id="43" w:name="Tc_a8-My9Rft0aPyLTW0FeoDw_2_1"/>
      <w:bookmarkStart w:id="44" w:name="Tc_WBqiA_8eD0WBwBiwyQX8-A_2_0"/>
      <w:bookmarkStart w:id="45" w:name="Tc_abTRwIlsnEuz0zhi_2kFpw_1_4"/>
      <w:bookmarkStart w:id="46" w:name="Tc_IPlO-jry1UKt6gSGOemfTg_1_3"/>
      <w:bookmarkStart w:id="47" w:name="Tc_gcQl3oAeGUGf26KxFgBh2Q_1_1"/>
      <w:bookmarkStart w:id="48" w:name="_7a629acc_e15b_4ae7_90f9_3d0e349b3fdd"/>
      <w:bookmarkEnd w:id="41"/>
      <w:bookmarkEnd w:id="42"/>
      <w:bookmarkEnd w:id="43"/>
      <w:bookmarkEnd w:id="44"/>
      <w:bookmarkEnd w:id="45"/>
      <w:bookmarkEnd w:id="46"/>
      <w:bookmarkEnd w:id="47"/>
      <w:bookmarkEnd w:id="48"/>
    </w:p>
    <w:tbl>
      <w:tblPr>
        <w:tblW w:w="4770" w:type="dxa"/>
        <w:jc w:val="left"/>
        <w:tblInd w:w="0" w:type="dxa"/>
        <w:tblLayout w:type="fixed"/>
        <w:tblCellMar>
          <w:top w:w="0" w:type="dxa"/>
          <w:left w:w="0" w:type="dxa"/>
          <w:bottom w:w="0" w:type="dxa"/>
          <w:right w:w="0" w:type="dxa"/>
        </w:tblCellMar>
      </w:tblPr>
      <w:tblGrid>
        <w:gridCol w:w="1666"/>
        <w:gridCol w:w="376"/>
        <w:gridCol w:w="326"/>
        <w:gridCol w:w="2041"/>
        <w:gridCol w:w="361"/>
      </w:tblGrid>
      <w:tr>
        <w:trPr/>
        <w:tc>
          <w:tcPr>
            <w:tcW w:w="166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4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r>
        <w:trPr/>
        <w:tc>
          <w:tcPr>
            <w:tcW w:w="1666" w:type="dxa"/>
            <w:tcBorders/>
            <w:vAlign w:val="center"/>
          </w:tcPr>
          <w:p>
            <w:pPr>
              <w:pStyle w:val="TableContents"/>
              <w:pBdr/>
              <w:bidi w:val="0"/>
              <w:spacing w:before="0" w:after="0"/>
              <w:ind w:left="0" w:right="0" w:hanging="0"/>
              <w:jc w:val="both"/>
              <w:rPr>
                <w:rFonts w:ascii="Times New Roman;Times;serif" w:hAnsi="Times New Roman;Times;serif"/>
                <w:sz w:val="18"/>
              </w:rPr>
            </w:pPr>
            <w:r>
              <w:rPr>
                <w:rFonts w:ascii="Times New Roman;Times;serif" w:hAnsi="Times New Roman;Times;serif"/>
                <w:sz w:val="18"/>
              </w:rPr>
              <w:t>Large accelerated filer</w:t>
            </w:r>
          </w:p>
        </w:tc>
        <w:tc>
          <w:tcPr>
            <w:tcW w:w="376" w:type="dxa"/>
            <w:tcBorders/>
            <w:vAlign w:val="center"/>
          </w:tcPr>
          <w:p>
            <w:pPr>
              <w:pStyle w:val="TableContents"/>
              <w:bidi w:val="0"/>
              <w:spacing w:before="0" w:after="0"/>
              <w:ind w:left="0" w:right="0" w:hanging="0"/>
              <w:jc w:val="both"/>
              <w:rPr/>
            </w:pPr>
            <w:r>
              <w:rPr/>
              <w:t>☒ </w:t>
            </w:r>
          </w:p>
        </w:tc>
        <w:tc>
          <w:tcPr>
            <w:tcW w:w="326" w:type="dxa"/>
            <w:tcBorders/>
            <w:vAlign w:val="center"/>
          </w:tcPr>
          <w:p>
            <w:pPr>
              <w:pStyle w:val="TableContents"/>
              <w:bidi w:val="0"/>
              <w:spacing w:before="0" w:after="0"/>
              <w:ind w:left="0" w:right="0" w:hanging="0"/>
              <w:jc w:val="both"/>
              <w:rPr/>
            </w:pPr>
            <w:r>
              <w:rPr/>
              <w:t>    </w:t>
            </w:r>
          </w:p>
        </w:tc>
        <w:tc>
          <w:tcPr>
            <w:tcW w:w="2041" w:type="dxa"/>
            <w:tcBorders/>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Accelerated filer</w:t>
            </w:r>
          </w:p>
        </w:tc>
        <w:tc>
          <w:tcPr>
            <w:tcW w:w="361" w:type="dxa"/>
            <w:tcBorders/>
            <w:vAlign w:val="center"/>
          </w:tcPr>
          <w:p>
            <w:pPr>
              <w:pStyle w:val="TableContents"/>
              <w:bidi w:val="0"/>
              <w:spacing w:before="0" w:after="0"/>
              <w:ind w:left="0" w:right="0" w:hanging="0"/>
              <w:jc w:val="both"/>
              <w:rPr/>
            </w:pPr>
            <w:r>
              <w:rPr/>
              <w:t>☐</w:t>
            </w:r>
          </w:p>
        </w:tc>
      </w:tr>
      <w:tr>
        <w:trPr/>
        <w:tc>
          <w:tcPr>
            <w:tcW w:w="1666" w:type="dxa"/>
            <w:tcBorders/>
            <w:vAlign w:val="center"/>
          </w:tcPr>
          <w:p>
            <w:pPr>
              <w:pStyle w:val="TableContents"/>
              <w:pBdr/>
              <w:bidi w:val="0"/>
              <w:spacing w:before="0" w:after="0"/>
              <w:ind w:left="0" w:right="0" w:hanging="0"/>
              <w:jc w:val="both"/>
              <w:rPr>
                <w:rFonts w:ascii="Times New Roman;Times;serif" w:hAnsi="Times New Roman;Times;serif"/>
                <w:sz w:val="18"/>
              </w:rPr>
            </w:pPr>
            <w:r>
              <w:rPr>
                <w:rFonts w:ascii="Times New Roman;Times;serif" w:hAnsi="Times New Roman;Times;serif"/>
                <w:sz w:val="18"/>
              </w:rPr>
              <w:t>Non-accelerated filer</w:t>
            </w:r>
          </w:p>
        </w:tc>
        <w:tc>
          <w:tcPr>
            <w:tcW w:w="376"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240"/>
              <w:ind w:left="0" w:right="0" w:hanging="0"/>
              <w:jc w:val="both"/>
              <w:rPr/>
            </w:pPr>
            <w:r>
              <w:rPr/>
              <w:t>​</w:t>
            </w:r>
          </w:p>
        </w:tc>
        <w:tc>
          <w:tcPr>
            <w:tcW w:w="2041" w:type="dxa"/>
            <w:tcBorders/>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Smaller reporting company</w:t>
            </w:r>
          </w:p>
        </w:tc>
        <w:tc>
          <w:tcPr>
            <w:tcW w:w="361" w:type="dxa"/>
            <w:tcBorders/>
            <w:vAlign w:val="center"/>
          </w:tcPr>
          <w:p>
            <w:pPr>
              <w:pStyle w:val="TableContents"/>
              <w:bidi w:val="0"/>
              <w:spacing w:before="0" w:after="0"/>
              <w:ind w:left="0" w:right="0" w:hanging="0"/>
              <w:jc w:val="both"/>
              <w:rPr/>
            </w:pPr>
            <w:r>
              <w:rPr/>
              <w:t>☐</w:t>
            </w:r>
          </w:p>
        </w:tc>
      </w:tr>
      <w:tr>
        <w:trPr/>
        <w:tc>
          <w:tcPr>
            <w:tcW w:w="1666" w:type="dxa"/>
            <w:tcBorders/>
            <w:vAlign w:val="center"/>
          </w:tcPr>
          <w:p>
            <w:pPr>
              <w:pStyle w:val="TableContents"/>
              <w:bidi w:val="0"/>
              <w:spacing w:before="0" w:after="240"/>
              <w:ind w:left="0" w:right="0" w:hanging="0"/>
              <w:jc w:val="both"/>
              <w:rPr/>
            </w:pPr>
            <w:r>
              <w:rPr/>
              <w:t>​</w:t>
            </w:r>
          </w:p>
        </w:tc>
        <w:tc>
          <w:tcPr>
            <w:tcW w:w="376" w:type="dxa"/>
            <w:tcBorders/>
            <w:vAlign w:val="center"/>
          </w:tcPr>
          <w:p>
            <w:pPr>
              <w:pStyle w:val="TableContents"/>
              <w:bidi w:val="0"/>
              <w:spacing w:before="0" w:after="240"/>
              <w:ind w:left="0" w:right="0" w:hanging="0"/>
              <w:jc w:val="both"/>
              <w:rPr/>
            </w:pPr>
            <w:r>
              <w:rPr/>
              <w:t>​</w:t>
            </w:r>
          </w:p>
        </w:tc>
        <w:tc>
          <w:tcPr>
            <w:tcW w:w="326" w:type="dxa"/>
            <w:tcBorders/>
            <w:vAlign w:val="center"/>
          </w:tcPr>
          <w:p>
            <w:pPr>
              <w:pStyle w:val="TableContents"/>
              <w:bidi w:val="0"/>
              <w:spacing w:before="0" w:after="240"/>
              <w:ind w:left="0" w:right="0" w:hanging="0"/>
              <w:jc w:val="both"/>
              <w:rPr/>
            </w:pPr>
            <w:r>
              <w:rPr/>
              <w:t>​</w:t>
            </w:r>
          </w:p>
        </w:tc>
        <w:tc>
          <w:tcPr>
            <w:tcW w:w="2041" w:type="dxa"/>
            <w:tcBorders/>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Emerging growth company</w:t>
            </w:r>
          </w:p>
        </w:tc>
        <w:tc>
          <w:tcPr>
            <w:tcW w:w="361" w:type="dxa"/>
            <w:tcBorders/>
            <w:vAlign w:val="center"/>
          </w:tcPr>
          <w:p>
            <w:pPr>
              <w:pStyle w:val="TableContents"/>
              <w:bidi w:val="0"/>
              <w:spacing w:before="0" w:after="0"/>
              <w:ind w:left="0" w:right="0" w:hanging="0"/>
              <w:jc w:val="both"/>
              <w:rPr/>
            </w:pPr>
            <w:r>
              <w:rPr/>
              <w:t>☐</w:t>
            </w:r>
          </w:p>
        </w:tc>
      </w:tr>
    </w:tbl>
    <w:p>
      <w:pPr>
        <w:pStyle w:val="TextBody"/>
        <w:bidi w:val="0"/>
        <w:spacing w:before="0" w:after="0"/>
        <w:ind w:left="0" w:right="0" w:hanging="0"/>
        <w:jc w:val="left"/>
        <w:rPr/>
      </w:pPr>
      <w:r>
        <w:rPr/>
        <w:t>​</w:t>
      </w:r>
    </w:p>
    <w:p>
      <w:pPr>
        <w:pStyle w:val="TextBody"/>
        <w:bidi w:val="0"/>
        <w:spacing w:before="0" w:after="80"/>
        <w:ind w:left="0" w:right="0" w:firstLine="518"/>
        <w:jc w:val="both"/>
        <w:rPr>
          <w:rFonts w:ascii="Times New Roman;Times;serif" w:hAnsi="Times New Roman;Times;serif"/>
          <w:sz w:val="18"/>
        </w:rPr>
      </w:pPr>
      <w:r>
        <w:rPr>
          <w:rFonts w:ascii="Times New Roman;Times;serif" w:hAnsi="Times New Roman;Times;serif"/>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80"/>
        <w:ind w:left="0" w:right="0" w:firstLine="523"/>
        <w:jc w:val="both"/>
        <w:rPr>
          <w:rFonts w:ascii="Times New Roman;Times;serif" w:hAnsi="Times New Roman;Times;serif"/>
          <w:sz w:val="20"/>
        </w:rPr>
      </w:pPr>
      <w:r>
        <w:rPr>
          <w:rFonts w:ascii="Times New Roman;Times;serif" w:hAnsi="Times New Roman;Times;serif"/>
          <w:sz w:val="18"/>
        </w:rPr>
        <w:t>Indicate by check mark whether the registrant is a shell company (as defined in Rule 12b-2 of the Exchange Act).   Yes  </w:t>
      </w:r>
      <w:r>
        <w:rPr>
          <w:rFonts w:ascii="Times New Roman;Times;serif" w:hAnsi="Times New Roman;Times;serif"/>
          <w:sz w:val="20"/>
        </w:rPr>
        <w:t>☐    </w:t>
      </w:r>
      <w:r>
        <w:rPr>
          <w:rFonts w:ascii="Times New Roman;Times;serif" w:hAnsi="Times New Roman;Times;serif"/>
          <w:sz w:val="18"/>
        </w:rPr>
        <w:t>No  </w:t>
      </w:r>
      <w:r>
        <w:rPr>
          <w:rFonts w:ascii="Times New Roman;Times;serif" w:hAnsi="Times New Roman;Times;serif"/>
          <w:sz w:val="20"/>
        </w:rPr>
        <w:t>☒</w:t>
      </w:r>
    </w:p>
    <w:p>
      <w:pPr>
        <w:pStyle w:val="TextBody"/>
        <w:bidi w:val="0"/>
        <w:spacing w:before="0" w:after="0"/>
        <w:ind w:left="0" w:right="0" w:firstLine="518"/>
        <w:jc w:val="both"/>
        <w:rPr>
          <w:rFonts w:ascii="Times New Roman;Times;serif" w:hAnsi="Times New Roman;Times;serif"/>
          <w:sz w:val="18"/>
        </w:rPr>
      </w:pPr>
      <w:r>
        <w:rPr>
          <w:rFonts w:ascii="Times New Roman;Times;serif" w:hAnsi="Times New Roman;Times;serif"/>
          <w:sz w:val="18"/>
        </w:rPr>
        <w:t>As of May 5, 2025, the registrant had 72,005,249 shares of Class A common stock, $0.001 par value per share, and 86,480,641 shares of Class B common stock, $0.001 par value per share, outstanding.</w:t>
      </w:r>
    </w:p>
    <w:p>
      <w:pPr>
        <w:pStyle w:val="TextBody"/>
        <w:bidi w:val="0"/>
        <w:spacing w:before="0" w:after="240"/>
        <w:ind w:left="0" w:right="0" w:firstLine="518"/>
        <w:jc w:val="both"/>
        <w:rPr/>
      </w:pPr>
      <w:r>
        <w:rPr/>
        <w:t>​</w:t>
      </w:r>
    </w:p>
    <w:p>
      <w:pPr>
        <w:pStyle w:val="TextBody"/>
        <w:pBdr>
          <w:top w:val="single" w:sz="2" w:space="1" w:color="000000"/>
          <w:bottom w:val="single" w:sz="24" w:space="1" w:color="000000"/>
        </w:pBdr>
        <w:bidi w:val="0"/>
        <w:spacing w:before="0" w:after="240"/>
        <w:ind w:left="0" w:right="0" w:firstLine="523"/>
        <w:jc w:val="both"/>
        <w:rPr/>
      </w:pPr>
      <w:r>
        <w:rPr/>
        <w:t>​</w:t>
      </w:r>
    </w:p>
    <w:p>
      <w:pPr>
        <w:pStyle w:val="TextBody"/>
        <w:bidi w:val="0"/>
        <w:spacing w:before="0" w:after="240"/>
        <w:ind w:left="0" w:right="0" w:firstLine="523"/>
        <w:jc w:val="both"/>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sz w:val="20"/>
        </w:rPr>
      </w:pPr>
      <w:bookmarkStart w:id="49" w:name="TOC"/>
      <w:bookmarkStart w:id="50" w:name="_39177bde_093a_4b25_90ed_fb39e815977b"/>
      <w:bookmarkEnd w:id="49"/>
      <w:bookmarkEnd w:id="50"/>
      <w:r>
        <w:rPr>
          <w:rFonts w:ascii="Times New Roman;Times;serif" w:hAnsi="Times New Roman;Times;serif"/>
          <w:b/>
          <w:sz w:val="20"/>
        </w:rPr>
        <w:t>TABLE OF CONTENTS</w:t>
      </w:r>
      <w:r>
        <w:rPr>
          <w:rFonts w:ascii="Times New Roman;Times;serif" w:hAnsi="Times New Roman;Times;serif"/>
          <w:sz w:val="20"/>
        </w:rPr>
        <w:t xml:space="preserve"> </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726"/>
        <w:gridCol w:w="8907"/>
        <w:gridCol w:w="572"/>
      </w:tblGrid>
      <w:tr>
        <w:trPr/>
        <w:tc>
          <w:tcPr>
            <w:tcW w:w="726" w:type="dxa"/>
            <w:tcBorders/>
            <w:vAlign w:val="center"/>
          </w:tcPr>
          <w:p>
            <w:pPr>
              <w:pStyle w:val="TableContents"/>
              <w:bidi w:val="0"/>
              <w:spacing w:before="0" w:after="0"/>
              <w:ind w:left="0" w:right="0" w:hanging="0"/>
              <w:jc w:val="left"/>
              <w:rPr/>
            </w:pPr>
            <w:r>
              <w:rPr/>
              <w:t>​</w:t>
            </w:r>
          </w:p>
        </w:tc>
        <w:tc>
          <w:tcPr>
            <w:tcW w:w="8907" w:type="dxa"/>
            <w:tcBorders/>
            <w:vAlign w:val="center"/>
          </w:tcPr>
          <w:p>
            <w:pPr>
              <w:pStyle w:val="TableContents"/>
              <w:bidi w:val="0"/>
              <w:spacing w:before="0" w:after="0"/>
              <w:ind w:left="0" w:right="0" w:hanging="0"/>
              <w:jc w:val="left"/>
              <w:rPr/>
            </w:pPr>
            <w:r>
              <w:rPr/>
              <w:t> </w:t>
            </w:r>
          </w:p>
        </w:tc>
        <w:tc>
          <w:tcPr>
            <w:tcW w:w="572"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Page</w:t>
            </w:r>
          </w:p>
        </w:tc>
      </w:tr>
      <w:tr>
        <w:trPr/>
        <w:tc>
          <w:tcPr>
            <w:tcW w:w="726" w:type="dxa"/>
            <w:tcBorders/>
            <w:vAlign w:val="center"/>
          </w:tcPr>
          <w:p>
            <w:pPr>
              <w:pStyle w:val="TableContents"/>
              <w:bidi w:val="0"/>
              <w:spacing w:before="0" w:after="0"/>
              <w:ind w:left="0" w:right="0" w:hanging="0"/>
              <w:jc w:val="left"/>
              <w:rPr/>
            </w:pPr>
            <w:r>
              <w:rPr/>
              <w:t>​</w:t>
            </w:r>
          </w:p>
        </w:tc>
        <w:tc>
          <w:tcPr>
            <w:tcW w:w="8907" w:type="dxa"/>
            <w:tcBorders/>
            <w:vAlign w:val="center"/>
          </w:tcPr>
          <w:p>
            <w:pPr>
              <w:pStyle w:val="TableContents"/>
              <w:bidi w:val="0"/>
              <w:spacing w:before="0" w:after="0"/>
              <w:ind w:left="0" w:right="0" w:hanging="0"/>
              <w:jc w:val="center"/>
              <w:rPr/>
            </w:pPr>
            <w:hyperlink w:anchor="PARTIFINANCIALINFORMATION_19634">
              <w:r>
                <w:rPr>
                  <w:rStyle w:val="InternetLink"/>
                  <w:rFonts w:ascii="Times New Roman;Times;serif" w:hAnsi="Times New Roman;Times;serif"/>
                  <w:b w:val="false"/>
                  <w:i w:val="false"/>
                  <w:caps w:val="false"/>
                  <w:smallCaps w:val="false"/>
                  <w:sz w:val="20"/>
                </w:rPr>
                <w:t>Part I - Financial Information </w:t>
              </w:r>
            </w:hyperlink>
          </w:p>
        </w:tc>
        <w:tc>
          <w:tcPr>
            <w:tcW w:w="572" w:type="dxa"/>
            <w:tcBorders>
              <w:top w:val="single" w:sz="8" w:space="0" w:color="000000"/>
            </w:tcBorders>
            <w:tcMar>
              <w:top w:w="28" w:type="dxa"/>
            </w:tcMar>
            <w:vAlign w:val="center"/>
          </w:tcPr>
          <w:p>
            <w:pPr>
              <w:pStyle w:val="TableContents"/>
              <w:bidi w:val="0"/>
              <w:spacing w:before="0" w:after="0"/>
              <w:ind w:left="0" w:right="0" w:hanging="0"/>
              <w:jc w:val="right"/>
              <w:rPr/>
            </w:pPr>
            <w:r>
              <w:rPr/>
              <w:t>​</w:t>
            </w:r>
          </w:p>
        </w:tc>
      </w:tr>
      <w:tr>
        <w:trPr/>
        <w:tc>
          <w:tcPr>
            <w:tcW w:w="726" w:type="dxa"/>
            <w:tcBorders/>
            <w:vAlign w:val="center"/>
          </w:tcPr>
          <w:p>
            <w:pPr>
              <w:pStyle w:val="TableContents"/>
              <w:bidi w:val="0"/>
              <w:spacing w:before="0" w:after="0"/>
              <w:ind w:left="0" w:right="0" w:hanging="0"/>
              <w:jc w:val="both"/>
              <w:rPr/>
            </w:pPr>
            <w:hyperlink w:anchor="Item1FINANCIALSTATEMENTS_787624">
              <w:r>
                <w:rPr>
                  <w:rStyle w:val="InternetLink"/>
                  <w:rFonts w:ascii="Times New Roman;Times;serif" w:hAnsi="Times New Roman;Times;serif"/>
                  <w:b w:val="false"/>
                  <w:i w:val="false"/>
                  <w:caps w:val="false"/>
                  <w:smallCaps w:val="false"/>
                  <w:sz w:val="20"/>
                </w:rPr>
                <w:t>Item 1.</w:t>
              </w:r>
            </w:hyperlink>
          </w:p>
        </w:tc>
        <w:tc>
          <w:tcPr>
            <w:tcW w:w="8907" w:type="dxa"/>
            <w:tcBorders/>
            <w:vAlign w:val="center"/>
          </w:tcPr>
          <w:p>
            <w:pPr>
              <w:pStyle w:val="TableContents"/>
              <w:bidi w:val="0"/>
              <w:spacing w:before="0" w:after="0"/>
              <w:ind w:left="0" w:right="0" w:hanging="0"/>
              <w:jc w:val="both"/>
              <w:rPr/>
            </w:pPr>
            <w:hyperlink w:anchor="Item1FINANCIALSTATEMENTS_787624">
              <w:r>
                <w:rPr>
                  <w:rStyle w:val="InternetLink"/>
                  <w:rFonts w:ascii="Times New Roman;Times;serif" w:hAnsi="Times New Roman;Times;serif"/>
                  <w:b w:val="false"/>
                  <w:i w:val="false"/>
                  <w:caps w:val="false"/>
                  <w:smallCaps w:val="false"/>
                  <w:sz w:val="20"/>
                </w:rPr>
                <w:t>Financial Statements</w:t>
              </w:r>
            </w:hyperlink>
          </w:p>
        </w:tc>
        <w:tc>
          <w:tcPr>
            <w:tcW w:w="572" w:type="dxa"/>
            <w:tcBorders/>
            <w:vAlign w:val="center"/>
          </w:tcPr>
          <w:p>
            <w:pPr>
              <w:pStyle w:val="TableContents"/>
              <w:bidi w:val="0"/>
              <w:spacing w:before="0" w:after="0"/>
              <w:ind w:left="0" w:right="0" w:hanging="0"/>
              <w:jc w:val="right"/>
              <w:rPr/>
            </w:pPr>
            <w:r>
              <w:rPr/>
              <w:t>​</w:t>
            </w:r>
          </w:p>
        </w:tc>
      </w:tr>
      <w:tr>
        <w:trPr/>
        <w:tc>
          <w:tcPr>
            <w:tcW w:w="726" w:type="dxa"/>
            <w:tcBorders/>
            <w:vAlign w:val="center"/>
          </w:tcPr>
          <w:p>
            <w:pPr>
              <w:pStyle w:val="TableContents"/>
              <w:bidi w:val="0"/>
              <w:spacing w:before="0" w:after="0"/>
              <w:ind w:left="0" w:right="0" w:hanging="0"/>
              <w:jc w:val="left"/>
              <w:rPr/>
            </w:pPr>
            <w:r>
              <w:rPr/>
              <w:t>​</w:t>
            </w:r>
          </w:p>
        </w:tc>
        <w:tc>
          <w:tcPr>
            <w:tcW w:w="8907" w:type="dxa"/>
            <w:tcBorders/>
            <w:vAlign w:val="center"/>
          </w:tcPr>
          <w:p>
            <w:pPr>
              <w:pStyle w:val="TableContents"/>
              <w:bidi w:val="0"/>
              <w:spacing w:before="0" w:after="0"/>
              <w:ind w:left="0" w:right="0" w:hanging="0"/>
              <w:jc w:val="both"/>
              <w:rPr/>
            </w:pPr>
            <w:hyperlink w:anchor="CondensedConsolidatedBalanceSheets_41728">
              <w:r>
                <w:rPr>
                  <w:rStyle w:val="InternetLink"/>
                  <w:rFonts w:ascii="Times New Roman;Times;serif" w:hAnsi="Times New Roman;Times;serif"/>
                  <w:b w:val="false"/>
                  <w:i w:val="false"/>
                  <w:caps w:val="false"/>
                  <w:smallCaps w:val="false"/>
                  <w:sz w:val="20"/>
                </w:rPr>
                <w:t xml:space="preserve">Condensed Consolidated Balance Sheets as of March 31, 2025 (unaudited) and December 31, 2024 </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726" w:type="dxa"/>
            <w:tcBorders/>
            <w:vAlign w:val="center"/>
          </w:tcPr>
          <w:p>
            <w:pPr>
              <w:pStyle w:val="TableContents"/>
              <w:bidi w:val="0"/>
              <w:spacing w:before="0" w:after="0"/>
              <w:ind w:left="0" w:right="0" w:hanging="0"/>
              <w:jc w:val="left"/>
              <w:rPr/>
            </w:pPr>
            <w:r>
              <w:rPr/>
              <w:t>​</w:t>
            </w:r>
          </w:p>
        </w:tc>
        <w:tc>
          <w:tcPr>
            <w:tcW w:w="8907" w:type="dxa"/>
            <w:tcBorders/>
            <w:vAlign w:val="center"/>
          </w:tcPr>
          <w:p>
            <w:pPr>
              <w:pStyle w:val="TableContents"/>
              <w:bidi w:val="0"/>
              <w:spacing w:before="0" w:after="0"/>
              <w:ind w:left="0" w:right="0" w:hanging="0"/>
              <w:jc w:val="both"/>
              <w:rPr/>
            </w:pPr>
            <w:hyperlink w:anchor="CondensedConsolidatedStatementsofCompre">
              <w:r>
                <w:rPr>
                  <w:rStyle w:val="InternetLink"/>
                  <w:rFonts w:ascii="Times New Roman;Times;serif" w:hAnsi="Times New Roman;Times;serif"/>
                  <w:b w:val="false"/>
                  <w:i w:val="false"/>
                  <w:caps w:val="false"/>
                  <w:smallCaps w:val="false"/>
                  <w:sz w:val="20"/>
                </w:rPr>
                <w:t>Condensed Consolidated Statements of Comprehensive Income (Loss) for the Three Months Ended March 31, 2025 and 2024 (unaudited)</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726" w:type="dxa"/>
            <w:tcBorders/>
            <w:vAlign w:val="center"/>
          </w:tcPr>
          <w:p>
            <w:pPr>
              <w:pStyle w:val="TableContents"/>
              <w:bidi w:val="0"/>
              <w:spacing w:before="0" w:after="0"/>
              <w:ind w:left="0" w:right="0" w:hanging="0"/>
              <w:jc w:val="left"/>
              <w:rPr/>
            </w:pPr>
            <w:r>
              <w:rPr/>
              <w:t>​</w:t>
            </w:r>
          </w:p>
        </w:tc>
        <w:tc>
          <w:tcPr>
            <w:tcW w:w="8907" w:type="dxa"/>
            <w:tcBorders/>
            <w:vAlign w:val="center"/>
          </w:tcPr>
          <w:p>
            <w:pPr>
              <w:pStyle w:val="TableContents"/>
              <w:bidi w:val="0"/>
              <w:spacing w:before="0" w:after="0"/>
              <w:ind w:left="0" w:right="0" w:hanging="0"/>
              <w:jc w:val="both"/>
              <w:rPr/>
            </w:pPr>
            <w:hyperlink w:anchor="CondensedConsolidatedStatementsofChanges">
              <w:r>
                <w:rPr>
                  <w:rStyle w:val="InternetLink"/>
                  <w:rFonts w:ascii="Times New Roman;Times;serif" w:hAnsi="Times New Roman;Times;serif"/>
                  <w:b w:val="false"/>
                  <w:i w:val="false"/>
                  <w:caps w:val="false"/>
                  <w:smallCaps w:val="false"/>
                  <w:sz w:val="20"/>
                </w:rPr>
                <w:t>Condensed Consolidated Statements of Changes in Stockholders’ Equity for the Three Months Ended March 31, 2025 and 2024 (unaudited)</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726" w:type="dxa"/>
            <w:tcBorders/>
            <w:vAlign w:val="center"/>
          </w:tcPr>
          <w:p>
            <w:pPr>
              <w:pStyle w:val="TableContents"/>
              <w:bidi w:val="0"/>
              <w:spacing w:before="0" w:after="0"/>
              <w:ind w:left="0" w:right="0" w:hanging="0"/>
              <w:jc w:val="left"/>
              <w:rPr/>
            </w:pPr>
            <w:r>
              <w:rPr/>
              <w:t>​</w:t>
            </w:r>
          </w:p>
        </w:tc>
        <w:tc>
          <w:tcPr>
            <w:tcW w:w="8907" w:type="dxa"/>
            <w:tcBorders/>
            <w:vAlign w:val="center"/>
          </w:tcPr>
          <w:p>
            <w:pPr>
              <w:pStyle w:val="TableContents"/>
              <w:bidi w:val="0"/>
              <w:spacing w:before="0" w:after="0"/>
              <w:ind w:left="0" w:right="0" w:hanging="0"/>
              <w:jc w:val="both"/>
              <w:rPr/>
            </w:pPr>
            <w:hyperlink w:anchor="CashFlows">
              <w:r>
                <w:rPr>
                  <w:rStyle w:val="InternetLink"/>
                  <w:rFonts w:ascii="Times New Roman;Times;serif" w:hAnsi="Times New Roman;Times;serif"/>
                  <w:b w:val="false"/>
                  <w:i w:val="false"/>
                  <w:caps w:val="false"/>
                  <w:smallCaps w:val="false"/>
                  <w:sz w:val="20"/>
                </w:rPr>
                <w:t>Condensed Consolidated Statements of Cash Flows for the Three Months Ended March 31, 2025 and 2024 (unaudited)</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726" w:type="dxa"/>
            <w:tcBorders/>
            <w:vAlign w:val="center"/>
          </w:tcPr>
          <w:p>
            <w:pPr>
              <w:pStyle w:val="TableContents"/>
              <w:bidi w:val="0"/>
              <w:spacing w:before="0" w:after="0"/>
              <w:ind w:left="0" w:right="0" w:hanging="0"/>
              <w:jc w:val="left"/>
              <w:rPr/>
            </w:pPr>
            <w:r>
              <w:rPr/>
              <w:t>​</w:t>
            </w:r>
          </w:p>
        </w:tc>
        <w:tc>
          <w:tcPr>
            <w:tcW w:w="8907" w:type="dxa"/>
            <w:tcBorders/>
            <w:vAlign w:val="center"/>
          </w:tcPr>
          <w:p>
            <w:pPr>
              <w:pStyle w:val="TableContents"/>
              <w:bidi w:val="0"/>
              <w:spacing w:before="0" w:after="0"/>
              <w:ind w:left="0" w:right="0" w:hanging="0"/>
              <w:jc w:val="both"/>
              <w:rPr/>
            </w:pPr>
            <w:hyperlink w:anchor="a1SUMMARYOFSIGNIFICANTACCOUNTINGPOLICIES">
              <w:r>
                <w:rPr>
                  <w:rStyle w:val="InternetLink"/>
                  <w:rFonts w:ascii="Times New Roman;Times;serif" w:hAnsi="Times New Roman;Times;serif"/>
                  <w:b w:val="false"/>
                  <w:i w:val="false"/>
                  <w:caps w:val="false"/>
                  <w:smallCaps w:val="false"/>
                  <w:sz w:val="20"/>
                </w:rPr>
                <w:t>Notes to Condensed Consolidated Financial Statements (unaudited)</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r>
      <w:tr>
        <w:trPr/>
        <w:tc>
          <w:tcPr>
            <w:tcW w:w="726" w:type="dxa"/>
            <w:tcBorders/>
            <w:vAlign w:val="center"/>
          </w:tcPr>
          <w:p>
            <w:pPr>
              <w:pStyle w:val="TableContents"/>
              <w:bidi w:val="0"/>
              <w:spacing w:before="0" w:after="0"/>
              <w:ind w:left="0" w:right="0" w:hanging="0"/>
              <w:jc w:val="both"/>
              <w:rPr/>
            </w:pPr>
            <w:hyperlink w:anchor="Item2MANAGEMENTSDISCUSSIONANDANALYSIS_19">
              <w:r>
                <w:rPr>
                  <w:rStyle w:val="InternetLink"/>
                  <w:rFonts w:ascii="Times New Roman;Times;serif" w:hAnsi="Times New Roman;Times;serif"/>
                  <w:b w:val="false"/>
                  <w:i w:val="false"/>
                  <w:caps w:val="false"/>
                  <w:smallCaps w:val="false"/>
                  <w:sz w:val="20"/>
                </w:rPr>
                <w:t>Item 2.</w:t>
              </w:r>
            </w:hyperlink>
          </w:p>
        </w:tc>
        <w:tc>
          <w:tcPr>
            <w:tcW w:w="8907" w:type="dxa"/>
            <w:tcBorders/>
            <w:vAlign w:val="center"/>
          </w:tcPr>
          <w:p>
            <w:pPr>
              <w:pStyle w:val="TableContents"/>
              <w:bidi w:val="0"/>
              <w:spacing w:before="0" w:after="0"/>
              <w:ind w:left="0" w:right="0" w:hanging="0"/>
              <w:jc w:val="both"/>
              <w:rPr/>
            </w:pPr>
            <w:hyperlink w:anchor="Item2MANAGEMENTSDISCUSSIONANDANALYSIS_19">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726" w:type="dxa"/>
            <w:tcBorders/>
            <w:vAlign w:val="center"/>
          </w:tcPr>
          <w:p>
            <w:pPr>
              <w:pStyle w:val="TableContents"/>
              <w:bidi w:val="0"/>
              <w:spacing w:before="0" w:after="0"/>
              <w:ind w:left="0" w:right="0" w:hanging="0"/>
              <w:jc w:val="both"/>
              <w:rPr/>
            </w:pPr>
            <w:hyperlink w:anchor="Item3QUANTITATIVEANDQUALITATIVE_86752">
              <w:r>
                <w:rPr>
                  <w:rStyle w:val="InternetLink"/>
                  <w:rFonts w:ascii="Times New Roman;Times;serif" w:hAnsi="Times New Roman;Times;serif"/>
                  <w:b w:val="false"/>
                  <w:i w:val="false"/>
                  <w:caps w:val="false"/>
                  <w:smallCaps w:val="false"/>
                  <w:sz w:val="20"/>
                </w:rPr>
                <w:t>Item 3.</w:t>
              </w:r>
            </w:hyperlink>
          </w:p>
        </w:tc>
        <w:tc>
          <w:tcPr>
            <w:tcW w:w="8907" w:type="dxa"/>
            <w:tcBorders/>
            <w:vAlign w:val="center"/>
          </w:tcPr>
          <w:p>
            <w:pPr>
              <w:pStyle w:val="TableContents"/>
              <w:bidi w:val="0"/>
              <w:spacing w:before="0" w:after="0"/>
              <w:ind w:left="0" w:right="0" w:hanging="0"/>
              <w:jc w:val="both"/>
              <w:rPr/>
            </w:pPr>
            <w:hyperlink w:anchor="Item3QUANTITATIVEANDQUALITATIVE_86752">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r>
      <w:tr>
        <w:trPr/>
        <w:tc>
          <w:tcPr>
            <w:tcW w:w="726" w:type="dxa"/>
            <w:tcBorders/>
            <w:vAlign w:val="center"/>
          </w:tcPr>
          <w:p>
            <w:pPr>
              <w:pStyle w:val="TableContents"/>
              <w:bidi w:val="0"/>
              <w:spacing w:before="0" w:after="0"/>
              <w:ind w:left="0" w:right="0" w:hanging="0"/>
              <w:jc w:val="both"/>
              <w:rPr/>
            </w:pPr>
            <w:hyperlink w:anchor="Item4CONTROLSANDPROCEDURES_722053">
              <w:r>
                <w:rPr>
                  <w:rStyle w:val="InternetLink"/>
                  <w:rFonts w:ascii="Times New Roman;Times;serif" w:hAnsi="Times New Roman;Times;serif"/>
                  <w:b w:val="false"/>
                  <w:i w:val="false"/>
                  <w:caps w:val="false"/>
                  <w:smallCaps w:val="false"/>
                  <w:sz w:val="20"/>
                </w:rPr>
                <w:t>Item 4.</w:t>
              </w:r>
            </w:hyperlink>
          </w:p>
        </w:tc>
        <w:tc>
          <w:tcPr>
            <w:tcW w:w="8907" w:type="dxa"/>
            <w:tcBorders/>
            <w:vAlign w:val="center"/>
          </w:tcPr>
          <w:p>
            <w:pPr>
              <w:pStyle w:val="TableContents"/>
              <w:bidi w:val="0"/>
              <w:spacing w:before="0" w:after="0"/>
              <w:ind w:left="0" w:right="0" w:hanging="0"/>
              <w:jc w:val="both"/>
              <w:rPr/>
            </w:pPr>
            <w:hyperlink w:anchor="Item4CONTROLSANDPROCEDURES_722053">
              <w:r>
                <w:rPr>
                  <w:rStyle w:val="InternetLink"/>
                  <w:rFonts w:ascii="Times New Roman;Times;serif" w:hAnsi="Times New Roman;Times;serif"/>
                  <w:b w:val="false"/>
                  <w:i w:val="false"/>
                  <w:caps w:val="false"/>
                  <w:smallCaps w:val="false"/>
                  <w:sz w:val="20"/>
                </w:rPr>
                <w:t>Controls and Procedures</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r>
      <w:tr>
        <w:trPr/>
        <w:tc>
          <w:tcPr>
            <w:tcW w:w="726" w:type="dxa"/>
            <w:tcBorders/>
            <w:vAlign w:val="center"/>
          </w:tcPr>
          <w:p>
            <w:pPr>
              <w:pStyle w:val="TableContents"/>
              <w:bidi w:val="0"/>
              <w:spacing w:before="0" w:after="283"/>
              <w:ind w:left="0" w:right="0" w:hanging="0"/>
              <w:jc w:val="left"/>
              <w:rPr>
                <w:sz w:val="4"/>
                <w:szCs w:val="4"/>
              </w:rPr>
            </w:pPr>
            <w:r>
              <w:rPr>
                <w:sz w:val="4"/>
                <w:szCs w:val="4"/>
              </w:rPr>
            </w:r>
          </w:p>
        </w:tc>
        <w:tc>
          <w:tcPr>
            <w:tcW w:w="8907" w:type="dxa"/>
            <w:tcBorders/>
            <w:vAlign w:val="center"/>
          </w:tcPr>
          <w:p>
            <w:pPr>
              <w:pStyle w:val="TableContents"/>
              <w:bidi w:val="0"/>
              <w:spacing w:before="0" w:after="0"/>
              <w:ind w:left="0" w:right="0" w:hanging="0"/>
              <w:jc w:val="center"/>
              <w:rPr/>
            </w:pPr>
            <w:hyperlink w:anchor="PARTIIOTHERINFORMATION_466846">
              <w:r>
                <w:rPr>
                  <w:rStyle w:val="InternetLink"/>
                  <w:rFonts w:ascii="Times New Roman;Times;serif" w:hAnsi="Times New Roman;Times;serif"/>
                  <w:b w:val="false"/>
                  <w:i w:val="false"/>
                  <w:caps w:val="false"/>
                  <w:smallCaps w:val="false"/>
                  <w:sz w:val="20"/>
                </w:rPr>
                <w:t>Part II - Other Information</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r>
      <w:tr>
        <w:trPr/>
        <w:tc>
          <w:tcPr>
            <w:tcW w:w="726" w:type="dxa"/>
            <w:tcBorders/>
            <w:vAlign w:val="center"/>
          </w:tcPr>
          <w:p>
            <w:pPr>
              <w:pStyle w:val="TableContents"/>
              <w:bidi w:val="0"/>
              <w:spacing w:before="0" w:after="0"/>
              <w:ind w:left="0" w:right="0" w:hanging="0"/>
              <w:jc w:val="both"/>
              <w:rPr/>
            </w:pPr>
            <w:hyperlink w:anchor="ITEM1LEGALPROCEEDINGS_169419">
              <w:r>
                <w:rPr>
                  <w:rStyle w:val="InternetLink"/>
                  <w:rFonts w:ascii="Times New Roman;Times;serif" w:hAnsi="Times New Roman;Times;serif"/>
                  <w:b w:val="false"/>
                  <w:i w:val="false"/>
                  <w:caps w:val="false"/>
                  <w:smallCaps w:val="false"/>
                  <w:sz w:val="20"/>
                </w:rPr>
                <w:t>Item 1.</w:t>
              </w:r>
            </w:hyperlink>
          </w:p>
        </w:tc>
        <w:tc>
          <w:tcPr>
            <w:tcW w:w="8907" w:type="dxa"/>
            <w:tcBorders/>
            <w:vAlign w:val="center"/>
          </w:tcPr>
          <w:p>
            <w:pPr>
              <w:pStyle w:val="TableContents"/>
              <w:bidi w:val="0"/>
              <w:spacing w:before="0" w:after="0"/>
              <w:ind w:left="0" w:right="0" w:hanging="0"/>
              <w:jc w:val="both"/>
              <w:rPr/>
            </w:pPr>
            <w:hyperlink w:anchor="ITEM1LEGALPROCEEDINGS_169419">
              <w:r>
                <w:rPr>
                  <w:rStyle w:val="InternetLink"/>
                  <w:rFonts w:ascii="Times New Roman;Times;serif" w:hAnsi="Times New Roman;Times;serif"/>
                  <w:b w:val="false"/>
                  <w:i w:val="false"/>
                  <w:caps w:val="false"/>
                  <w:smallCaps w:val="false"/>
                  <w:sz w:val="20"/>
                </w:rPr>
                <w:t>Legal Proceedings</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r>
      <w:tr>
        <w:trPr/>
        <w:tc>
          <w:tcPr>
            <w:tcW w:w="726" w:type="dxa"/>
            <w:tcBorders/>
            <w:vAlign w:val="center"/>
          </w:tcPr>
          <w:p>
            <w:pPr>
              <w:pStyle w:val="TableContents"/>
              <w:bidi w:val="0"/>
              <w:spacing w:before="0" w:after="0"/>
              <w:ind w:left="0" w:right="0" w:hanging="0"/>
              <w:jc w:val="both"/>
              <w:rPr/>
            </w:pPr>
            <w:hyperlink w:anchor="ITEM1ARISKFACTORS_159906">
              <w:r>
                <w:rPr>
                  <w:rStyle w:val="InternetLink"/>
                  <w:rFonts w:ascii="Times New Roman;Times;serif" w:hAnsi="Times New Roman;Times;serif"/>
                  <w:b w:val="false"/>
                  <w:i w:val="false"/>
                  <w:caps w:val="false"/>
                  <w:smallCaps w:val="false"/>
                  <w:sz w:val="20"/>
                </w:rPr>
                <w:t>Item 1A.</w:t>
              </w:r>
            </w:hyperlink>
          </w:p>
        </w:tc>
        <w:tc>
          <w:tcPr>
            <w:tcW w:w="8907" w:type="dxa"/>
            <w:tcBorders/>
            <w:vAlign w:val="center"/>
          </w:tcPr>
          <w:p>
            <w:pPr>
              <w:pStyle w:val="TableContents"/>
              <w:bidi w:val="0"/>
              <w:spacing w:before="0" w:after="0"/>
              <w:ind w:left="0" w:right="0" w:hanging="0"/>
              <w:jc w:val="both"/>
              <w:rPr/>
            </w:pPr>
            <w:hyperlink w:anchor="ITEM1ARISKFACTORS_159906">
              <w:r>
                <w:rPr>
                  <w:rStyle w:val="InternetLink"/>
                  <w:rFonts w:ascii="Times New Roman;Times;serif" w:hAnsi="Times New Roman;Times;serif"/>
                  <w:b w:val="false"/>
                  <w:i w:val="false"/>
                  <w:caps w:val="false"/>
                  <w:smallCaps w:val="false"/>
                  <w:sz w:val="20"/>
                </w:rPr>
                <w:t>Risk Factors</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r>
      <w:tr>
        <w:trPr/>
        <w:tc>
          <w:tcPr>
            <w:tcW w:w="726" w:type="dxa"/>
            <w:tcBorders/>
            <w:vAlign w:val="center"/>
          </w:tcPr>
          <w:p>
            <w:pPr>
              <w:pStyle w:val="TableContents"/>
              <w:bidi w:val="0"/>
              <w:spacing w:before="0" w:after="0"/>
              <w:ind w:left="0" w:right="0" w:hanging="0"/>
              <w:jc w:val="both"/>
              <w:rPr/>
            </w:pPr>
            <w:hyperlink w:anchor="ITEM2UNREGISTEREDSALESOFEQUITYSECURITIES">
              <w:r>
                <w:rPr>
                  <w:rStyle w:val="InternetLink"/>
                  <w:rFonts w:ascii="Times New Roman;Times;serif" w:hAnsi="Times New Roman;Times;serif"/>
                  <w:b w:val="false"/>
                  <w:i w:val="false"/>
                  <w:caps w:val="false"/>
                  <w:smallCaps w:val="false"/>
                  <w:sz w:val="20"/>
                </w:rPr>
                <w:t>Item 2.</w:t>
              </w:r>
            </w:hyperlink>
          </w:p>
        </w:tc>
        <w:tc>
          <w:tcPr>
            <w:tcW w:w="8907" w:type="dxa"/>
            <w:tcBorders/>
            <w:vAlign w:val="center"/>
          </w:tcPr>
          <w:p>
            <w:pPr>
              <w:pStyle w:val="TableContents"/>
              <w:bidi w:val="0"/>
              <w:spacing w:before="0" w:after="0"/>
              <w:ind w:left="0" w:right="0" w:hanging="0"/>
              <w:jc w:val="both"/>
              <w:rPr/>
            </w:pPr>
            <w:hyperlink w:anchor="ITEM2UNREGISTEREDSALESOFEQUITYSECURITIES">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r>
      <w:tr>
        <w:trPr/>
        <w:tc>
          <w:tcPr>
            <w:tcW w:w="726" w:type="dxa"/>
            <w:tcBorders/>
            <w:vAlign w:val="center"/>
          </w:tcPr>
          <w:p>
            <w:pPr>
              <w:pStyle w:val="TableContents"/>
              <w:bidi w:val="0"/>
              <w:spacing w:before="0" w:after="0"/>
              <w:ind w:left="0" w:right="0" w:hanging="0"/>
              <w:jc w:val="both"/>
              <w:rPr/>
            </w:pPr>
            <w:hyperlink w:anchor="ITEM3DEFAULTSUPONSENIORSECURITIES_573487">
              <w:r>
                <w:rPr>
                  <w:rStyle w:val="InternetLink"/>
                  <w:rFonts w:ascii="Times New Roman;Times;serif" w:hAnsi="Times New Roman;Times;serif"/>
                  <w:b w:val="false"/>
                  <w:i w:val="false"/>
                  <w:caps w:val="false"/>
                  <w:smallCaps w:val="false"/>
                  <w:sz w:val="20"/>
                </w:rPr>
                <w:t>Item 3.</w:t>
              </w:r>
            </w:hyperlink>
          </w:p>
        </w:tc>
        <w:tc>
          <w:tcPr>
            <w:tcW w:w="8907" w:type="dxa"/>
            <w:tcBorders/>
            <w:vAlign w:val="center"/>
          </w:tcPr>
          <w:p>
            <w:pPr>
              <w:pStyle w:val="TableContents"/>
              <w:bidi w:val="0"/>
              <w:spacing w:before="0" w:after="0"/>
              <w:ind w:left="0" w:right="0" w:hanging="0"/>
              <w:jc w:val="both"/>
              <w:rPr/>
            </w:pPr>
            <w:hyperlink w:anchor="ITEM3DEFAULTSUPONSENIORSECURITIES_573487">
              <w:r>
                <w:rPr>
                  <w:rStyle w:val="InternetLink"/>
                  <w:rFonts w:ascii="Times New Roman;Times;serif" w:hAnsi="Times New Roman;Times;serif"/>
                  <w:b w:val="false"/>
                  <w:i w:val="false"/>
                  <w:caps w:val="false"/>
                  <w:smallCaps w:val="false"/>
                  <w:sz w:val="20"/>
                </w:rPr>
                <w:t>Defaults Upon Senior Securities</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r>
      <w:tr>
        <w:trPr/>
        <w:tc>
          <w:tcPr>
            <w:tcW w:w="726" w:type="dxa"/>
            <w:tcBorders/>
            <w:vAlign w:val="center"/>
          </w:tcPr>
          <w:p>
            <w:pPr>
              <w:pStyle w:val="TableContents"/>
              <w:bidi w:val="0"/>
              <w:spacing w:before="0" w:after="0"/>
              <w:ind w:left="0" w:right="0" w:hanging="0"/>
              <w:jc w:val="both"/>
              <w:rPr/>
            </w:pPr>
            <w:hyperlink w:anchor="ITEM4MINESAFETYDISCLOSURES_7256">
              <w:r>
                <w:rPr>
                  <w:rStyle w:val="InternetLink"/>
                  <w:rFonts w:ascii="Times New Roman;Times;serif" w:hAnsi="Times New Roman;Times;serif"/>
                  <w:b w:val="false"/>
                  <w:i w:val="false"/>
                  <w:caps w:val="false"/>
                  <w:smallCaps w:val="false"/>
                  <w:sz w:val="20"/>
                </w:rPr>
                <w:t>Item 4.</w:t>
              </w:r>
            </w:hyperlink>
          </w:p>
        </w:tc>
        <w:tc>
          <w:tcPr>
            <w:tcW w:w="8907" w:type="dxa"/>
            <w:tcBorders/>
            <w:vAlign w:val="center"/>
          </w:tcPr>
          <w:p>
            <w:pPr>
              <w:pStyle w:val="TableContents"/>
              <w:bidi w:val="0"/>
              <w:spacing w:before="0" w:after="0"/>
              <w:ind w:left="0" w:right="0" w:hanging="0"/>
              <w:jc w:val="both"/>
              <w:rPr/>
            </w:pPr>
            <w:hyperlink w:anchor="ITEM4MINESAFETYDISCLOSURES_7256">
              <w:r>
                <w:rPr>
                  <w:rStyle w:val="InternetLink"/>
                  <w:rFonts w:ascii="Times New Roman;Times;serif" w:hAnsi="Times New Roman;Times;serif"/>
                  <w:b w:val="false"/>
                  <w:i w:val="false"/>
                  <w:caps w:val="false"/>
                  <w:smallCaps w:val="false"/>
                  <w:sz w:val="20"/>
                </w:rPr>
                <w:t>Mine Safety Disclosures</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r>
      <w:tr>
        <w:trPr/>
        <w:tc>
          <w:tcPr>
            <w:tcW w:w="726" w:type="dxa"/>
            <w:tcBorders/>
            <w:vAlign w:val="center"/>
          </w:tcPr>
          <w:p>
            <w:pPr>
              <w:pStyle w:val="TableContents"/>
              <w:bidi w:val="0"/>
              <w:spacing w:before="0" w:after="0"/>
              <w:ind w:left="0" w:right="0" w:hanging="0"/>
              <w:jc w:val="both"/>
              <w:rPr/>
            </w:pPr>
            <w:hyperlink w:anchor="ITEM5OTHERINFORMATION_591263">
              <w:r>
                <w:rPr>
                  <w:rStyle w:val="InternetLink"/>
                  <w:rFonts w:ascii="Times New Roman;Times;serif" w:hAnsi="Times New Roman;Times;serif"/>
                  <w:b w:val="false"/>
                  <w:i w:val="false"/>
                  <w:caps w:val="false"/>
                  <w:smallCaps w:val="false"/>
                  <w:sz w:val="20"/>
                </w:rPr>
                <w:t>Item 5.</w:t>
              </w:r>
            </w:hyperlink>
          </w:p>
        </w:tc>
        <w:tc>
          <w:tcPr>
            <w:tcW w:w="8907" w:type="dxa"/>
            <w:tcBorders/>
            <w:vAlign w:val="center"/>
          </w:tcPr>
          <w:p>
            <w:pPr>
              <w:pStyle w:val="TableContents"/>
              <w:bidi w:val="0"/>
              <w:spacing w:before="0" w:after="0"/>
              <w:ind w:left="0" w:right="0" w:hanging="0"/>
              <w:jc w:val="both"/>
              <w:rPr/>
            </w:pPr>
            <w:hyperlink w:anchor="ITEM5OTHERINFORMATION_591263">
              <w:r>
                <w:rPr>
                  <w:rStyle w:val="InternetLink"/>
                  <w:rFonts w:ascii="Times New Roman;Times;serif" w:hAnsi="Times New Roman;Times;serif"/>
                  <w:b w:val="false"/>
                  <w:i w:val="false"/>
                  <w:caps w:val="false"/>
                  <w:smallCaps w:val="false"/>
                  <w:sz w:val="20"/>
                </w:rPr>
                <w:t xml:space="preserve">Other Information </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r>
      <w:tr>
        <w:trPr/>
        <w:tc>
          <w:tcPr>
            <w:tcW w:w="726" w:type="dxa"/>
            <w:tcBorders/>
            <w:vAlign w:val="center"/>
          </w:tcPr>
          <w:p>
            <w:pPr>
              <w:pStyle w:val="TableContents"/>
              <w:bidi w:val="0"/>
              <w:spacing w:before="0" w:after="0"/>
              <w:ind w:left="0" w:right="0" w:hanging="0"/>
              <w:jc w:val="both"/>
              <w:rPr/>
            </w:pPr>
            <w:hyperlink w:anchor="ITEM6EXHIBITS_780342">
              <w:r>
                <w:rPr>
                  <w:rStyle w:val="InternetLink"/>
                  <w:rFonts w:ascii="Times New Roman;Times;serif" w:hAnsi="Times New Roman;Times;serif"/>
                  <w:b w:val="false"/>
                  <w:i w:val="false"/>
                  <w:caps w:val="false"/>
                  <w:smallCaps w:val="false"/>
                  <w:sz w:val="20"/>
                </w:rPr>
                <w:t>Item 6.</w:t>
              </w:r>
            </w:hyperlink>
          </w:p>
        </w:tc>
        <w:tc>
          <w:tcPr>
            <w:tcW w:w="8907" w:type="dxa"/>
            <w:tcBorders/>
            <w:vAlign w:val="center"/>
          </w:tcPr>
          <w:p>
            <w:pPr>
              <w:pStyle w:val="TableContents"/>
              <w:bidi w:val="0"/>
              <w:spacing w:before="0" w:after="0"/>
              <w:ind w:left="0" w:right="0" w:hanging="0"/>
              <w:jc w:val="both"/>
              <w:rPr/>
            </w:pPr>
            <w:hyperlink w:anchor="ITEM6EXHIBITS_780342">
              <w:r>
                <w:rPr>
                  <w:rStyle w:val="InternetLink"/>
                  <w:rFonts w:ascii="Times New Roman;Times;serif" w:hAnsi="Times New Roman;Times;serif"/>
                  <w:b w:val="false"/>
                  <w:i w:val="false"/>
                  <w:caps w:val="false"/>
                  <w:smallCaps w:val="false"/>
                  <w:sz w:val="20"/>
                </w:rPr>
                <w:t>Exhibits</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r>
      <w:tr>
        <w:trPr/>
        <w:tc>
          <w:tcPr>
            <w:tcW w:w="726" w:type="dxa"/>
            <w:tcBorders/>
            <w:vAlign w:val="center"/>
          </w:tcPr>
          <w:p>
            <w:pPr>
              <w:pStyle w:val="TableContents"/>
              <w:bidi w:val="0"/>
              <w:spacing w:before="0" w:after="283"/>
              <w:ind w:left="0" w:right="0" w:hanging="0"/>
              <w:jc w:val="left"/>
              <w:rPr>
                <w:sz w:val="4"/>
                <w:szCs w:val="4"/>
              </w:rPr>
            </w:pPr>
            <w:r>
              <w:rPr>
                <w:sz w:val="4"/>
                <w:szCs w:val="4"/>
              </w:rPr>
            </w:r>
          </w:p>
        </w:tc>
        <w:tc>
          <w:tcPr>
            <w:tcW w:w="8907" w:type="dxa"/>
            <w:tcBorders/>
            <w:vAlign w:val="center"/>
          </w:tcPr>
          <w:p>
            <w:pPr>
              <w:pStyle w:val="TableContents"/>
              <w:bidi w:val="0"/>
              <w:spacing w:before="0" w:after="0"/>
              <w:ind w:left="0" w:right="0" w:hanging="0"/>
              <w:jc w:val="both"/>
              <w:rPr/>
            </w:pPr>
            <w:hyperlink w:anchor="SIGNATURES_99336">
              <w:r>
                <w:rPr>
                  <w:rStyle w:val="InternetLink"/>
                  <w:rFonts w:ascii="Times New Roman;Times;serif" w:hAnsi="Times New Roman;Times;serif"/>
                  <w:b w:val="false"/>
                  <w:i w:val="false"/>
                  <w:caps w:val="false"/>
                  <w:smallCaps w:val="false"/>
                  <w:sz w:val="20"/>
                </w:rPr>
                <w:t>Signatures</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sz w:val="20"/>
        </w:rPr>
      </w:pPr>
      <w:bookmarkStart w:id="51" w:name="_2fc1a522_33f8_42ee_9798_c9d9ac520e4b"/>
      <w:bookmarkEnd w:id="51"/>
      <w:r>
        <w:rPr>
          <w:rFonts w:ascii="Times New Roman;Times;serif" w:hAnsi="Times New Roman;Times;serif"/>
          <w:b/>
          <w:sz w:val="20"/>
        </w:rPr>
        <w:t>SPECIAL NOTE REGARDING FORWARD-LOOKING STATEMENTS</w:t>
      </w:r>
      <w:r>
        <w:rPr>
          <w:rFonts w:ascii="Times New Roman;Times;serif" w:hAnsi="Times New Roman;Times;serif"/>
          <w:color w:val="FF0000"/>
          <w:sz w:val="20"/>
        </w:rPr>
        <w:t xml:space="preserve">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This Quarterly Report on Form 10-Q contains forward-looking statements within the meaning of the Private Securities Litigation Reform Act of 1995. All statements made in this Quarterly Report on Form 10-Q that are not statements of historical fact, including statements about our beliefs and expectations and regarding future events or our future results of operations, financial condition, business, strategies, financial needs, and the plans and objectives of management, are forward-looking statements and should be evaluated as such. These statements often include words such as “anticipate,” “believe,” “expect,” “suggests,” “plans,” “intend,” “estimates,” “targets,” “projects,” “should,” “could,” “would,” “may,” “will,” “forecast,” and other similar expressions or the negatives of those terms. We base these forward-looking statements on our current expectations, plans, and assumptions that we have made in light of our experience in the industry, as well as our perceptions of historical trends, current conditions, expected future developments and other factors we believe are appropriate under the circumstances at such time. As you read and consider this Quarterly Report on Form 10-Q, you should understand that these statements are not guarantees of future performance or results. The forward-looking statements are subject to and involve risks, uncertainties and assumptions, and you should not place undue reliance on these forward-looking statements. Although we believe that these forward-looking statements are based on reasonable assumptions at the time they are made, you should be aware that many factors could affect our actual results or results of operations and could cause actual results to differ materially from those expressed in the forward-looking statements. Important factors that may materially affect such forward-looking statements include, but are not limited to:</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and grow revenue from existing customers and new customers, and expand their usage of our solutions;</w:t>
            </w:r>
          </w:p>
        </w:tc>
      </w:tr>
    </w:tbl>
    <w:tbl>
      <w:tblPr>
        <w:tblW w:w="6981" w:type="dxa"/>
        <w:jc w:val="left"/>
        <w:tblInd w:w="0" w:type="dxa"/>
        <w:tblLayout w:type="fixed"/>
        <w:tblCellMar>
          <w:top w:w="28" w:type="dxa"/>
          <w:left w:w="28" w:type="dxa"/>
          <w:bottom w:w="28" w:type="dxa"/>
          <w:right w:w="28" w:type="dxa"/>
        </w:tblCellMar>
      </w:tblPr>
      <w:tblGrid>
        <w:gridCol w:w="124"/>
        <w:gridCol w:w="256"/>
        <w:gridCol w:w="66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and expand our strategic relationships with third parties;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adapt to technological change and successfully introduce new solutions or provide updates to existing solutions;</w:t>
            </w:r>
          </w:p>
        </w:tc>
      </w:tr>
    </w:tbl>
    <w:tbl>
      <w:tblPr>
        <w:tblW w:w="5946" w:type="dxa"/>
        <w:jc w:val="left"/>
        <w:tblInd w:w="0" w:type="dxa"/>
        <w:tblLayout w:type="fixed"/>
        <w:tblCellMar>
          <w:top w:w="28" w:type="dxa"/>
          <w:left w:w="28" w:type="dxa"/>
          <w:bottom w:w="28" w:type="dxa"/>
          <w:right w:w="28" w:type="dxa"/>
        </w:tblCellMar>
      </w:tblPr>
      <w:tblGrid>
        <w:gridCol w:w="124"/>
        <w:gridCol w:w="256"/>
        <w:gridCol w:w="55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5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failures in information technology or infrastructure;</w:t>
            </w:r>
          </w:p>
        </w:tc>
      </w:tr>
    </w:tbl>
    <w:tbl>
      <w:tblPr>
        <w:tblW w:w="7491" w:type="dxa"/>
        <w:jc w:val="left"/>
        <w:tblInd w:w="0" w:type="dxa"/>
        <w:tblLayout w:type="fixed"/>
        <w:tblCellMar>
          <w:top w:w="28" w:type="dxa"/>
          <w:left w:w="28" w:type="dxa"/>
          <w:bottom w:w="28" w:type="dxa"/>
          <w:right w:w="28" w:type="dxa"/>
        </w:tblCellMar>
      </w:tblPr>
      <w:tblGrid>
        <w:gridCol w:w="124"/>
        <w:gridCol w:w="256"/>
        <w:gridCol w:w="71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1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challenges in using and managing use of Artificial Intelligence (“AI”) in our business;</w:t>
            </w:r>
          </w:p>
        </w:tc>
      </w:tr>
    </w:tbl>
    <w:tbl>
      <w:tblPr>
        <w:tblW w:w="6516" w:type="dxa"/>
        <w:jc w:val="left"/>
        <w:tblInd w:w="0" w:type="dxa"/>
        <w:tblLayout w:type="fixed"/>
        <w:tblCellMar>
          <w:top w:w="28" w:type="dxa"/>
          <w:left w:w="28" w:type="dxa"/>
          <w:bottom w:w="28" w:type="dxa"/>
          <w:right w:w="28" w:type="dxa"/>
        </w:tblCellMar>
      </w:tblPr>
      <w:tblGrid>
        <w:gridCol w:w="124"/>
        <w:gridCol w:w="256"/>
        <w:gridCol w:w="61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incorrect or improper implementation, integration or use of our solutions; </w:t>
            </w:r>
          </w:p>
        </w:tc>
      </w:tr>
    </w:tbl>
    <w:tbl>
      <w:tblPr>
        <w:tblW w:w="6471" w:type="dxa"/>
        <w:jc w:val="left"/>
        <w:tblInd w:w="0" w:type="dxa"/>
        <w:tblLayout w:type="fixed"/>
        <w:tblCellMar>
          <w:top w:w="28" w:type="dxa"/>
          <w:left w:w="28" w:type="dxa"/>
          <w:bottom w:w="28" w:type="dxa"/>
          <w:right w:w="28" w:type="dxa"/>
        </w:tblCellMar>
      </w:tblPr>
      <w:tblGrid>
        <w:gridCol w:w="124"/>
        <w:gridCol w:w="256"/>
        <w:gridCol w:w="60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attract and retain qualified technical and tax-content personnel;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competitive pressures from other tax software and service providers and challenges of convincing businesses using native enterprise resource planning functions to switch to our software;</w:t>
            </w:r>
          </w:p>
        </w:tc>
      </w:tr>
    </w:tbl>
    <w:tbl>
      <w:tblPr>
        <w:tblW w:w="9186" w:type="dxa"/>
        <w:jc w:val="left"/>
        <w:tblInd w:w="0" w:type="dxa"/>
        <w:tblLayout w:type="fixed"/>
        <w:tblCellMar>
          <w:top w:w="28" w:type="dxa"/>
          <w:left w:w="28" w:type="dxa"/>
          <w:bottom w:w="28" w:type="dxa"/>
          <w:right w:w="28" w:type="dxa"/>
        </w:tblCellMar>
      </w:tblPr>
      <w:tblGrid>
        <w:gridCol w:w="124"/>
        <w:gridCol w:w="256"/>
        <w:gridCol w:w="88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8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accurately forecast our revenue and other future results of operations based on recent success;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offer specific software deployment methods based on changes to customers’ and partners’ software systems;</w:t>
            </w:r>
          </w:p>
        </w:tc>
      </w:tr>
    </w:tbl>
    <w:tbl>
      <w:tblPr>
        <w:tblW w:w="8361" w:type="dxa"/>
        <w:jc w:val="left"/>
        <w:tblInd w:w="0" w:type="dxa"/>
        <w:tblLayout w:type="fixed"/>
        <w:tblCellMar>
          <w:top w:w="28" w:type="dxa"/>
          <w:left w:w="28" w:type="dxa"/>
          <w:bottom w:w="28" w:type="dxa"/>
          <w:right w:w="28" w:type="dxa"/>
        </w:tblCellMar>
      </w:tblPr>
      <w:tblGrid>
        <w:gridCol w:w="124"/>
        <w:gridCol w:w="256"/>
        <w:gridCol w:w="79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ability to continue making significant investments in software development and equipment; </w:t>
            </w:r>
          </w:p>
        </w:tc>
      </w:tr>
    </w:tbl>
    <w:tbl>
      <w:tblPr>
        <w:tblW w:w="9951" w:type="dxa"/>
        <w:jc w:val="left"/>
        <w:tblInd w:w="0" w:type="dxa"/>
        <w:tblLayout w:type="fixed"/>
        <w:tblCellMar>
          <w:top w:w="28" w:type="dxa"/>
          <w:left w:w="28" w:type="dxa"/>
          <w:bottom w:w="28" w:type="dxa"/>
          <w:right w:w="28" w:type="dxa"/>
        </w:tblCellMar>
      </w:tblPr>
      <w:tblGrid>
        <w:gridCol w:w="124"/>
        <w:gridCol w:w="256"/>
        <w:gridCol w:w="95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5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sustain and expand revenues, maintain profitability, and to effectively manage our anticipated growth;</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successfully diversify our solutions by developing or introducing new solutions or acquiring and integrating additional businesses, products, services, or content;</w:t>
            </w:r>
          </w:p>
        </w:tc>
      </w:tr>
    </w:tbl>
    <w:tbl>
      <w:tblPr>
        <w:tblW w:w="9861" w:type="dxa"/>
        <w:jc w:val="left"/>
        <w:tblInd w:w="0" w:type="dxa"/>
        <w:tblLayout w:type="fixed"/>
        <w:tblCellMar>
          <w:top w:w="28" w:type="dxa"/>
          <w:left w:w="28" w:type="dxa"/>
          <w:bottom w:w="28" w:type="dxa"/>
          <w:right w:w="28" w:type="dxa"/>
        </w:tblCellMar>
      </w:tblPr>
      <w:tblGrid>
        <w:gridCol w:w="124"/>
        <w:gridCol w:w="256"/>
        <w:gridCol w:w="94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successfully integrate acquired businesses and to realize the anticipated benefits of such acquisitions;</w:t>
            </w:r>
          </w:p>
        </w:tc>
      </w:tr>
    </w:tbl>
    <w:tbl>
      <w:tblPr>
        <w:tblW w:w="5301" w:type="dxa"/>
        <w:jc w:val="left"/>
        <w:tblInd w:w="0" w:type="dxa"/>
        <w:tblLayout w:type="fixed"/>
        <w:tblCellMar>
          <w:top w:w="28" w:type="dxa"/>
          <w:left w:w="28" w:type="dxa"/>
          <w:bottom w:w="28" w:type="dxa"/>
          <w:right w:w="28" w:type="dxa"/>
        </w:tblCellMar>
      </w:tblPr>
      <w:tblGrid>
        <w:gridCol w:w="124"/>
        <w:gridCol w:w="256"/>
        <w:gridCol w:w="49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the fluctuations in our results of operations;</w:t>
            </w:r>
          </w:p>
        </w:tc>
      </w:tr>
    </w:tbl>
    <w:tbl>
      <w:tblPr>
        <w:tblW w:w="5001" w:type="dxa"/>
        <w:jc w:val="left"/>
        <w:tblInd w:w="0" w:type="dxa"/>
        <w:tblLayout w:type="fixed"/>
        <w:tblCellMar>
          <w:top w:w="28" w:type="dxa"/>
          <w:left w:w="28" w:type="dxa"/>
          <w:bottom w:w="28" w:type="dxa"/>
          <w:right w:w="28" w:type="dxa"/>
        </w:tblCellMar>
      </w:tblPr>
      <w:tblGrid>
        <w:gridCol w:w="124"/>
        <w:gridCol w:w="256"/>
        <w:gridCol w:w="46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our expanding international operations;</w:t>
            </w:r>
          </w:p>
        </w:tc>
      </w:tr>
    </w:tbl>
    <w:tbl>
      <w:tblPr>
        <w:tblW w:w="9351" w:type="dxa"/>
        <w:jc w:val="left"/>
        <w:tblInd w:w="0" w:type="dxa"/>
        <w:tblLayout w:type="fixed"/>
        <w:tblCellMar>
          <w:top w:w="28" w:type="dxa"/>
          <w:left w:w="28" w:type="dxa"/>
          <w:bottom w:w="28" w:type="dxa"/>
          <w:right w:w="28" w:type="dxa"/>
        </w:tblCellMar>
      </w:tblPr>
      <w:tblGrid>
        <w:gridCol w:w="124"/>
        <w:gridCol w:w="256"/>
        <w:gridCol w:w="89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9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exposure to liability from errors, delays, fraud or system failures, which may not be covered by insurance;</w:t>
            </w:r>
          </w:p>
        </w:tc>
      </w:tr>
    </w:tbl>
    <w:tbl>
      <w:tblPr>
        <w:tblW w:w="8121" w:type="dxa"/>
        <w:jc w:val="left"/>
        <w:tblInd w:w="0" w:type="dxa"/>
        <w:tblLayout w:type="fixed"/>
        <w:tblCellMar>
          <w:top w:w="28" w:type="dxa"/>
          <w:left w:w="28" w:type="dxa"/>
          <w:bottom w:w="28" w:type="dxa"/>
          <w:right w:w="28" w:type="dxa"/>
        </w:tblCellMar>
      </w:tblPr>
      <w:tblGrid>
        <w:gridCol w:w="124"/>
        <w:gridCol w:w="256"/>
        <w:gridCol w:w="77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ability to adapt to organizational changes and effectively implement strategic initiatives;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7191" w:type="dxa"/>
        <w:jc w:val="left"/>
        <w:tblInd w:w="0" w:type="dxa"/>
        <w:tblLayout w:type="fixed"/>
        <w:tblCellMar>
          <w:top w:w="28" w:type="dxa"/>
          <w:left w:w="28" w:type="dxa"/>
          <w:bottom w:w="28" w:type="dxa"/>
          <w:right w:w="28" w:type="dxa"/>
        </w:tblCellMar>
      </w:tblPr>
      <w:tblGrid>
        <w:gridCol w:w="124"/>
        <w:gridCol w:w="256"/>
        <w:gridCol w:w="68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8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our determinations of customers’ transaction tax and tax payments;</w:t>
            </w:r>
          </w:p>
        </w:tc>
      </w:tr>
    </w:tbl>
    <w:tbl>
      <w:tblPr>
        <w:tblW w:w="7746" w:type="dxa"/>
        <w:jc w:val="left"/>
        <w:tblInd w:w="0" w:type="dxa"/>
        <w:tblLayout w:type="fixed"/>
        <w:tblCellMar>
          <w:top w:w="28" w:type="dxa"/>
          <w:left w:w="28" w:type="dxa"/>
          <w:bottom w:w="28" w:type="dxa"/>
          <w:right w:w="28" w:type="dxa"/>
        </w:tblCellMar>
      </w:tblPr>
      <w:tblGrid>
        <w:gridCol w:w="124"/>
        <w:gridCol w:w="256"/>
        <w:gridCol w:w="73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changes in tax laws and regulations or their interpretation or enforcement;</w:t>
            </w:r>
          </w:p>
        </w:tc>
      </w:tr>
    </w:tbl>
    <w:tbl>
      <w:tblPr>
        <w:tblW w:w="5286" w:type="dxa"/>
        <w:jc w:val="left"/>
        <w:tblInd w:w="0" w:type="dxa"/>
        <w:tblLayout w:type="fixed"/>
        <w:tblCellMar>
          <w:top w:w="28" w:type="dxa"/>
          <w:left w:w="28" w:type="dxa"/>
          <w:bottom w:w="28" w:type="dxa"/>
          <w:right w:w="28" w:type="dxa"/>
        </w:tblCellMar>
      </w:tblPr>
      <w:tblGrid>
        <w:gridCol w:w="124"/>
        <w:gridCol w:w="256"/>
        <w:gridCol w:w="49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manage cybersecurity and data privacy risks;</w:t>
            </w:r>
          </w:p>
        </w:tc>
      </w:tr>
    </w:tbl>
    <w:tbl>
      <w:tblPr>
        <w:tblW w:w="5271" w:type="dxa"/>
        <w:jc w:val="left"/>
        <w:tblInd w:w="0" w:type="dxa"/>
        <w:tblLayout w:type="fixed"/>
        <w:tblCellMar>
          <w:top w:w="28" w:type="dxa"/>
          <w:left w:w="28" w:type="dxa"/>
          <w:bottom w:w="28" w:type="dxa"/>
          <w:right w:w="28" w:type="dxa"/>
        </w:tblCellMar>
      </w:tblPr>
      <w:tblGrid>
        <w:gridCol w:w="124"/>
        <w:gridCol w:w="256"/>
        <w:gridCol w:w="48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involvement in material legal proceedings and audits; </w:t>
            </w:r>
          </w:p>
        </w:tc>
      </w:tr>
    </w:tbl>
    <w:tbl>
      <w:tblPr>
        <w:tblW w:w="5766" w:type="dxa"/>
        <w:jc w:val="left"/>
        <w:tblInd w:w="0" w:type="dxa"/>
        <w:tblLayout w:type="fixed"/>
        <w:tblCellMar>
          <w:top w:w="28" w:type="dxa"/>
          <w:left w:w="28" w:type="dxa"/>
          <w:bottom w:w="28" w:type="dxa"/>
          <w:right w:w="28" w:type="dxa"/>
        </w:tblCellMar>
      </w:tblPr>
      <w:tblGrid>
        <w:gridCol w:w="124"/>
        <w:gridCol w:w="256"/>
        <w:gridCol w:w="53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undetected errors, bugs or defects in our software;</w:t>
            </w:r>
          </w:p>
        </w:tc>
      </w:tr>
    </w:tbl>
    <w:tbl>
      <w:tblPr>
        <w:tblW w:w="8256" w:type="dxa"/>
        <w:jc w:val="left"/>
        <w:tblInd w:w="0" w:type="dxa"/>
        <w:tblLayout w:type="fixed"/>
        <w:tblCellMar>
          <w:top w:w="28" w:type="dxa"/>
          <w:left w:w="28" w:type="dxa"/>
          <w:bottom w:w="28" w:type="dxa"/>
          <w:right w:w="28" w:type="dxa"/>
        </w:tblCellMar>
      </w:tblPr>
      <w:tblGrid>
        <w:gridCol w:w="124"/>
        <w:gridCol w:w="256"/>
        <w:gridCol w:w="78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utilization of open-source software, business processes and information systems;</w:t>
            </w:r>
          </w:p>
        </w:tc>
      </w:tr>
    </w:tbl>
    <w:tbl>
      <w:tblPr>
        <w:tblW w:w="8556" w:type="dxa"/>
        <w:jc w:val="left"/>
        <w:tblInd w:w="0" w:type="dxa"/>
        <w:tblLayout w:type="fixed"/>
        <w:tblCellMar>
          <w:top w:w="28" w:type="dxa"/>
          <w:left w:w="28" w:type="dxa"/>
          <w:bottom w:w="28" w:type="dxa"/>
          <w:right w:w="28" w:type="dxa"/>
        </w:tblCellMar>
      </w:tblPr>
      <w:tblGrid>
        <w:gridCol w:w="124"/>
        <w:gridCol w:w="256"/>
        <w:gridCol w:w="81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risks related to failures in information technology, infrastructure, and third-party service providers; </w:t>
            </w:r>
          </w:p>
        </w:tc>
      </w:tr>
    </w:tbl>
    <w:tbl>
      <w:tblPr>
        <w:tblW w:w="5931" w:type="dxa"/>
        <w:jc w:val="left"/>
        <w:tblInd w:w="0" w:type="dxa"/>
        <w:tblLayout w:type="fixed"/>
        <w:tblCellMar>
          <w:top w:w="28" w:type="dxa"/>
          <w:left w:w="28" w:type="dxa"/>
          <w:bottom w:w="28" w:type="dxa"/>
          <w:right w:w="28" w:type="dxa"/>
        </w:tblCellMar>
      </w:tblPr>
      <w:tblGrid>
        <w:gridCol w:w="124"/>
        <w:gridCol w:w="256"/>
        <w:gridCol w:w="55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5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effectively protect, maintain, and enhance our brand;</w:t>
            </w:r>
          </w:p>
        </w:tc>
      </w:tr>
    </w:tbl>
    <w:tbl>
      <w:tblPr>
        <w:tblW w:w="7416" w:type="dxa"/>
        <w:jc w:val="left"/>
        <w:tblInd w:w="0" w:type="dxa"/>
        <w:tblLayout w:type="fixed"/>
        <w:tblCellMar>
          <w:top w:w="28" w:type="dxa"/>
          <w:left w:w="28" w:type="dxa"/>
          <w:bottom w:w="28" w:type="dxa"/>
          <w:right w:w="28" w:type="dxa"/>
        </w:tblCellMar>
      </w:tblPr>
      <w:tblGrid>
        <w:gridCol w:w="124"/>
        <w:gridCol w:w="256"/>
        <w:gridCol w:w="70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changes in application, scope, interpretation or enforcement of laws and regulations;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global economic weakness and uncertainties, including the economic uncertainty created by the changing legal, regulatory, or taxation landscape in the United States, and disruption in the capital and credit markets;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business disruptions related to natural disasters, epidemic outbreaks, including a global endemic or pandemic, terrorist acts, political events, or other events outside of our control;</w:t>
            </w:r>
          </w:p>
        </w:tc>
      </w:tr>
    </w:tbl>
    <w:tbl>
      <w:tblPr>
        <w:tblW w:w="6441" w:type="dxa"/>
        <w:jc w:val="left"/>
        <w:tblInd w:w="0" w:type="dxa"/>
        <w:tblLayout w:type="fixed"/>
        <w:tblCellMar>
          <w:top w:w="28" w:type="dxa"/>
          <w:left w:w="28" w:type="dxa"/>
          <w:bottom w:w="28" w:type="dxa"/>
          <w:right w:w="28" w:type="dxa"/>
        </w:tblCellMar>
      </w:tblPr>
      <w:tblGrid>
        <w:gridCol w:w="124"/>
        <w:gridCol w:w="256"/>
        <w:gridCol w:w="60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comply with anti-corruption, anti-bribery, and similar laws;</w:t>
            </w:r>
          </w:p>
        </w:tc>
      </w:tr>
    </w:tbl>
    <w:tbl>
      <w:tblPr>
        <w:tblW w:w="4341" w:type="dxa"/>
        <w:jc w:val="left"/>
        <w:tblInd w:w="0" w:type="dxa"/>
        <w:tblLayout w:type="fixed"/>
        <w:tblCellMar>
          <w:top w:w="28" w:type="dxa"/>
          <w:left w:w="28" w:type="dxa"/>
          <w:bottom w:w="28" w:type="dxa"/>
          <w:right w:w="28" w:type="dxa"/>
        </w:tblCellMar>
      </w:tblPr>
      <w:tblGrid>
        <w:gridCol w:w="124"/>
        <w:gridCol w:w="256"/>
        <w:gridCol w:w="39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ability to protect our intellectual property;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interest rates, security ratings and market perceptions of the industry in which we operate, or our ability to obtain capital on commercially reasonable terms or at all;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an effective system of disclosure controls and internal control over financial reporting, or ability to remediate any material weakness in our internal controls;</w:t>
            </w:r>
          </w:p>
        </w:tc>
      </w:tr>
    </w:tbl>
    <w:tbl>
      <w:tblPr>
        <w:tblW w:w="6516" w:type="dxa"/>
        <w:jc w:val="left"/>
        <w:tblInd w:w="0" w:type="dxa"/>
        <w:tblLayout w:type="fixed"/>
        <w:tblCellMar>
          <w:top w:w="28" w:type="dxa"/>
          <w:left w:w="28" w:type="dxa"/>
          <w:bottom w:w="28" w:type="dxa"/>
          <w:right w:w="28" w:type="dxa"/>
        </w:tblCellMar>
      </w:tblPr>
      <w:tblGrid>
        <w:gridCol w:w="124"/>
        <w:gridCol w:w="256"/>
        <w:gridCol w:w="61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our Class A common stock and controlled company status;</w:t>
            </w:r>
          </w:p>
        </w:tc>
      </w:tr>
    </w:tbl>
    <w:tbl>
      <w:tblPr>
        <w:tblW w:w="8016" w:type="dxa"/>
        <w:jc w:val="left"/>
        <w:tblInd w:w="0" w:type="dxa"/>
        <w:tblLayout w:type="fixed"/>
        <w:tblCellMar>
          <w:top w:w="28" w:type="dxa"/>
          <w:left w:w="28" w:type="dxa"/>
          <w:bottom w:w="28" w:type="dxa"/>
          <w:right w:w="28" w:type="dxa"/>
        </w:tblCellMar>
      </w:tblPr>
      <w:tblGrid>
        <w:gridCol w:w="124"/>
        <w:gridCol w:w="256"/>
        <w:gridCol w:w="76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our indebtedness and adherence to the covenants under our debt instruments;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effects of the Capped Call Transactions (as defined in the notes to the financial statements) and the actions of the Option Counterparties (as defined in the notes to the financial statements) and/or their respective affiliates; </w:t>
            </w:r>
          </w:p>
        </w:tc>
      </w:tr>
    </w:tbl>
    <w:tbl>
      <w:tblPr>
        <w:tblW w:w="8346" w:type="dxa"/>
        <w:jc w:val="left"/>
        <w:tblInd w:w="0" w:type="dxa"/>
        <w:tblLayout w:type="fixed"/>
        <w:tblCellMar>
          <w:top w:w="28" w:type="dxa"/>
          <w:left w:w="28" w:type="dxa"/>
          <w:bottom w:w="28" w:type="dxa"/>
          <w:right w:w="28" w:type="dxa"/>
        </w:tblCellMar>
      </w:tblPr>
      <w:tblGrid>
        <w:gridCol w:w="124"/>
        <w:gridCol w:w="256"/>
        <w:gridCol w:w="79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statements of belief and any statements of assumptions underlying any of the foregoing; and</w:t>
            </w:r>
          </w:p>
        </w:tc>
      </w:tr>
    </w:tbl>
    <w:tbl>
      <w:tblPr>
        <w:tblW w:w="3186" w:type="dxa"/>
        <w:jc w:val="left"/>
        <w:tblInd w:w="0" w:type="dxa"/>
        <w:tblLayout w:type="fixed"/>
        <w:tblCellMar>
          <w:top w:w="28" w:type="dxa"/>
          <w:left w:w="28" w:type="dxa"/>
          <w:bottom w:w="28" w:type="dxa"/>
          <w:right w:w="28" w:type="dxa"/>
        </w:tblCellMar>
      </w:tblPr>
      <w:tblGrid>
        <w:gridCol w:w="124"/>
        <w:gridCol w:w="256"/>
        <w:gridCol w:w="28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8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factors beyond our control.</w:t>
            </w:r>
          </w:p>
        </w:tc>
      </w:tr>
    </w:tbl>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risks included here are not exhaustive, and additional factors could adversely affect our business and financial performance, including factors and risks included in our Annual Report on Form 10-K for the year ended December 31, 2024, filed with the Securities and Exchange Commission (the “SEC”) on February 27, 2025 (the “2024 Annual Report”). Moreover, we operate in a very competitive and rapidly changing environment. New risk factors emerge from time to time, and it is not possible for us to identify all such risk factors, nor can we assess the impact of all such risk factors on the business or the extent to which any factor, or combination of factors, may cause actual results to differ materially from those contained in any forward-looking statements. Given these risks and uncertainties, you should not place undue reliance on our forward-looking statements, and you should not rely on forward-looking statements as predictions of future events. The results, events, and circumstances reflected in the forward-looking statements may not be achieved or occur, and actual results, events, or circumstances could differ materially from those described in the forward-looking statements. The forward-looking statements made in this Quarterly Report on Form 10-Q speak only as of the date of this report. We undertake no obligation to update any forward-looking statements made in this report to reflect events or circumstances after the date of this report or to reflect new information or the occurrence of unanticipated events, except as required by law. If we update one or more forward-looking statements, no inference should be drawn that we will make additional updates with respect to those or other forward-looking statements.</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17"/>
        </w:rPr>
      </w:pPr>
      <w:bookmarkStart w:id="52" w:name="PARTIFINANCIALINFORMATION_19634"/>
      <w:bookmarkStart w:id="53" w:name="_4c3a75e1_0133_4bca_80a3_daeb03fd3e84"/>
      <w:bookmarkEnd w:id="52"/>
      <w:bookmarkEnd w:id="53"/>
      <w:r>
        <w:rPr>
          <w:rFonts w:ascii="Times New Roman;Times;serif" w:hAnsi="Times New Roman;Times;serif"/>
          <w:b/>
          <w:sz w:val="17"/>
        </w:rPr>
        <w:t>PART I - FINANCIAL INFORMATION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16"/>
        </w:rPr>
      </w:pPr>
      <w:bookmarkStart w:id="54" w:name="Item1FINANCIALSTATEMENTS_787624"/>
      <w:bookmarkEnd w:id="54"/>
      <w:r>
        <w:rPr>
          <w:rFonts w:ascii="Times New Roman;Times;serif" w:hAnsi="Times New Roman;Times;serif"/>
          <w:b/>
          <w:sz w:val="16"/>
        </w:rPr>
        <w:t>Item 1. FINANCIAL STATEMENTS</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Vertex, Inc. and Subsidiaries</w:t>
      </w:r>
    </w:p>
    <w:p>
      <w:pPr>
        <w:pStyle w:val="TextBody"/>
        <w:bidi w:val="0"/>
        <w:spacing w:before="0" w:after="0"/>
        <w:ind w:left="0" w:right="0" w:hanging="0"/>
        <w:jc w:val="center"/>
        <w:rPr>
          <w:rFonts w:ascii="Times New Roman;Times;serif" w:hAnsi="Times New Roman;Times;serif"/>
          <w:b/>
          <w:sz w:val="16"/>
        </w:rPr>
      </w:pPr>
      <w:bookmarkStart w:id="55" w:name="CondensedConsolidatedBalanceSheets_41728"/>
      <w:bookmarkEnd w:id="55"/>
      <w:r>
        <w:rPr>
          <w:rFonts w:ascii="Times New Roman;Times;serif" w:hAnsi="Times New Roman;Times;serif"/>
          <w:b/>
          <w:sz w:val="16"/>
        </w:rPr>
        <w:t>Condensed Consolidated Balance Sheets</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March 31, 2025 and December 31, 2024</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(Amounts in thousands, except per share data)</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56" w:name="Tc_8SlgIUIaf06mH-3TeBXo2g_49_4"/>
      <w:bookmarkStart w:id="57" w:name="Tc_7W4u7aGJ9EGhb8ihtnmOSQ_49_1"/>
      <w:bookmarkStart w:id="58" w:name="Tc_gI5jE8ztcEWbj9PUFV95gw_49_0"/>
      <w:bookmarkStart w:id="59" w:name="Tc_r8evM5cqSEyEvmFS_zl1Ig_48_0"/>
      <w:bookmarkStart w:id="60" w:name="Tc_qFZ6xSvhVEqUta8VX7vAaA_47_0"/>
      <w:bookmarkStart w:id="61" w:name="Tc_wT1fudzwokeKSF10k0bycw_46_0"/>
      <w:bookmarkStart w:id="62" w:name="Tc_v9SnWW0IvUiEo5ek30PCAQ_45_0"/>
      <w:bookmarkStart w:id="63" w:name="Tc_NrlL9fWF-kqViPVPgxv-sg_44_0"/>
      <w:bookmarkStart w:id="64" w:name="Tc_nGb6cAIoDEC_0qjT01p7Sg_43_0"/>
      <w:bookmarkStart w:id="65" w:name="_c22eb737_72e9_4a57_8485_cb84a75af111_3"/>
      <w:bookmarkStart w:id="66" w:name="_c22eb737_72e9_4a57_8485_cb84a75af111_2"/>
      <w:bookmarkStart w:id="67" w:name="_c22eb737_72e9_4a57_8485_cb84a75af111"/>
      <w:bookmarkStart w:id="68" w:name="Tc_tqXxq_giNE2FnLiJHYsOqw_42_0"/>
      <w:bookmarkStart w:id="69" w:name="Tc_7SJ0_hTdaUe-_5n_paGwQw_41_0"/>
      <w:bookmarkStart w:id="70" w:name="Tc_WoxQLzqoVE-jxm8mmS0tHQ_40_0"/>
      <w:bookmarkStart w:id="71" w:name="Tc_kivj2H_qEUiavPTlUf_RJg_39_0"/>
      <w:bookmarkStart w:id="72" w:name="Tc_ZPHHS_jvN0O8Wo75yZiZxQ_38_0"/>
      <w:bookmarkStart w:id="73" w:name="Tc_2SQPh7Kwuk2Hx4u1cjb3FQ_37_0"/>
      <w:bookmarkStart w:id="74" w:name="Tc_0aEKkyC7YEuqxeGAStbDpg_36_0"/>
      <w:bookmarkStart w:id="75" w:name="Tc_J8LrMc0tzk-W2a-SpYMCrA_35_2"/>
      <w:bookmarkStart w:id="76" w:name="Tc_9DUFQG4OO0GdfOpPyw-i5g_35_0"/>
      <w:bookmarkStart w:id="77" w:name="Tc_PiG2QLM6M0y2jeuWET44eA_34_0"/>
      <w:bookmarkStart w:id="78" w:name="Tc_22e5Os4w9EyJ7V8ztzWzxw_33_0"/>
      <w:bookmarkStart w:id="79" w:name="Tc_bt2Ln1FG6UGc46xhwwT-bg_32_0"/>
      <w:bookmarkStart w:id="80" w:name="Tc_h2jX6Du-KEWN2dz0ik7oHQ_31_0"/>
      <w:bookmarkStart w:id="81" w:name="Tc_3ICNu2ddCEe4oszQzGcstw_30_0"/>
      <w:bookmarkStart w:id="82" w:name="Tc_pEmf6c-dU06A1l_p_oIbgA_29_0"/>
      <w:bookmarkStart w:id="83" w:name="Tc__hA-8EUmLE-4-aS5Ns_GRg_28_0"/>
      <w:bookmarkStart w:id="84" w:name="Tc_6Fzr7IbgiUW45wG1jIjcRg_27_0"/>
      <w:bookmarkStart w:id="85" w:name="Tc_e217vVlp5kizbNUYwEXhZg_26_0"/>
      <w:bookmarkStart w:id="86" w:name="Tc_pENpgItZJUuSleONlG-HTw_25_0"/>
      <w:bookmarkStart w:id="87" w:name="Tc_kHCAxGRY_Ueoi6gqYuG4QA_24_0"/>
      <w:bookmarkStart w:id="88" w:name="Tc_OKhx6QeGfUC_v0xM0ZG3iA_23_0"/>
      <w:bookmarkStart w:id="89" w:name="Tc_8NHPFyAUeU6yWC0zxtG1aA_22_4"/>
      <w:bookmarkStart w:id="90" w:name="Tc_mZBo4zZw70-lK4GvoK8vyw_22_1"/>
      <w:bookmarkStart w:id="91" w:name="Tc_wBpEi9Xdgke_HpNo9asjrg_22_0"/>
      <w:bookmarkStart w:id="92" w:name="Tc_K8Pfjf6TUUatzf8v1t1Xug_21_0"/>
      <w:bookmarkStart w:id="93" w:name="Tc_vMahR9vuxkevY2N7wEL1Jw_20_5"/>
      <w:bookmarkStart w:id="94" w:name="Tc_Plz8tHJJnkqlROdx2cAFtg_20_2"/>
      <w:bookmarkStart w:id="95" w:name="Tc_dPW8vls9s0i4ejil_chZnw_20_0"/>
      <w:bookmarkStart w:id="96" w:name="Tc_z8LnBpLb5E6506lWBcbRcw_19_4"/>
      <w:bookmarkStart w:id="97" w:name="Tc_ocUiH0xuGkqJ0eMdCxfnuQ_19_1"/>
      <w:bookmarkStart w:id="98" w:name="Tc_-39a804IaEWXTqYtBOzDUA_19_0"/>
      <w:bookmarkStart w:id="99" w:name="Tc_lFviFlXvxEa01xfaa50kzg_18_0"/>
      <w:bookmarkStart w:id="100" w:name="Tc_uD2_vZBy_kOP9pjwQkE-lg_17_0"/>
      <w:bookmarkStart w:id="101" w:name="Tc_kEV_Kr_iTk27POBQ6bVQ8g_16_0"/>
      <w:bookmarkStart w:id="102" w:name="Tc_b8qgqDeT3UalxrxEsIg-2g_15_0"/>
      <w:bookmarkStart w:id="103" w:name="Tc_Qs-P1rpWVUG6zyMYkeKoMg_14_0"/>
      <w:bookmarkStart w:id="104" w:name="Tc_YQZHPIDp90uc61fifjIujw_13_0"/>
      <w:bookmarkStart w:id="105" w:name="Tc_IyE25KZ9-0uqRgaeQy7t8w_12_0"/>
      <w:bookmarkStart w:id="106" w:name="Tc_xvz3QPuIJkKaz7B_nn4DOQ_11_0"/>
      <w:bookmarkStart w:id="107" w:name="Tc_qcCv79IwAkS_1SNHxicaMA_10_2"/>
      <w:bookmarkStart w:id="108" w:name="Tc_FKBgWR5R8kmfXp7yhbYc_g_10_0"/>
      <w:bookmarkStart w:id="109" w:name="Tc_I4qGeVUQuku0fuw3MycA1Q_9_0"/>
      <w:bookmarkStart w:id="110" w:name="Tc_-_A1w_RcVky2K5o8TD-VBg_8_0"/>
      <w:bookmarkStart w:id="111" w:name="Tc_NaQNfM6OPU-M6_AD_mnJ6w_7_0"/>
      <w:bookmarkStart w:id="112" w:name="Tc_ZMwL_zQEHU6U22E8AIDiug_6_4"/>
      <w:bookmarkStart w:id="113" w:name="Tc_1Jgz1SGvXkGHWm0ZCXAPkQ_6_1"/>
      <w:bookmarkStart w:id="114" w:name="Tc_a8SdXR3TW0OZVTzDqswSvw_6_0"/>
      <w:bookmarkStart w:id="115" w:name="Tc_uuMnPIsXeUmCE-suaXqnoA_5_0"/>
      <w:bookmarkStart w:id="116" w:name="Tc_Ou4KvLatZkSJDHq4j-0tbQ_4_0"/>
      <w:bookmarkStart w:id="117" w:name="Tc_AYsvdfajRUWMIY_NMJzZVA_3_1"/>
      <w:bookmarkStart w:id="118" w:name="Tc_BApPglSGTkmrhylqr5i92Q_2_4"/>
      <w:bookmarkStart w:id="119" w:name="Tc_txSvO42kIkibzHcPED7EmQ_2_1"/>
      <w:bookmarkStart w:id="120" w:name="Tc_75TyQ8PyNUaTnEC6UpgUrg_1_4"/>
      <w:bookmarkStart w:id="121" w:name="Tc_QM190ujMw0uuU4QqKiZF4Q_1_1"/>
      <w:bookmarkStart w:id="122" w:name="_bf713315_f8fd_4cb8_8c2b_575f331673ed"/>
      <w:bookmarkStart w:id="123" w:name="Tc_8SlgIUIaf06mH-3TeBXo2g_49_4"/>
      <w:bookmarkStart w:id="124" w:name="Tc_7W4u7aGJ9EGhb8ihtnmOSQ_49_1"/>
      <w:bookmarkStart w:id="125" w:name="Tc_gI5jE8ztcEWbj9PUFV95gw_49_0"/>
      <w:bookmarkStart w:id="126" w:name="Tc_r8evM5cqSEyEvmFS_zl1Ig_48_0"/>
      <w:bookmarkStart w:id="127" w:name="Tc_qFZ6xSvhVEqUta8VX7vAaA_47_0"/>
      <w:bookmarkStart w:id="128" w:name="Tc_wT1fudzwokeKSF10k0bycw_46_0"/>
      <w:bookmarkStart w:id="129" w:name="Tc_v9SnWW0IvUiEo5ek30PCAQ_45_0"/>
      <w:bookmarkStart w:id="130" w:name="Tc_NrlL9fWF-kqViPVPgxv-sg_44_0"/>
      <w:bookmarkStart w:id="131" w:name="Tc_nGb6cAIoDEC_0qjT01p7Sg_43_0"/>
      <w:bookmarkStart w:id="132" w:name="_c22eb737_72e9_4a57_8485_cb84a75af111_3"/>
      <w:bookmarkStart w:id="133" w:name="_c22eb737_72e9_4a57_8485_cb84a75af111_2"/>
      <w:bookmarkStart w:id="134" w:name="_c22eb737_72e9_4a57_8485_cb84a75af111"/>
      <w:bookmarkStart w:id="135" w:name="Tc_tqXxq_giNE2FnLiJHYsOqw_42_0"/>
      <w:bookmarkStart w:id="136" w:name="Tc_7SJ0_hTdaUe-_5n_paGwQw_41_0"/>
      <w:bookmarkStart w:id="137" w:name="Tc_WoxQLzqoVE-jxm8mmS0tHQ_40_0"/>
      <w:bookmarkStart w:id="138" w:name="Tc_kivj2H_qEUiavPTlUf_RJg_39_0"/>
      <w:bookmarkStart w:id="139" w:name="Tc_ZPHHS_jvN0O8Wo75yZiZxQ_38_0"/>
      <w:bookmarkStart w:id="140" w:name="Tc_2SQPh7Kwuk2Hx4u1cjb3FQ_37_0"/>
      <w:bookmarkStart w:id="141" w:name="Tc_0aEKkyC7YEuqxeGAStbDpg_36_0"/>
      <w:bookmarkStart w:id="142" w:name="Tc_J8LrMc0tzk-W2a-SpYMCrA_35_2"/>
      <w:bookmarkStart w:id="143" w:name="Tc_9DUFQG4OO0GdfOpPyw-i5g_35_0"/>
      <w:bookmarkStart w:id="144" w:name="Tc_PiG2QLM6M0y2jeuWET44eA_34_0"/>
      <w:bookmarkStart w:id="145" w:name="Tc_22e5Os4w9EyJ7V8ztzWzxw_33_0"/>
      <w:bookmarkStart w:id="146" w:name="Tc_bt2Ln1FG6UGc46xhwwT-bg_32_0"/>
      <w:bookmarkStart w:id="147" w:name="Tc_h2jX6Du-KEWN2dz0ik7oHQ_31_0"/>
      <w:bookmarkStart w:id="148" w:name="Tc_3ICNu2ddCEe4oszQzGcstw_30_0"/>
      <w:bookmarkStart w:id="149" w:name="Tc_pEmf6c-dU06A1l_p_oIbgA_29_0"/>
      <w:bookmarkStart w:id="150" w:name="Tc__hA-8EUmLE-4-aS5Ns_GRg_28_0"/>
      <w:bookmarkStart w:id="151" w:name="Tc_6Fzr7IbgiUW45wG1jIjcRg_27_0"/>
      <w:bookmarkStart w:id="152" w:name="Tc_e217vVlp5kizbNUYwEXhZg_26_0"/>
      <w:bookmarkStart w:id="153" w:name="Tc_pENpgItZJUuSleONlG-HTw_25_0"/>
      <w:bookmarkStart w:id="154" w:name="Tc_kHCAxGRY_Ueoi6gqYuG4QA_24_0"/>
      <w:bookmarkStart w:id="155" w:name="Tc_OKhx6QeGfUC_v0xM0ZG3iA_23_0"/>
      <w:bookmarkStart w:id="156" w:name="Tc_8NHPFyAUeU6yWC0zxtG1aA_22_4"/>
      <w:bookmarkStart w:id="157" w:name="Tc_mZBo4zZw70-lK4GvoK8vyw_22_1"/>
      <w:bookmarkStart w:id="158" w:name="Tc_wBpEi9Xdgke_HpNo9asjrg_22_0"/>
      <w:bookmarkStart w:id="159" w:name="Tc_K8Pfjf6TUUatzf8v1t1Xug_21_0"/>
      <w:bookmarkStart w:id="160" w:name="Tc_vMahR9vuxkevY2N7wEL1Jw_20_5"/>
      <w:bookmarkStart w:id="161" w:name="Tc_Plz8tHJJnkqlROdx2cAFtg_20_2"/>
      <w:bookmarkStart w:id="162" w:name="Tc_dPW8vls9s0i4ejil_chZnw_20_0"/>
      <w:bookmarkStart w:id="163" w:name="Tc_z8LnBpLb5E6506lWBcbRcw_19_4"/>
      <w:bookmarkStart w:id="164" w:name="Tc_ocUiH0xuGkqJ0eMdCxfnuQ_19_1"/>
      <w:bookmarkStart w:id="165" w:name="Tc_-39a804IaEWXTqYtBOzDUA_19_0"/>
      <w:bookmarkStart w:id="166" w:name="Tc_lFviFlXvxEa01xfaa50kzg_18_0"/>
      <w:bookmarkStart w:id="167" w:name="Tc_uD2_vZBy_kOP9pjwQkE-lg_17_0"/>
      <w:bookmarkStart w:id="168" w:name="Tc_kEV_Kr_iTk27POBQ6bVQ8g_16_0"/>
      <w:bookmarkStart w:id="169" w:name="Tc_b8qgqDeT3UalxrxEsIg-2g_15_0"/>
      <w:bookmarkStart w:id="170" w:name="Tc_Qs-P1rpWVUG6zyMYkeKoMg_14_0"/>
      <w:bookmarkStart w:id="171" w:name="Tc_YQZHPIDp90uc61fifjIujw_13_0"/>
      <w:bookmarkStart w:id="172" w:name="Tc_IyE25KZ9-0uqRgaeQy7t8w_12_0"/>
      <w:bookmarkStart w:id="173" w:name="Tc_xvz3QPuIJkKaz7B_nn4DOQ_11_0"/>
      <w:bookmarkStart w:id="174" w:name="Tc_qcCv79IwAkS_1SNHxicaMA_10_2"/>
      <w:bookmarkStart w:id="175" w:name="Tc_FKBgWR5R8kmfXp7yhbYc_g_10_0"/>
      <w:bookmarkStart w:id="176" w:name="Tc_I4qGeVUQuku0fuw3MycA1Q_9_0"/>
      <w:bookmarkStart w:id="177" w:name="Tc_-_A1w_RcVky2K5o8TD-VBg_8_0"/>
      <w:bookmarkStart w:id="178" w:name="Tc_NaQNfM6OPU-M6_AD_mnJ6w_7_0"/>
      <w:bookmarkStart w:id="179" w:name="Tc_ZMwL_zQEHU6U22E8AIDiug_6_4"/>
      <w:bookmarkStart w:id="180" w:name="Tc_1Jgz1SGvXkGHWm0ZCXAPkQ_6_1"/>
      <w:bookmarkStart w:id="181" w:name="Tc_a8SdXR3TW0OZVTzDqswSvw_6_0"/>
      <w:bookmarkStart w:id="182" w:name="Tc_uuMnPIsXeUmCE-suaXqnoA_5_0"/>
      <w:bookmarkStart w:id="183" w:name="Tc_Ou4KvLatZkSJDHq4j-0tbQ_4_0"/>
      <w:bookmarkStart w:id="184" w:name="Tc_AYsvdfajRUWMIY_NMJzZVA_3_1"/>
      <w:bookmarkStart w:id="185" w:name="Tc_BApPglSGTkmrhylqr5i92Q_2_4"/>
      <w:bookmarkStart w:id="186" w:name="Tc_txSvO42kIkibzHcPED7EmQ_2_1"/>
      <w:bookmarkStart w:id="187" w:name="Tc_75TyQ8PyNUaTnEC6UpgUrg_1_4"/>
      <w:bookmarkStart w:id="188" w:name="Tc_QM190ujMw0uuU4QqKiZF4Q_1_1"/>
      <w:bookmarkStart w:id="189" w:name="_bf713315_f8fd_4cb8_8c2b_575f331673ed"/>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p>
    <w:tbl>
      <w:tblPr>
        <w:tblW w:w="10205" w:type="dxa"/>
        <w:jc w:val="left"/>
        <w:tblInd w:w="0" w:type="dxa"/>
        <w:tblLayout w:type="fixed"/>
        <w:tblCellMar>
          <w:top w:w="0" w:type="dxa"/>
          <w:left w:w="0" w:type="dxa"/>
          <w:bottom w:w="0" w:type="dxa"/>
          <w:right w:w="0" w:type="dxa"/>
        </w:tblCellMar>
      </w:tblPr>
      <w:tblGrid>
        <w:gridCol w:w="7694"/>
        <w:gridCol w:w="196"/>
        <w:gridCol w:w="826"/>
        <w:gridCol w:w="326"/>
        <w:gridCol w:w="212"/>
        <w:gridCol w:w="951"/>
      </w:tblGrid>
      <w:tr>
        <w:trPr/>
        <w:tc>
          <w:tcPr>
            <w:tcW w:w="76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4885690" cy="175260"/>
                      <wp:effectExtent l="0" t="0" r="0" b="0"/>
                      <wp:wrapNone/>
                      <wp:docPr id="1" name="Frame1"/>
                      <a:graphic xmlns:a="http://schemas.openxmlformats.org/drawingml/2006/main">
                        <a:graphicData uri="http://schemas.microsoft.com/office/word/2010/wordprocessingShape">
                          <wps:wsp>
                            <wps:cNvSpPr txBox="1"/>
                            <wps:spPr>
                              <a:xfrm>
                                <a:off x="0" y="0"/>
                                <a:ext cx="48856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124460" cy="175260"/>
                      <wp:effectExtent l="0" t="0" r="0" b="0"/>
                      <wp:wrapNone/>
                      <wp:docPr id="2" name="Frame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524510" cy="175260"/>
                      <wp:effectExtent l="0" t="0" r="0" b="0"/>
                      <wp:wrapNone/>
                      <wp:docPr id="3" name="Frame3"/>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07010" cy="175260"/>
                      <wp:effectExtent l="0" t="0" r="0" b="0"/>
                      <wp:wrapNone/>
                      <wp:docPr id="4" name="Frame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134620" cy="175260"/>
                      <wp:effectExtent l="0" t="0" r="0" b="0"/>
                      <wp:wrapNone/>
                      <wp:docPr id="5" name="Frame5"/>
                      <a:graphic xmlns:a="http://schemas.openxmlformats.org/drawingml/2006/main">
                        <a:graphicData uri="http://schemas.microsoft.com/office/word/2010/wordprocessingShape">
                          <wps:wsp>
                            <wps:cNvSpPr txBox="1"/>
                            <wps:spPr>
                              <a:xfrm>
                                <a:off x="0" y="0"/>
                                <a:ext cx="1346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03885" cy="175260"/>
                      <wp:effectExtent l="0" t="0" r="0" b="0"/>
                      <wp:wrapNone/>
                      <wp:docPr id="6" name="Frame6"/>
                      <a:graphic xmlns:a="http://schemas.openxmlformats.org/drawingml/2006/main">
                        <a:graphicData uri="http://schemas.microsoft.com/office/word/2010/wordprocessingShape">
                          <wps:wsp>
                            <wps:cNvSpPr txBox="1"/>
                            <wps:spPr>
                              <a:xfrm>
                                <a:off x="0" y="0"/>
                                <a:ext cx="603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694" w:type="dxa"/>
            <w:tcBorders/>
            <w:vAlign w:val="center"/>
          </w:tcPr>
          <w:p>
            <w:pPr>
              <w:pStyle w:val="TableContents"/>
              <w:bidi w:val="0"/>
              <w:spacing w:before="0" w:after="1"/>
              <w:ind w:left="0" w:right="0" w:hanging="0"/>
              <w:jc w:val="left"/>
              <w:rPr/>
            </w:pPr>
            <w:r>
              <w:rPr/>
              <w:t>​</w:t>
            </w:r>
          </w:p>
        </w:tc>
        <w:tc>
          <w:tcPr>
            <w:tcW w:w="102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26" w:type="dxa"/>
            <w:tcBorders/>
            <w:vAlign w:val="center"/>
          </w:tcPr>
          <w:p>
            <w:pPr>
              <w:pStyle w:val="TableContents"/>
              <w:bidi w:val="0"/>
              <w:spacing w:before="0" w:after="1"/>
              <w:ind w:left="0" w:right="0" w:hanging="0"/>
              <w:jc w:val="center"/>
              <w:rPr/>
            </w:pPr>
            <w:r>
              <w:rPr/>
              <w:t>    </w:t>
            </w:r>
          </w:p>
        </w:tc>
        <w:tc>
          <w:tcPr>
            <w:tcW w:w="1163"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7694" w:type="dxa"/>
            <w:tcBorders/>
            <w:vAlign w:val="center"/>
          </w:tcPr>
          <w:p>
            <w:pPr>
              <w:pStyle w:val="TableContents"/>
              <w:bidi w:val="0"/>
              <w:spacing w:before="0" w:after="1"/>
              <w:ind w:left="0" w:right="0" w:hanging="0"/>
              <w:jc w:val="left"/>
              <w:rPr/>
            </w:pPr>
            <w:r>
              <w:rPr/>
              <w:t>​</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1"/>
              <w:ind w:left="0" w:right="0" w:hanging="0"/>
              <w:jc w:val="center"/>
              <w:rPr/>
            </w:pPr>
            <w:r>
              <w:rPr/>
              <w:t>​</w:t>
            </w:r>
          </w:p>
        </w:tc>
        <w:tc>
          <w:tcPr>
            <w:tcW w:w="116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7694" w:type="dxa"/>
            <w:tcBorders/>
            <w:vAlign w:val="center"/>
          </w:tcPr>
          <w:p>
            <w:pPr>
              <w:pStyle w:val="TableContents"/>
              <w:bidi w:val="0"/>
              <w:spacing w:before="0" w:after="1"/>
              <w:ind w:left="0" w:right="0" w:hanging="0"/>
              <w:jc w:val="left"/>
              <w:rPr/>
            </w:pPr>
            <w:r>
              <w:rPr/>
              <w:t>​</w:t>
            </w:r>
          </w:p>
        </w:tc>
        <w:tc>
          <w:tcPr>
            <w:tcW w:w="102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26" w:type="dxa"/>
            <w:tcBorders/>
            <w:vAlign w:val="center"/>
          </w:tcPr>
          <w:p>
            <w:pPr>
              <w:pStyle w:val="TableContents"/>
              <w:bidi w:val="0"/>
              <w:spacing w:before="0" w:after="1"/>
              <w:ind w:left="0" w:right="0" w:hanging="0"/>
              <w:jc w:val="center"/>
              <w:rPr/>
            </w:pPr>
            <w:r>
              <w:rPr/>
              <w:t>    </w:t>
            </w:r>
          </w:p>
        </w:tc>
        <w:tc>
          <w:tcPr>
            <w:tcW w:w="212" w:type="dxa"/>
            <w:tcBorders/>
            <w:vAlign w:val="center"/>
          </w:tcPr>
          <w:p>
            <w:pPr>
              <w:pStyle w:val="TableContents"/>
              <w:bidi w:val="0"/>
              <w:spacing w:before="0" w:after="1"/>
              <w:ind w:left="0" w:right="0" w:hanging="0"/>
              <w:jc w:val="center"/>
              <w:rPr/>
            </w:pPr>
            <w:r>
              <w:rPr/>
              <w:t>​</w:t>
            </w:r>
          </w:p>
        </w:tc>
        <w:tc>
          <w:tcPr>
            <w:tcW w:w="951" w:type="dxa"/>
            <w:tcBorders/>
            <w:vAlign w:val="center"/>
          </w:tcPr>
          <w:p>
            <w:pPr>
              <w:pStyle w:val="TableContents"/>
              <w:bidi w:val="0"/>
              <w:spacing w:before="0" w:after="1"/>
              <w:ind w:left="0" w:right="0" w:hanging="0"/>
              <w:jc w:val="center"/>
              <w:rPr/>
            </w:pPr>
            <w:r>
              <w:rPr/>
              <w:t>​</w:t>
            </w:r>
          </w:p>
        </w:tc>
      </w:tr>
      <w:tr>
        <w:trPr/>
        <w:tc>
          <w:tcPr>
            <w:tcW w:w="7694" w:type="dxa"/>
            <w:tcBorders/>
            <w:shd w:fill="CCEEFF" w:val="clear"/>
            <w:vAlign w:val="center"/>
          </w:tcPr>
          <w:p>
            <w:pPr>
              <w:pStyle w:val="TableContents"/>
              <w:bidi w:val="0"/>
              <w:spacing w:before="0" w:after="1"/>
              <w:ind w:left="0" w:right="0" w:hanging="0"/>
              <w:jc w:val="both"/>
              <w:rPr>
                <w:rFonts w:ascii="Times New Roman;Times;serif" w:hAnsi="Times New Roman;Times;serif"/>
                <w:b/>
                <w:sz w:val="16"/>
              </w:rPr>
            </w:pPr>
            <w:r>
              <w:rPr>
                <w:rFonts w:ascii="Times New Roman;Times;serif" w:hAnsi="Times New Roman;Times;serif"/>
                <w:b/>
                <w:sz w:val="16"/>
              </w:rPr>
              <w:t>Assets</w:t>
            </w:r>
          </w:p>
        </w:tc>
        <w:tc>
          <w:tcPr>
            <w:tcW w:w="196" w:type="dxa"/>
            <w:tcBorders/>
            <w:shd w:fill="CCEEFF" w:val="clear"/>
            <w:vAlign w:val="center"/>
          </w:tcPr>
          <w:p>
            <w:pPr>
              <w:pStyle w:val="TableContents"/>
              <w:bidi w:val="0"/>
              <w:spacing w:before="0" w:after="1"/>
              <w:ind w:left="0" w:right="0" w:hanging="0"/>
              <w:jc w:val="center"/>
              <w:rPr/>
            </w:pPr>
            <w:r>
              <w:rPr/>
              <w:t>​</w:t>
            </w:r>
          </w:p>
        </w:tc>
        <w:tc>
          <w:tcPr>
            <w:tcW w:w="826"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212" w:type="dxa"/>
            <w:tcBorders/>
            <w:shd w:fill="CCEEFF" w:val="clear"/>
            <w:vAlign w:val="center"/>
          </w:tcPr>
          <w:p>
            <w:pPr>
              <w:pStyle w:val="TableContents"/>
              <w:bidi w:val="0"/>
              <w:spacing w:before="0" w:after="1"/>
              <w:ind w:left="0" w:right="0" w:hanging="0"/>
              <w:jc w:val="center"/>
              <w:rPr/>
            </w:pPr>
            <w:r>
              <w:rPr/>
              <w:t>​</w:t>
            </w:r>
          </w:p>
        </w:tc>
        <w:tc>
          <w:tcPr>
            <w:tcW w:w="951" w:type="dxa"/>
            <w:tcBorders/>
            <w:shd w:fill="CCEEFF" w:val="clear"/>
            <w:vAlign w:val="center"/>
          </w:tcPr>
          <w:p>
            <w:pPr>
              <w:pStyle w:val="TableContents"/>
              <w:bidi w:val="0"/>
              <w:spacing w:before="0" w:after="1"/>
              <w:ind w:left="0" w:right="0" w:hanging="0"/>
              <w:jc w:val="center"/>
              <w:rPr/>
            </w:pPr>
            <w:r>
              <w:rPr/>
              <w:t>​</w:t>
            </w:r>
          </w:p>
        </w:tc>
      </w:tr>
      <w:tr>
        <w:trPr/>
        <w:tc>
          <w:tcPr>
            <w:tcW w:w="7694" w:type="dxa"/>
            <w:tcBorders/>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Current assets:</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212" w:type="dxa"/>
            <w:tcBorders/>
            <w:vAlign w:val="center"/>
          </w:tcPr>
          <w:p>
            <w:pPr>
              <w:pStyle w:val="TableContents"/>
              <w:bidi w:val="0"/>
              <w:spacing w:before="0" w:after="1"/>
              <w:ind w:left="0" w:right="0" w:hanging="0"/>
              <w:jc w:val="left"/>
              <w:rPr/>
            </w:pPr>
            <w:r>
              <w:rPr/>
              <w:t>​</w:t>
            </w:r>
          </w:p>
        </w:tc>
        <w:tc>
          <w:tcPr>
            <w:tcW w:w="951" w:type="dxa"/>
            <w:tcBorders/>
            <w:vAlign w:val="center"/>
          </w:tcPr>
          <w:p>
            <w:pPr>
              <w:pStyle w:val="TableContents"/>
              <w:bidi w:val="0"/>
              <w:spacing w:before="0" w:after="1"/>
              <w:ind w:left="0" w:right="0" w:hanging="0"/>
              <w:jc w:val="left"/>
              <w:rPr/>
            </w:pPr>
            <w:r>
              <w:rPr/>
              <w:t>​</w:t>
            </w:r>
          </w:p>
        </w:tc>
      </w:tr>
      <w:tr>
        <w:trPr/>
        <w:tc>
          <w:tcPr>
            <w:tcW w:w="769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and cash equivalents</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270,395</w:t>
            </w:r>
          </w:p>
        </w:tc>
        <w:tc>
          <w:tcPr>
            <w:tcW w:w="32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5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296,051</w:t>
            </w:r>
          </w:p>
        </w:tc>
      </w:tr>
      <w:tr>
        <w:trPr/>
        <w:tc>
          <w:tcPr>
            <w:tcW w:w="769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Funds held for customers</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33,287</w:t>
            </w:r>
          </w:p>
        </w:tc>
        <w:tc>
          <w:tcPr>
            <w:tcW w:w="32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 </w:t>
            </w:r>
          </w:p>
        </w:tc>
        <w:tc>
          <w:tcPr>
            <w:tcW w:w="95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30,015</w:t>
            </w:r>
          </w:p>
        </w:tc>
      </w:tr>
      <w:tr>
        <w:trPr/>
        <w:tc>
          <w:tcPr>
            <w:tcW w:w="769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Accounts receivable, net of allowance of $17,566 and $16,838, respectively</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152,338</w:t>
            </w:r>
          </w:p>
        </w:tc>
        <w:tc>
          <w:tcPr>
            <w:tcW w:w="32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 </w:t>
            </w:r>
          </w:p>
        </w:tc>
        <w:tc>
          <w:tcPr>
            <w:tcW w:w="95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164,432</w:t>
            </w:r>
          </w:p>
        </w:tc>
      </w:tr>
      <w:tr>
        <w:trPr/>
        <w:tc>
          <w:tcPr>
            <w:tcW w:w="769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Prepaid expenses and other current assets</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48,942</w:t>
            </w:r>
          </w:p>
        </w:tc>
        <w:tc>
          <w:tcPr>
            <w:tcW w:w="32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 </w:t>
            </w:r>
          </w:p>
        </w:tc>
        <w:tc>
          <w:tcPr>
            <w:tcW w:w="95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36,678</w:t>
            </w:r>
          </w:p>
        </w:tc>
      </w:tr>
      <w:tr>
        <w:trPr/>
        <w:tc>
          <w:tcPr>
            <w:tcW w:w="769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Investment securities available-for-sale, at fair value (amortized cost of $0 and $9,147, respectively)</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9,157</w:t>
            </w:r>
          </w:p>
        </w:tc>
      </w:tr>
      <w:tr>
        <w:trPr/>
        <w:tc>
          <w:tcPr>
            <w:tcW w:w="769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current assets</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504,962</w:t>
            </w:r>
          </w:p>
        </w:tc>
        <w:tc>
          <w:tcPr>
            <w:tcW w:w="326" w:type="dxa"/>
            <w:tcBorders/>
            <w:vAlign w:val="center"/>
          </w:tcPr>
          <w:p>
            <w:pPr>
              <w:pStyle w:val="TableContents"/>
              <w:bidi w:val="0"/>
              <w:spacing w:before="0" w:after="1"/>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536,333</w:t>
            </w:r>
          </w:p>
        </w:tc>
      </w:tr>
      <w:tr>
        <w:trPr/>
        <w:tc>
          <w:tcPr>
            <w:tcW w:w="7694" w:type="dxa"/>
            <w:tcBorders/>
            <w:shd w:fill="CCEEFF" w:val="clear"/>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Property and equipment, net of accumulated depreciation</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185,557</w:t>
            </w:r>
          </w:p>
        </w:tc>
        <w:tc>
          <w:tcPr>
            <w:tcW w:w="32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 </w:t>
            </w:r>
          </w:p>
        </w:tc>
        <w:tc>
          <w:tcPr>
            <w:tcW w:w="95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177,559</w:t>
            </w:r>
          </w:p>
        </w:tc>
      </w:tr>
      <w:tr>
        <w:trPr/>
        <w:tc>
          <w:tcPr>
            <w:tcW w:w="7694" w:type="dxa"/>
            <w:tcBorders/>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Capitalized software, net of accumulated amortization</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36,219</w:t>
            </w:r>
          </w:p>
        </w:tc>
        <w:tc>
          <w:tcPr>
            <w:tcW w:w="32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 </w:t>
            </w:r>
          </w:p>
        </w:tc>
        <w:tc>
          <w:tcPr>
            <w:tcW w:w="95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36,350</w:t>
            </w:r>
          </w:p>
        </w:tc>
      </w:tr>
      <w:tr>
        <w:trPr/>
        <w:tc>
          <w:tcPr>
            <w:tcW w:w="7694" w:type="dxa"/>
            <w:tcBorders/>
            <w:shd w:fill="CCEEFF" w:val="clear"/>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 xml:space="preserve">Goodwill and other intangible assets </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374,312</w:t>
            </w:r>
          </w:p>
        </w:tc>
        <w:tc>
          <w:tcPr>
            <w:tcW w:w="32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 </w:t>
            </w:r>
          </w:p>
        </w:tc>
        <w:tc>
          <w:tcPr>
            <w:tcW w:w="95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363,021</w:t>
            </w:r>
          </w:p>
        </w:tc>
      </w:tr>
      <w:tr>
        <w:trPr/>
        <w:tc>
          <w:tcPr>
            <w:tcW w:w="7694" w:type="dxa"/>
            <w:tcBorders/>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Deferred commissions</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27,535</w:t>
            </w:r>
          </w:p>
        </w:tc>
        <w:tc>
          <w:tcPr>
            <w:tcW w:w="32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 </w:t>
            </w:r>
          </w:p>
        </w:tc>
        <w:tc>
          <w:tcPr>
            <w:tcW w:w="95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27,480</w:t>
            </w:r>
          </w:p>
        </w:tc>
      </w:tr>
      <w:tr>
        <w:trPr/>
        <w:tc>
          <w:tcPr>
            <w:tcW w:w="7694" w:type="dxa"/>
            <w:tcBorders/>
            <w:shd w:fill="CCEEFF" w:val="clear"/>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Deferred income tax asset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w:t>
            </w:r>
          </w:p>
        </w:tc>
        <w:tc>
          <w:tcPr>
            <w:tcW w:w="32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w:t>
            </w:r>
          </w:p>
        </w:tc>
        <w:tc>
          <w:tcPr>
            <w:tcW w:w="95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w:t>
            </w:r>
          </w:p>
        </w:tc>
      </w:tr>
      <w:tr>
        <w:trPr/>
        <w:tc>
          <w:tcPr>
            <w:tcW w:w="7694" w:type="dxa"/>
            <w:tcBorders/>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Operating lease right-of-use assets</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11,189</w:t>
            </w:r>
          </w:p>
        </w:tc>
        <w:tc>
          <w:tcPr>
            <w:tcW w:w="32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w:t>
            </w:r>
          </w:p>
        </w:tc>
        <w:tc>
          <w:tcPr>
            <w:tcW w:w="95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11,956</w:t>
            </w:r>
          </w:p>
        </w:tc>
      </w:tr>
      <w:tr>
        <w:trPr/>
        <w:tc>
          <w:tcPr>
            <w:tcW w:w="7694" w:type="dxa"/>
            <w:tcBorders/>
            <w:shd w:fill="CCEEFF" w:val="clear"/>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Other assets</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14,351</w:t>
            </w:r>
          </w:p>
        </w:tc>
        <w:tc>
          <w:tcPr>
            <w:tcW w:w="326" w:type="dxa"/>
            <w:tcBorders/>
            <w:shd w:fill="CCEEFF" w:val="clear"/>
            <w:vAlign w:val="center"/>
          </w:tcPr>
          <w:p>
            <w:pPr>
              <w:pStyle w:val="TableContents"/>
              <w:bidi w:val="0"/>
              <w:spacing w:before="0" w:after="1"/>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14,073</w:t>
            </w:r>
          </w:p>
        </w:tc>
      </w:tr>
      <w:tr>
        <w:trPr/>
        <w:tc>
          <w:tcPr>
            <w:tcW w:w="769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assets</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1,154,144</w:t>
            </w:r>
          </w:p>
        </w:tc>
        <w:tc>
          <w:tcPr>
            <w:tcW w:w="326" w:type="dxa"/>
            <w:tcBorders/>
            <w:vAlign w:val="center"/>
          </w:tcPr>
          <w:p>
            <w:pPr>
              <w:pStyle w:val="TableContents"/>
              <w:bidi w:val="0"/>
              <w:spacing w:before="0" w:after="1"/>
              <w:ind w:left="0" w:right="0" w:hanging="0"/>
              <w:jc w:val="left"/>
              <w:rPr/>
            </w:pPr>
            <w:r>
              <w:rPr/>
              <w:t>​</w:t>
            </w:r>
          </w:p>
        </w:tc>
        <w:tc>
          <w:tcPr>
            <w:tcW w:w="21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5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1,166,791</w:t>
            </w:r>
          </w:p>
        </w:tc>
      </w:tr>
      <w:tr>
        <w:trPr/>
        <w:tc>
          <w:tcPr>
            <w:tcW w:w="7694" w:type="dxa"/>
            <w:tcBorders/>
            <w:shd w:fill="CCEEFF" w:val="clear"/>
            <w:vAlign w:val="center"/>
          </w:tcPr>
          <w:p>
            <w:pPr>
              <w:pStyle w:val="TableContents"/>
              <w:bidi w:val="0"/>
              <w:spacing w:before="0" w:after="1"/>
              <w:ind w:left="0" w:right="0" w:hanging="0"/>
              <w:jc w:val="both"/>
              <w:rPr>
                <w:rFonts w:ascii="Times New Roman;Times;serif" w:hAnsi="Times New Roman;Times;serif"/>
                <w:b/>
                <w:sz w:val="16"/>
              </w:rPr>
            </w:pPr>
            <w:r>
              <w:rPr>
                <w:rFonts w:ascii="Times New Roman;Times;serif" w:hAnsi="Times New Roman;Times;serif"/>
                <w:b/>
                <w:sz w:val="16"/>
              </w:rPr>
              <w:t>Liabilities and Stockholders' Equity</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 </w:t>
            </w:r>
          </w:p>
        </w:tc>
        <w:tc>
          <w:tcPr>
            <w:tcW w:w="951" w:type="dxa"/>
            <w:tcBorders/>
            <w:shd w:fill="CCEEFF" w:val="clear"/>
            <w:vAlign w:val="center"/>
          </w:tcPr>
          <w:p>
            <w:pPr>
              <w:pStyle w:val="TableContents"/>
              <w:bidi w:val="0"/>
              <w:spacing w:before="0" w:after="1"/>
              <w:ind w:left="0" w:right="0" w:hanging="0"/>
              <w:jc w:val="right"/>
              <w:rPr/>
            </w:pPr>
            <w:r>
              <w:rPr/>
              <w:t>​</w:t>
            </w:r>
          </w:p>
        </w:tc>
      </w:tr>
      <w:tr>
        <w:trPr/>
        <w:tc>
          <w:tcPr>
            <w:tcW w:w="7694" w:type="dxa"/>
            <w:tcBorders/>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Current liabilities:</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 </w:t>
            </w:r>
          </w:p>
        </w:tc>
        <w:tc>
          <w:tcPr>
            <w:tcW w:w="951" w:type="dxa"/>
            <w:tcBorders/>
            <w:vAlign w:val="center"/>
          </w:tcPr>
          <w:p>
            <w:pPr>
              <w:pStyle w:val="TableContents"/>
              <w:bidi w:val="0"/>
              <w:spacing w:before="0" w:after="1"/>
              <w:ind w:left="0" w:right="0" w:hanging="0"/>
              <w:jc w:val="right"/>
              <w:rPr/>
            </w:pPr>
            <w:r>
              <w:rPr/>
              <w:t>  </w:t>
            </w:r>
          </w:p>
        </w:tc>
      </w:tr>
      <w:tr>
        <w:trPr/>
        <w:tc>
          <w:tcPr>
            <w:tcW w:w="769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Accounts payable</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24,979</w:t>
            </w:r>
          </w:p>
        </w:tc>
        <w:tc>
          <w:tcPr>
            <w:tcW w:w="32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5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36,215</w:t>
            </w:r>
          </w:p>
        </w:tc>
      </w:tr>
      <w:tr>
        <w:trPr/>
        <w:tc>
          <w:tcPr>
            <w:tcW w:w="769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Accrued expenses</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38,114</w:t>
            </w:r>
          </w:p>
        </w:tc>
        <w:tc>
          <w:tcPr>
            <w:tcW w:w="32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 </w:t>
            </w:r>
          </w:p>
        </w:tc>
        <w:tc>
          <w:tcPr>
            <w:tcW w:w="95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35,169</w:t>
            </w:r>
          </w:p>
        </w:tc>
      </w:tr>
      <w:tr>
        <w:trPr/>
        <w:tc>
          <w:tcPr>
            <w:tcW w:w="769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Customer funds obligations</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30,632</w:t>
            </w:r>
          </w:p>
        </w:tc>
        <w:tc>
          <w:tcPr>
            <w:tcW w:w="32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 </w:t>
            </w:r>
          </w:p>
        </w:tc>
        <w:tc>
          <w:tcPr>
            <w:tcW w:w="95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27,406</w:t>
            </w:r>
          </w:p>
        </w:tc>
      </w:tr>
      <w:tr>
        <w:trPr/>
        <w:tc>
          <w:tcPr>
            <w:tcW w:w="769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Accrued salaries and benefits</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21,768</w:t>
            </w:r>
          </w:p>
        </w:tc>
        <w:tc>
          <w:tcPr>
            <w:tcW w:w="32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 </w:t>
            </w:r>
          </w:p>
        </w:tc>
        <w:tc>
          <w:tcPr>
            <w:tcW w:w="95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14,581</w:t>
            </w:r>
          </w:p>
        </w:tc>
      </w:tr>
      <w:tr>
        <w:trPr/>
        <w:tc>
          <w:tcPr>
            <w:tcW w:w="769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Accrued variable compensation</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14,144</w:t>
            </w:r>
          </w:p>
        </w:tc>
        <w:tc>
          <w:tcPr>
            <w:tcW w:w="32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 </w:t>
            </w:r>
          </w:p>
        </w:tc>
        <w:tc>
          <w:tcPr>
            <w:tcW w:w="95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45,507</w:t>
            </w:r>
          </w:p>
        </w:tc>
      </w:tr>
      <w:tr>
        <w:trPr/>
        <w:tc>
          <w:tcPr>
            <w:tcW w:w="769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Deferred revenue, current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349,757</w:t>
            </w:r>
          </w:p>
        </w:tc>
        <w:tc>
          <w:tcPr>
            <w:tcW w:w="32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 </w:t>
            </w:r>
          </w:p>
        </w:tc>
        <w:tc>
          <w:tcPr>
            <w:tcW w:w="95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339,326</w:t>
            </w:r>
          </w:p>
        </w:tc>
      </w:tr>
      <w:tr>
        <w:trPr/>
        <w:tc>
          <w:tcPr>
            <w:tcW w:w="769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Current portion of operating lease liabilities</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4,043</w:t>
            </w:r>
          </w:p>
        </w:tc>
        <w:tc>
          <w:tcPr>
            <w:tcW w:w="32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w:t>
            </w:r>
          </w:p>
        </w:tc>
        <w:tc>
          <w:tcPr>
            <w:tcW w:w="95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3,995</w:t>
            </w:r>
          </w:p>
        </w:tc>
      </w:tr>
      <w:tr>
        <w:trPr/>
        <w:tc>
          <w:tcPr>
            <w:tcW w:w="769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Current portion of finance lease liabilities</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77</w:t>
            </w:r>
          </w:p>
        </w:tc>
        <w:tc>
          <w:tcPr>
            <w:tcW w:w="32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w:t>
            </w:r>
          </w:p>
        </w:tc>
        <w:tc>
          <w:tcPr>
            <w:tcW w:w="95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77</w:t>
            </w:r>
          </w:p>
        </w:tc>
      </w:tr>
      <w:tr>
        <w:trPr/>
        <w:tc>
          <w:tcPr>
            <w:tcW w:w="769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Purchase commitment and contingent consideration liabilities, current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29,600</w:t>
            </w:r>
          </w:p>
        </w:tc>
        <w:tc>
          <w:tcPr>
            <w:tcW w:w="326" w:type="dxa"/>
            <w:tcBorders/>
            <w:shd w:fill="CCEEFF" w:val="clear"/>
            <w:vAlign w:val="center"/>
          </w:tcPr>
          <w:p>
            <w:pPr>
              <w:pStyle w:val="TableContents"/>
              <w:bidi w:val="0"/>
              <w:spacing w:before="0" w:after="1"/>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35,100</w:t>
            </w:r>
          </w:p>
        </w:tc>
      </w:tr>
      <w:tr>
        <w:trPr/>
        <w:tc>
          <w:tcPr>
            <w:tcW w:w="769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current liabilities</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513,114</w:t>
            </w:r>
          </w:p>
        </w:tc>
        <w:tc>
          <w:tcPr>
            <w:tcW w:w="326" w:type="dxa"/>
            <w:tcBorders/>
            <w:vAlign w:val="center"/>
          </w:tcPr>
          <w:p>
            <w:pPr>
              <w:pStyle w:val="TableContents"/>
              <w:bidi w:val="0"/>
              <w:spacing w:before="0" w:after="1"/>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537,376</w:t>
            </w:r>
          </w:p>
        </w:tc>
      </w:tr>
      <w:tr>
        <w:trPr/>
        <w:tc>
          <w:tcPr>
            <w:tcW w:w="7694" w:type="dxa"/>
            <w:tcBorders/>
            <w:shd w:fill="CCEEFF" w:val="clear"/>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Deferred revenue, net of current portion</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5,140</w:t>
            </w:r>
          </w:p>
        </w:tc>
        <w:tc>
          <w:tcPr>
            <w:tcW w:w="32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 </w:t>
            </w:r>
          </w:p>
        </w:tc>
        <w:tc>
          <w:tcPr>
            <w:tcW w:w="95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4,840</w:t>
            </w:r>
          </w:p>
        </w:tc>
      </w:tr>
      <w:tr>
        <w:trPr/>
        <w:tc>
          <w:tcPr>
            <w:tcW w:w="769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Debt, net of current portion</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335,784</w:t>
            </w:r>
          </w:p>
        </w:tc>
        <w:tc>
          <w:tcPr>
            <w:tcW w:w="32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w:t>
            </w:r>
          </w:p>
        </w:tc>
        <w:tc>
          <w:tcPr>
            <w:tcW w:w="95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335,220</w:t>
            </w:r>
          </w:p>
        </w:tc>
      </w:tr>
      <w:tr>
        <w:trPr/>
        <w:tc>
          <w:tcPr>
            <w:tcW w:w="769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Operating lease liabilities, net of current portion</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11,461</w:t>
            </w:r>
          </w:p>
        </w:tc>
        <w:tc>
          <w:tcPr>
            <w:tcW w:w="32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w:t>
            </w:r>
          </w:p>
        </w:tc>
        <w:tc>
          <w:tcPr>
            <w:tcW w:w="95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12,585</w:t>
            </w:r>
          </w:p>
        </w:tc>
      </w:tr>
      <w:tr>
        <w:trPr/>
        <w:tc>
          <w:tcPr>
            <w:tcW w:w="769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Finance lease liabilities, net of current portion</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w:t>
            </w:r>
          </w:p>
        </w:tc>
        <w:tc>
          <w:tcPr>
            <w:tcW w:w="95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w:t>
            </w:r>
          </w:p>
        </w:tc>
      </w:tr>
      <w:tr>
        <w:trPr/>
        <w:tc>
          <w:tcPr>
            <w:tcW w:w="769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Purchase commitment and contingent consideration liabilities, net of current portion</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78,200</w:t>
            </w:r>
          </w:p>
        </w:tc>
        <w:tc>
          <w:tcPr>
            <w:tcW w:w="32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 </w:t>
            </w:r>
          </w:p>
        </w:tc>
        <w:tc>
          <w:tcPr>
            <w:tcW w:w="95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87,400</w:t>
            </w:r>
          </w:p>
        </w:tc>
      </w:tr>
      <w:tr>
        <w:trPr/>
        <w:tc>
          <w:tcPr>
            <w:tcW w:w="769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Deferred income tax liabilities</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9,369</w:t>
            </w:r>
          </w:p>
        </w:tc>
        <w:tc>
          <w:tcPr>
            <w:tcW w:w="32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w:t>
            </w:r>
          </w:p>
        </w:tc>
        <w:tc>
          <w:tcPr>
            <w:tcW w:w="95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9,918</w:t>
            </w:r>
          </w:p>
        </w:tc>
      </w:tr>
      <w:tr>
        <w:trPr/>
        <w:tc>
          <w:tcPr>
            <w:tcW w:w="7694" w:type="dxa"/>
            <w:tcBorders/>
            <w:shd w:fill="CCEEFF" w:val="clear"/>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Deferred other liabilities</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586</w:t>
            </w:r>
          </w:p>
        </w:tc>
        <w:tc>
          <w:tcPr>
            <w:tcW w:w="326" w:type="dxa"/>
            <w:tcBorders/>
            <w:shd w:fill="CCEEFF" w:val="clear"/>
            <w:vAlign w:val="center"/>
          </w:tcPr>
          <w:p>
            <w:pPr>
              <w:pStyle w:val="TableContents"/>
              <w:bidi w:val="0"/>
              <w:spacing w:before="0" w:after="1"/>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90</w:t>
            </w:r>
          </w:p>
        </w:tc>
      </w:tr>
      <w:tr>
        <w:trPr/>
        <w:tc>
          <w:tcPr>
            <w:tcW w:w="769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liabilities</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953,654</w:t>
            </w:r>
          </w:p>
        </w:tc>
        <w:tc>
          <w:tcPr>
            <w:tcW w:w="326" w:type="dxa"/>
            <w:tcBorders/>
            <w:vAlign w:val="center"/>
          </w:tcPr>
          <w:p>
            <w:pPr>
              <w:pStyle w:val="TableContents"/>
              <w:bidi w:val="0"/>
              <w:spacing w:before="0" w:after="1"/>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987,439</w:t>
            </w:r>
          </w:p>
        </w:tc>
      </w:tr>
      <w:tr>
        <w:trPr/>
        <w:tc>
          <w:tcPr>
            <w:tcW w:w="7694" w:type="dxa"/>
            <w:tcBorders/>
            <w:shd w:fill="CCEEFF" w:val="clear"/>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Commitments and contingencies (Note 11)</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 </w:t>
            </w:r>
          </w:p>
        </w:tc>
        <w:tc>
          <w:tcPr>
            <w:tcW w:w="951" w:type="dxa"/>
            <w:tcBorders/>
            <w:shd w:fill="CCEEFF" w:val="clear"/>
            <w:vAlign w:val="center"/>
          </w:tcPr>
          <w:p>
            <w:pPr>
              <w:pStyle w:val="TableContents"/>
              <w:bidi w:val="0"/>
              <w:spacing w:before="0" w:after="1"/>
              <w:ind w:left="0" w:right="0" w:hanging="0"/>
              <w:jc w:val="right"/>
              <w:rPr/>
            </w:pPr>
            <w:r>
              <w:rPr/>
              <w:t>  </w:t>
            </w:r>
          </w:p>
        </w:tc>
      </w:tr>
      <w:tr>
        <w:trPr/>
        <w:tc>
          <w:tcPr>
            <w:tcW w:w="7694" w:type="dxa"/>
            <w:tcBorders/>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Stockholders' equity:</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 </w:t>
            </w:r>
          </w:p>
        </w:tc>
        <w:tc>
          <w:tcPr>
            <w:tcW w:w="951" w:type="dxa"/>
            <w:tcBorders/>
            <w:vAlign w:val="center"/>
          </w:tcPr>
          <w:p>
            <w:pPr>
              <w:pStyle w:val="TableContents"/>
              <w:bidi w:val="0"/>
              <w:spacing w:before="0" w:after="1"/>
              <w:ind w:left="0" w:right="0" w:hanging="0"/>
              <w:jc w:val="right"/>
              <w:rPr/>
            </w:pPr>
            <w:r>
              <w:rPr/>
              <w:t>  </w:t>
            </w:r>
          </w:p>
        </w:tc>
      </w:tr>
      <w:tr>
        <w:trPr/>
        <w:tc>
          <w:tcPr>
            <w:tcW w:w="769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Preferred shares, $0.001 par value, 30,000 shares authorized; no shares issued and outstanding</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caps w:val="false"/>
                <w:smallCaps w:val="false"/>
              </w:rPr>
            </w:pPr>
            <w:r>
              <w:rPr>
                <w:caps w:val="false"/>
                <w:smallCaps w:val="false"/>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 </w:t>
            </w:r>
          </w:p>
        </w:tc>
        <w:tc>
          <w:tcPr>
            <w:tcW w:w="951" w:type="dxa"/>
            <w:tcBorders/>
            <w:shd w:fill="CCEEFF" w:val="clear"/>
            <w:vAlign w:val="center"/>
          </w:tcPr>
          <w:p>
            <w:pPr>
              <w:pStyle w:val="TableContents"/>
              <w:bidi w:val="0"/>
              <w:spacing w:before="0" w:after="1"/>
              <w:ind w:left="0" w:right="0" w:hanging="0"/>
              <w:jc w:val="right"/>
              <w:rPr>
                <w:caps w:val="false"/>
                <w:smallCaps w:val="false"/>
              </w:rPr>
            </w:pPr>
            <w:r>
              <w:rPr>
                <w:caps w:val="false"/>
                <w:smallCaps w:val="false"/>
              </w:rPr>
              <w:t>—</w:t>
            </w:r>
          </w:p>
        </w:tc>
      </w:tr>
      <w:tr>
        <w:trPr/>
        <w:tc>
          <w:tcPr>
            <w:tcW w:w="769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16"/>
              </w:rPr>
              <w:t>Class A voting common stock, $0.001</w:t>
            </w:r>
            <w:r>
              <w:rPr>
                <w:rFonts w:ascii="Times New Roman;Times;serif" w:hAnsi="Times New Roman;Times;serif"/>
                <w:sz w:val="20"/>
              </w:rPr>
              <w:t xml:space="preserve"> </w:t>
            </w:r>
            <w:r>
              <w:rPr>
                <w:rFonts w:ascii="Times New Roman;Times;serif" w:hAnsi="Times New Roman;Times;serif"/>
                <w:sz w:val="16"/>
              </w:rPr>
              <w:t>par value, 300,000</w:t>
            </w:r>
            <w:r>
              <w:rPr>
                <w:rFonts w:ascii="Times New Roman;Times;serif" w:hAnsi="Times New Roman;Times;serif"/>
                <w:sz w:val="20"/>
              </w:rPr>
              <w:t xml:space="preserve"> </w:t>
            </w:r>
            <w:r>
              <w:rPr>
                <w:rFonts w:ascii="Times New Roman;Times;serif" w:hAnsi="Times New Roman;Times;serif"/>
                <w:sz w:val="16"/>
              </w:rPr>
              <w:t>shares authorized; 71,907</w:t>
            </w:r>
            <w:r>
              <w:rPr>
                <w:rFonts w:ascii="Times New Roman;Times;serif" w:hAnsi="Times New Roman;Times;serif"/>
                <w:sz w:val="20"/>
              </w:rPr>
              <w:t xml:space="preserve"> </w:t>
            </w:r>
            <w:r>
              <w:rPr>
                <w:rFonts w:ascii="Times New Roman;Times;serif" w:hAnsi="Times New Roman;Times;serif"/>
                <w:sz w:val="16"/>
              </w:rPr>
              <w:t>and 70,670</w:t>
            </w:r>
            <w:r>
              <w:rPr>
                <w:rFonts w:ascii="Times New Roman;Times;serif" w:hAnsi="Times New Roman;Times;serif"/>
                <w:sz w:val="20"/>
              </w:rPr>
              <w:t xml:space="preserve"> </w:t>
            </w:r>
            <w:r>
              <w:rPr>
                <w:rFonts w:ascii="Times New Roman;Times;serif" w:hAnsi="Times New Roman;Times;serif"/>
                <w:sz w:val="16"/>
              </w:rPr>
              <w:t xml:space="preserve">shares </w:t>
            </w:r>
            <w:r>
              <w:rPr>
                <w:rFonts w:ascii="Times New Roman;Times;serif" w:hAnsi="Times New Roman;Times;serif"/>
                <w:b w:val="false"/>
                <w:i w:val="false"/>
                <w:caps w:val="false"/>
                <w:smallCaps w:val="false"/>
                <w:sz w:val="16"/>
              </w:rPr>
              <w:t>issued</w:t>
            </w:r>
            <w:r>
              <w:rPr>
                <w:rFonts w:ascii="Times New Roman;Times;serif" w:hAnsi="Times New Roman;Times;serif"/>
                <w:sz w:val="20"/>
              </w:rPr>
              <w:t xml:space="preserve"> </w:t>
            </w:r>
            <w:r>
              <w:rPr>
                <w:rFonts w:ascii="Times New Roman;Times;serif" w:hAnsi="Times New Roman;Times;serif"/>
                <w:sz w:val="16"/>
              </w:rPr>
              <w:t xml:space="preserve">and </w:t>
            </w:r>
            <w:r>
              <w:rPr>
                <w:rFonts w:ascii="Times New Roman;Times;serif" w:hAnsi="Times New Roman;Times;serif"/>
                <w:b w:val="false"/>
                <w:i w:val="false"/>
                <w:caps w:val="false"/>
                <w:smallCaps w:val="false"/>
                <w:sz w:val="16"/>
              </w:rPr>
              <w:t>outstanding</w:t>
            </w:r>
            <w:r>
              <w:rPr>
                <w:rFonts w:ascii="Times New Roman;Times;serif" w:hAnsi="Times New Roman;Times;serif"/>
                <w:sz w:val="16"/>
              </w:rPr>
              <w:t>, respectively</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72</w:t>
            </w:r>
          </w:p>
        </w:tc>
        <w:tc>
          <w:tcPr>
            <w:tcW w:w="32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w:t>
            </w:r>
          </w:p>
        </w:tc>
        <w:tc>
          <w:tcPr>
            <w:tcW w:w="95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71</w:t>
            </w:r>
          </w:p>
        </w:tc>
      </w:tr>
      <w:tr>
        <w:trPr/>
        <w:tc>
          <w:tcPr>
            <w:tcW w:w="769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16"/>
              </w:rPr>
              <w:t>Class B voting common stock, $0.001</w:t>
            </w:r>
            <w:r>
              <w:rPr>
                <w:rFonts w:ascii="Times New Roman;Times;serif" w:hAnsi="Times New Roman;Times;serif"/>
                <w:sz w:val="20"/>
              </w:rPr>
              <w:t xml:space="preserve"> </w:t>
            </w:r>
            <w:r>
              <w:rPr>
                <w:rFonts w:ascii="Times New Roman;Times;serif" w:hAnsi="Times New Roman;Times;serif"/>
                <w:sz w:val="16"/>
              </w:rPr>
              <w:t>par value, 150,000</w:t>
            </w:r>
            <w:r>
              <w:rPr>
                <w:rFonts w:ascii="Times New Roman;Times;serif" w:hAnsi="Times New Roman;Times;serif"/>
                <w:sz w:val="20"/>
              </w:rPr>
              <w:t xml:space="preserve"> </w:t>
            </w:r>
            <w:r>
              <w:rPr>
                <w:rFonts w:ascii="Times New Roman;Times;serif" w:hAnsi="Times New Roman;Times;serif"/>
                <w:sz w:val="16"/>
              </w:rPr>
              <w:t>shares authorized; 86,481</w:t>
            </w:r>
            <w:r>
              <w:rPr>
                <w:rFonts w:ascii="Times New Roman;Times;serif" w:hAnsi="Times New Roman;Times;serif"/>
                <w:sz w:val="20"/>
              </w:rPr>
              <w:t xml:space="preserve"> </w:t>
            </w:r>
            <w:r>
              <w:rPr>
                <w:rFonts w:ascii="Times New Roman;Times;serif" w:hAnsi="Times New Roman;Times;serif"/>
                <w:sz w:val="16"/>
              </w:rPr>
              <w:t>and 86,481</w:t>
            </w:r>
            <w:r>
              <w:rPr>
                <w:rFonts w:ascii="Times New Roman;Times;serif" w:hAnsi="Times New Roman;Times;serif"/>
                <w:sz w:val="20"/>
              </w:rPr>
              <w:t xml:space="preserve"> </w:t>
            </w:r>
            <w:r>
              <w:rPr>
                <w:rFonts w:ascii="Times New Roman;Times;serif" w:hAnsi="Times New Roman;Times;serif"/>
                <w:sz w:val="16"/>
              </w:rPr>
              <w:t xml:space="preserve">shares </w:t>
            </w:r>
            <w:r>
              <w:rPr>
                <w:rFonts w:ascii="Times New Roman;Times;serif" w:hAnsi="Times New Roman;Times;serif"/>
                <w:b w:val="false"/>
                <w:i w:val="false"/>
                <w:caps w:val="false"/>
                <w:smallCaps w:val="false"/>
                <w:sz w:val="16"/>
              </w:rPr>
              <w:t>issued</w:t>
            </w:r>
            <w:r>
              <w:rPr>
                <w:rFonts w:ascii="Times New Roman;Times;serif" w:hAnsi="Times New Roman;Times;serif"/>
                <w:sz w:val="20"/>
              </w:rPr>
              <w:t xml:space="preserve"> </w:t>
            </w:r>
            <w:r>
              <w:rPr>
                <w:rFonts w:ascii="Times New Roman;Times;serif" w:hAnsi="Times New Roman;Times;serif"/>
                <w:sz w:val="16"/>
              </w:rPr>
              <w:t xml:space="preserve">and </w:t>
            </w:r>
            <w:r>
              <w:rPr>
                <w:rFonts w:ascii="Times New Roman;Times;serif" w:hAnsi="Times New Roman;Times;serif"/>
                <w:b w:val="false"/>
                <w:i w:val="false"/>
                <w:caps w:val="false"/>
                <w:smallCaps w:val="false"/>
                <w:sz w:val="16"/>
              </w:rPr>
              <w:t>outstanding</w:t>
            </w:r>
            <w:r>
              <w:rPr>
                <w:rFonts w:ascii="Times New Roman;Times;serif" w:hAnsi="Times New Roman;Times;serif"/>
                <w:sz w:val="16"/>
              </w:rPr>
              <w:t>, respectively</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86</w:t>
            </w:r>
          </w:p>
        </w:tc>
        <w:tc>
          <w:tcPr>
            <w:tcW w:w="32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w:t>
            </w:r>
          </w:p>
        </w:tc>
        <w:tc>
          <w:tcPr>
            <w:tcW w:w="95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86</w:t>
            </w:r>
          </w:p>
        </w:tc>
      </w:tr>
      <w:tr>
        <w:trPr/>
        <w:tc>
          <w:tcPr>
            <w:tcW w:w="769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Additional paid in capital</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273,300</w:t>
            </w:r>
          </w:p>
        </w:tc>
        <w:tc>
          <w:tcPr>
            <w:tcW w:w="326" w:type="dxa"/>
            <w:tcBorders/>
            <w:vAlign w:val="center"/>
          </w:tcPr>
          <w:p>
            <w:pPr>
              <w:pStyle w:val="TableContents"/>
              <w:bidi w:val="0"/>
              <w:spacing w:before="0" w:after="1"/>
              <w:ind w:left="0" w:right="0" w:hanging="0"/>
              <w:jc w:val="left"/>
              <w:rPr/>
            </w:pPr>
            <w:r>
              <w:rPr/>
              <w:t>​</w:t>
            </w:r>
          </w:p>
        </w:tc>
        <w:tc>
          <w:tcPr>
            <w:tcW w:w="212" w:type="dxa"/>
            <w:tcBorders/>
            <w:vAlign w:val="center"/>
          </w:tcPr>
          <w:p>
            <w:pPr>
              <w:pStyle w:val="TableContents"/>
              <w:bidi w:val="0"/>
              <w:spacing w:before="0" w:after="1"/>
              <w:ind w:left="0" w:right="0" w:hanging="0"/>
              <w:jc w:val="left"/>
              <w:rPr/>
            </w:pPr>
            <w:r>
              <w:rPr/>
              <w:t>​</w:t>
            </w:r>
          </w:p>
        </w:tc>
        <w:tc>
          <w:tcPr>
            <w:tcW w:w="95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278,389</w:t>
            </w:r>
          </w:p>
        </w:tc>
      </w:tr>
      <w:tr>
        <w:trPr/>
        <w:tc>
          <w:tcPr>
            <w:tcW w:w="769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Accumulated deficit </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(42,185)</w:t>
            </w:r>
          </w:p>
        </w:tc>
        <w:tc>
          <w:tcPr>
            <w:tcW w:w="326" w:type="dxa"/>
            <w:tcBorders/>
            <w:shd w:fill="CCEEFF" w:val="clear"/>
            <w:vAlign w:val="center"/>
          </w:tcPr>
          <w:p>
            <w:pPr>
              <w:pStyle w:val="TableContents"/>
              <w:bidi w:val="0"/>
              <w:spacing w:before="0" w:after="1"/>
              <w:ind w:left="0" w:right="0" w:hanging="0"/>
              <w:jc w:val="left"/>
              <w:rPr/>
            </w:pPr>
            <w:r>
              <w:rPr/>
              <w:t>​</w:t>
            </w:r>
          </w:p>
        </w:tc>
        <w:tc>
          <w:tcPr>
            <w:tcW w:w="212" w:type="dxa"/>
            <w:tcBorders/>
            <w:shd w:fill="CCEEFF" w:val="clear"/>
            <w:vAlign w:val="center"/>
          </w:tcPr>
          <w:p>
            <w:pPr>
              <w:pStyle w:val="TableContents"/>
              <w:bidi w:val="0"/>
              <w:spacing w:before="0" w:after="1"/>
              <w:ind w:left="0" w:right="0" w:hanging="0"/>
              <w:jc w:val="left"/>
              <w:rPr/>
            </w:pPr>
            <w:r>
              <w:rPr/>
              <w:t> </w:t>
            </w:r>
          </w:p>
        </w:tc>
        <w:tc>
          <w:tcPr>
            <w:tcW w:w="95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(53,315)</w:t>
            </w:r>
          </w:p>
        </w:tc>
      </w:tr>
      <w:tr>
        <w:trPr/>
        <w:tc>
          <w:tcPr>
            <w:tcW w:w="769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Accumulated other comprehensive loss</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(30,783)</w:t>
            </w:r>
          </w:p>
        </w:tc>
        <w:tc>
          <w:tcPr>
            <w:tcW w:w="326" w:type="dxa"/>
            <w:tcBorders/>
            <w:vAlign w:val="center"/>
          </w:tcPr>
          <w:p>
            <w:pPr>
              <w:pStyle w:val="TableContents"/>
              <w:bidi w:val="0"/>
              <w:spacing w:before="0" w:after="1"/>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(45,879)</w:t>
            </w:r>
          </w:p>
        </w:tc>
      </w:tr>
      <w:tr>
        <w:trPr/>
        <w:tc>
          <w:tcPr>
            <w:tcW w:w="769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stockholders' equity</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200,490</w:t>
            </w:r>
          </w:p>
        </w:tc>
        <w:tc>
          <w:tcPr>
            <w:tcW w:w="326" w:type="dxa"/>
            <w:tcBorders/>
            <w:shd w:fill="CCEEFF" w:val="clear"/>
            <w:vAlign w:val="center"/>
          </w:tcPr>
          <w:p>
            <w:pPr>
              <w:pStyle w:val="TableContents"/>
              <w:bidi w:val="0"/>
              <w:spacing w:before="0" w:after="1"/>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179,352</w:t>
            </w:r>
          </w:p>
        </w:tc>
      </w:tr>
      <w:tr>
        <w:trPr/>
        <w:tc>
          <w:tcPr>
            <w:tcW w:w="769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liabilities and stockholders' equity</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1,154,144</w:t>
            </w:r>
          </w:p>
        </w:tc>
        <w:tc>
          <w:tcPr>
            <w:tcW w:w="326" w:type="dxa"/>
            <w:tcBorders/>
            <w:vAlign w:val="center"/>
          </w:tcPr>
          <w:p>
            <w:pPr>
              <w:pStyle w:val="TableContents"/>
              <w:bidi w:val="0"/>
              <w:spacing w:before="0" w:after="1"/>
              <w:ind w:left="0" w:right="0" w:hanging="0"/>
              <w:jc w:val="left"/>
              <w:rPr/>
            </w:pPr>
            <w:r>
              <w:rPr/>
              <w:t>​</w:t>
            </w:r>
          </w:p>
        </w:tc>
        <w:tc>
          <w:tcPr>
            <w:tcW w:w="21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5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1,166,791</w:t>
            </w:r>
          </w:p>
        </w:tc>
      </w:tr>
      <w:tr>
        <w:trPr/>
        <w:tc>
          <w:tcPr>
            <w:tcW w:w="10205" w:type="dxa"/>
            <w:gridSpan w:val="6"/>
            <w:tcBorders/>
            <w:vAlign w:val="center"/>
          </w:tcPr>
          <w:p>
            <w:pPr>
              <w:pStyle w:val="TableContents"/>
              <w:bidi w:val="0"/>
              <w:spacing w:before="0" w:after="1"/>
              <w:ind w:left="0" w:right="0" w:hanging="0"/>
              <w:jc w:val="left"/>
              <w:rPr/>
            </w:pPr>
            <w:r>
              <w:rPr/>
              <w:t>​</w:t>
            </w:r>
          </w:p>
        </w:tc>
      </w:tr>
    </w:tbl>
    <w:p>
      <w:pPr>
        <w:pStyle w:val="TextBody"/>
        <w:bidi w:val="0"/>
        <w:spacing w:before="0" w:after="0"/>
        <w:ind w:left="0" w:right="0" w:firstLine="360"/>
        <w:jc w:val="center"/>
        <w:rPr>
          <w:rFonts w:ascii="Times New Roman;Times;serif" w:hAnsi="Times New Roman;Times;serif"/>
          <w:sz w:val="20"/>
        </w:rPr>
      </w:pPr>
      <w:r>
        <w:rPr>
          <w:rFonts w:ascii="Times New Roman;Times;serif" w:hAnsi="Times New Roman;Times;serif"/>
          <w:sz w:val="20"/>
        </w:rPr>
        <w:t>The accompanying notes are an integral part of these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18"/>
        </w:rPr>
      </w:pPr>
      <w:bookmarkStart w:id="190" w:name="CondensedConsolidatedStatementsofCompre"/>
      <w:bookmarkStart w:id="191" w:name="_b820fdb3_2375_4ea9_906f_a6631f8c8552"/>
      <w:bookmarkEnd w:id="190"/>
      <w:bookmarkEnd w:id="191"/>
      <w:r>
        <w:rPr>
          <w:rFonts w:ascii="Times New Roman;Times;serif" w:hAnsi="Times New Roman;Times;serif"/>
          <w:b/>
          <w:sz w:val="18"/>
        </w:rPr>
        <w:t>Vertex, Inc. and Subsidiaries</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Condensed Consolidated Statements of Comprehensive Income (Loss) </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For the three months ended March 31, 2025 and 2024 (unaudited)</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(Amounts in thousands, except per share data)</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92" w:name="Tc_C46gmNwLSkSxABbrjHAjcQ_33_4"/>
      <w:bookmarkStart w:id="193" w:name="Tc_LfcKRZeniUeY-Uy7eFHyLA_33_1"/>
      <w:bookmarkStart w:id="194" w:name="Tc_dVAAwb4D30W7qplkd0scaQ_33_0"/>
      <w:bookmarkStart w:id="195" w:name="Tc_9BBtgFq4U0OrKzc0QLNECQ_32_4"/>
      <w:bookmarkStart w:id="196" w:name="Tc_jzFTHGBykky8Ss-UgG6aXw_32_1"/>
      <w:bookmarkStart w:id="197" w:name="Tc_tEBx1Mx8oUa966d0okcTgA_32_0"/>
      <w:bookmarkStart w:id="198" w:name="Tc_Vlc-l5ewf06kQrrgQjnLig_30_4"/>
      <w:bookmarkStart w:id="199" w:name="Tc_TVoUk2PIU0iZf6AY260MOg_30_1"/>
      <w:bookmarkStart w:id="200" w:name="Tc_4l0ojoOU50yB5WjByISLxA_30_0"/>
      <w:bookmarkStart w:id="201" w:name="Tc_4BeMj_fzjkePEUJBibZejQ_29_0"/>
      <w:bookmarkStart w:id="202" w:name="Tc_RtHRAThy9EK5QV0prpH9bw_28_0"/>
      <w:bookmarkStart w:id="203" w:name="Tc_bZkxeJTux06TjBZjaeLECw_27_0"/>
      <w:bookmarkStart w:id="204" w:name="Tc_Dxn0mPlD4E6OYhyvUd9EOw_26_0"/>
      <w:bookmarkStart w:id="205" w:name="Tc_twWnjZcdRkqfTn0Ii5ZFrw_25_0"/>
      <w:bookmarkStart w:id="206" w:name="Tc_NzgFNlegLEK64w3oIwqjiA_24_0"/>
      <w:bookmarkStart w:id="207" w:name="Tc_qsWx_2hL3UW8IH3EwKD7-w_23_0"/>
      <w:bookmarkStart w:id="208" w:name="Tc_Ci4LU0sH_UKhzIXa93xfog_22_0"/>
      <w:bookmarkStart w:id="209" w:name="Tc_c4WVQNuxZESujRjPZGhRUw_21_0"/>
      <w:bookmarkStart w:id="210" w:name="Tc_wFXbtpYhKkyicDAI5Jl_5g_20_0"/>
      <w:bookmarkStart w:id="211" w:name="Tc_I65Bn5IUm0OqPML9cKaPjw_19_0"/>
      <w:bookmarkStart w:id="212" w:name="Tc_vhsji685n0yZJTTCclLHkQ_18_5"/>
      <w:bookmarkStart w:id="213" w:name="Tc_V4a863Np2UOtQ7hkqyFj6g_18_0"/>
      <w:bookmarkStart w:id="214" w:name="Tc_iikf92yfd0axTeOEYIW7Dw_17_0"/>
      <w:bookmarkStart w:id="215" w:name="Tc_tRwLDaNXC0e4_hW4vGN4eg_16_0"/>
      <w:bookmarkStart w:id="216" w:name="Tc_dU4aohol70-6mC8vaKVyhg_15_0"/>
      <w:bookmarkStart w:id="217" w:name="Tc_2aBLsUDyvkWI5XY6ZIx4aw_14_0"/>
      <w:bookmarkStart w:id="218" w:name="Tc_3q38G_GGUUKdKfYJJ2lIoA_13_0"/>
      <w:bookmarkStart w:id="219" w:name="Tc_QawOBC2W70qq6vMBAKBTqg_12_0"/>
      <w:bookmarkStart w:id="220" w:name="Tc_OOdUXfu2ZUqx1ouXk9gN3g_11_0"/>
      <w:bookmarkStart w:id="221" w:name="Tc_N9Q2k7sda0mDWnpUAWMIGg_10_0"/>
      <w:bookmarkStart w:id="222" w:name="Tc_jgjuINZC7kysA-BJHWar5A_9_0"/>
      <w:bookmarkStart w:id="223" w:name="Tc_sJGHZBpgEU6FK-qZ9c4MSw_8_0"/>
      <w:bookmarkStart w:id="224" w:name="Tc_g8czIn4VaEKSUx-vX1DVYQ_7_0"/>
      <w:bookmarkStart w:id="225" w:name="Tc_z6edoB7gZEyKfPYYtkkG2A_6_0"/>
      <w:bookmarkStart w:id="226" w:name="Tc_Q1ORKbKTLEuXf8QXX9B3vg_5_4"/>
      <w:bookmarkStart w:id="227" w:name="Tc_gP-WXW8P-0G60iJyVl2_Rw_5_1"/>
      <w:bookmarkStart w:id="228" w:name="Tc_w1xM9VeU5UORfscRhtIMyA_5_0"/>
      <w:bookmarkStart w:id="229" w:name="Tc__pWY7odxAUyYikX_6ahxnA_4_0"/>
      <w:bookmarkStart w:id="230" w:name="Tc_TKWuRUn3jUGZrp-MKZ47MA_3_1"/>
      <w:bookmarkStart w:id="231" w:name="Tc_024y0itti0mNX5x-76rQWg_2_4"/>
      <w:bookmarkStart w:id="232" w:name="Tc_vyXaVw_wn0OSccSSUVOJNA_2_1"/>
      <w:bookmarkStart w:id="233" w:name="Tc_3V3eEeAL-UWV5KKsP1b_3w_1_1"/>
      <w:bookmarkStart w:id="234" w:name="_4efb1144_cceb_4af3_a271_720eb64a402b"/>
      <w:bookmarkStart w:id="235" w:name="_da92a681_7ae9_40d0_9170_477a36357bde"/>
      <w:bookmarkStart w:id="236" w:name="Tc_C46gmNwLSkSxABbrjHAjcQ_33_4"/>
      <w:bookmarkStart w:id="237" w:name="Tc_LfcKRZeniUeY-Uy7eFHyLA_33_1"/>
      <w:bookmarkStart w:id="238" w:name="Tc_dVAAwb4D30W7qplkd0scaQ_33_0"/>
      <w:bookmarkStart w:id="239" w:name="Tc_9BBtgFq4U0OrKzc0QLNECQ_32_4"/>
      <w:bookmarkStart w:id="240" w:name="Tc_jzFTHGBykky8Ss-UgG6aXw_32_1"/>
      <w:bookmarkStart w:id="241" w:name="Tc_tEBx1Mx8oUa966d0okcTgA_32_0"/>
      <w:bookmarkStart w:id="242" w:name="Tc_Vlc-l5ewf06kQrrgQjnLig_30_4"/>
      <w:bookmarkStart w:id="243" w:name="Tc_TVoUk2PIU0iZf6AY260MOg_30_1"/>
      <w:bookmarkStart w:id="244" w:name="Tc_4l0ojoOU50yB5WjByISLxA_30_0"/>
      <w:bookmarkStart w:id="245" w:name="Tc_4BeMj_fzjkePEUJBibZejQ_29_0"/>
      <w:bookmarkStart w:id="246" w:name="Tc_RtHRAThy9EK5QV0prpH9bw_28_0"/>
      <w:bookmarkStart w:id="247" w:name="Tc_bZkxeJTux06TjBZjaeLECw_27_0"/>
      <w:bookmarkStart w:id="248" w:name="Tc_Dxn0mPlD4E6OYhyvUd9EOw_26_0"/>
      <w:bookmarkStart w:id="249" w:name="Tc_twWnjZcdRkqfTn0Ii5ZFrw_25_0"/>
      <w:bookmarkStart w:id="250" w:name="Tc_NzgFNlegLEK64w3oIwqjiA_24_0"/>
      <w:bookmarkStart w:id="251" w:name="Tc_qsWx_2hL3UW8IH3EwKD7-w_23_0"/>
      <w:bookmarkStart w:id="252" w:name="Tc_Ci4LU0sH_UKhzIXa93xfog_22_0"/>
      <w:bookmarkStart w:id="253" w:name="Tc_c4WVQNuxZESujRjPZGhRUw_21_0"/>
      <w:bookmarkStart w:id="254" w:name="Tc_wFXbtpYhKkyicDAI5Jl_5g_20_0"/>
      <w:bookmarkStart w:id="255" w:name="Tc_I65Bn5IUm0OqPML9cKaPjw_19_0"/>
      <w:bookmarkStart w:id="256" w:name="Tc_vhsji685n0yZJTTCclLHkQ_18_5"/>
      <w:bookmarkStart w:id="257" w:name="Tc_V4a863Np2UOtQ7hkqyFj6g_18_0"/>
      <w:bookmarkStart w:id="258" w:name="Tc_iikf92yfd0axTeOEYIW7Dw_17_0"/>
      <w:bookmarkStart w:id="259" w:name="Tc_tRwLDaNXC0e4_hW4vGN4eg_16_0"/>
      <w:bookmarkStart w:id="260" w:name="Tc_dU4aohol70-6mC8vaKVyhg_15_0"/>
      <w:bookmarkStart w:id="261" w:name="Tc_2aBLsUDyvkWI5XY6ZIx4aw_14_0"/>
      <w:bookmarkStart w:id="262" w:name="Tc_3q38G_GGUUKdKfYJJ2lIoA_13_0"/>
      <w:bookmarkStart w:id="263" w:name="Tc_QawOBC2W70qq6vMBAKBTqg_12_0"/>
      <w:bookmarkStart w:id="264" w:name="Tc_OOdUXfu2ZUqx1ouXk9gN3g_11_0"/>
      <w:bookmarkStart w:id="265" w:name="Tc_N9Q2k7sda0mDWnpUAWMIGg_10_0"/>
      <w:bookmarkStart w:id="266" w:name="Tc_jgjuINZC7kysA-BJHWar5A_9_0"/>
      <w:bookmarkStart w:id="267" w:name="Tc_sJGHZBpgEU6FK-qZ9c4MSw_8_0"/>
      <w:bookmarkStart w:id="268" w:name="Tc_g8czIn4VaEKSUx-vX1DVYQ_7_0"/>
      <w:bookmarkStart w:id="269" w:name="Tc_z6edoB7gZEyKfPYYtkkG2A_6_0"/>
      <w:bookmarkStart w:id="270" w:name="Tc_Q1ORKbKTLEuXf8QXX9B3vg_5_4"/>
      <w:bookmarkStart w:id="271" w:name="Tc_gP-WXW8P-0G60iJyVl2_Rw_5_1"/>
      <w:bookmarkStart w:id="272" w:name="Tc_w1xM9VeU5UORfscRhtIMyA_5_0"/>
      <w:bookmarkStart w:id="273" w:name="Tc__pWY7odxAUyYikX_6ahxnA_4_0"/>
      <w:bookmarkStart w:id="274" w:name="Tc_TKWuRUn3jUGZrp-MKZ47MA_3_1"/>
      <w:bookmarkStart w:id="275" w:name="Tc_024y0itti0mNX5x-76rQWg_2_4"/>
      <w:bookmarkStart w:id="276" w:name="Tc_vyXaVw_wn0OSccSSUVOJNA_2_1"/>
      <w:bookmarkStart w:id="277" w:name="Tc_3V3eEeAL-UWV5KKsP1b_3w_1_1"/>
      <w:bookmarkStart w:id="278" w:name="_4efb1144_cceb_4af3_a271_720eb64a402b"/>
      <w:bookmarkStart w:id="279" w:name="_da92a681_7ae9_40d0_9170_477a36357bde"/>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p>
    <w:tbl>
      <w:tblPr>
        <w:tblW w:w="6645" w:type="dxa"/>
        <w:jc w:val="left"/>
        <w:tblInd w:w="0" w:type="dxa"/>
        <w:tblLayout w:type="fixed"/>
        <w:tblCellMar>
          <w:top w:w="0" w:type="dxa"/>
          <w:left w:w="0" w:type="dxa"/>
          <w:bottom w:w="0" w:type="dxa"/>
          <w:right w:w="0" w:type="dxa"/>
        </w:tblCellMar>
      </w:tblPr>
      <w:tblGrid>
        <w:gridCol w:w="4036"/>
        <w:gridCol w:w="235"/>
        <w:gridCol w:w="865"/>
        <w:gridCol w:w="391"/>
        <w:gridCol w:w="235"/>
        <w:gridCol w:w="883"/>
      </w:tblGrid>
      <w:tr>
        <w:trPr/>
        <w:tc>
          <w:tcPr>
            <w:tcW w:w="4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2562860" cy="175260"/>
                      <wp:effectExtent l="0" t="0" r="0" b="0"/>
                      <wp:wrapNone/>
                      <wp:docPr id="7" name="Frame7"/>
                      <a:graphic xmlns:a="http://schemas.openxmlformats.org/drawingml/2006/main">
                        <a:graphicData uri="http://schemas.microsoft.com/office/word/2010/wordprocessingShape">
                          <wps:wsp>
                            <wps:cNvSpPr txBox="1"/>
                            <wps:spPr>
                              <a:xfrm>
                                <a:off x="0" y="0"/>
                                <a:ext cx="2562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149225" cy="175260"/>
                      <wp:effectExtent l="0" t="0" r="0" b="0"/>
                      <wp:wrapNone/>
                      <wp:docPr id="8" name="Frame8"/>
                      <a:graphic xmlns:a="http://schemas.openxmlformats.org/drawingml/2006/main">
                        <a:graphicData uri="http://schemas.microsoft.com/office/word/2010/wordprocessingShape">
                          <wps:wsp>
                            <wps:cNvSpPr txBox="1"/>
                            <wps:spPr>
                              <a:xfrm>
                                <a:off x="0" y="0"/>
                                <a:ext cx="1492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549275" cy="175260"/>
                      <wp:effectExtent l="0" t="0" r="0" b="0"/>
                      <wp:wrapNone/>
                      <wp:docPr id="9" name="Frame9"/>
                      <a:graphic xmlns:a="http://schemas.openxmlformats.org/drawingml/2006/main">
                        <a:graphicData uri="http://schemas.microsoft.com/office/word/2010/wordprocessingShape">
                          <wps:wsp>
                            <wps:cNvSpPr txBox="1"/>
                            <wps:spPr>
                              <a:xfrm>
                                <a:off x="0" y="0"/>
                                <a:ext cx="5492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48285" cy="175260"/>
                      <wp:effectExtent l="0" t="0" r="0" b="0"/>
                      <wp:wrapNone/>
                      <wp:docPr id="10" name="Frame10"/>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49225" cy="175260"/>
                      <wp:effectExtent l="0" t="0" r="0" b="0"/>
                      <wp:wrapNone/>
                      <wp:docPr id="11" name="Frame11"/>
                      <a:graphic xmlns:a="http://schemas.openxmlformats.org/drawingml/2006/main">
                        <a:graphicData uri="http://schemas.microsoft.com/office/word/2010/wordprocessingShape">
                          <wps:wsp>
                            <wps:cNvSpPr txBox="1"/>
                            <wps:spPr>
                              <a:xfrm>
                                <a:off x="0" y="0"/>
                                <a:ext cx="1492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560705" cy="175260"/>
                      <wp:effectExtent l="0" t="0" r="0" b="0"/>
                      <wp:wrapNone/>
                      <wp:docPr id="12" name="Frame12"/>
                      <a:graphic xmlns:a="http://schemas.openxmlformats.org/drawingml/2006/main">
                        <a:graphicData uri="http://schemas.microsoft.com/office/word/2010/wordprocessingShape">
                          <wps:wsp>
                            <wps:cNvSpPr txBox="1"/>
                            <wps:spPr>
                              <a:xfrm>
                                <a:off x="0" y="0"/>
                                <a:ext cx="5607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036" w:type="dxa"/>
            <w:tcBorders/>
            <w:vAlign w:val="center"/>
          </w:tcPr>
          <w:p>
            <w:pPr>
              <w:pStyle w:val="TableContents"/>
              <w:bidi w:val="0"/>
              <w:spacing w:before="0" w:after="1"/>
              <w:ind w:left="0" w:right="0" w:hanging="0"/>
              <w:jc w:val="left"/>
              <w:rPr/>
            </w:pPr>
            <w:r>
              <w:rPr/>
              <w:t>​</w:t>
            </w:r>
          </w:p>
        </w:tc>
        <w:tc>
          <w:tcPr>
            <w:tcW w:w="260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Three months ended March 31, </w:t>
            </w:r>
          </w:p>
        </w:tc>
      </w:tr>
      <w:tr>
        <w:trPr/>
        <w:tc>
          <w:tcPr>
            <w:tcW w:w="4036" w:type="dxa"/>
            <w:tcBorders/>
            <w:vAlign w:val="center"/>
          </w:tcPr>
          <w:p>
            <w:pPr>
              <w:pStyle w:val="TableContents"/>
              <w:bidi w:val="0"/>
              <w:spacing w:before="0" w:after="1"/>
              <w:ind w:left="0" w:right="0" w:hanging="0"/>
              <w:jc w:val="left"/>
              <w:rPr/>
            </w:pPr>
            <w:r>
              <w:rPr/>
              <w:t>​</w:t>
            </w:r>
          </w:p>
        </w:tc>
        <w:tc>
          <w:tcPr>
            <w:tcW w:w="110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91" w:type="dxa"/>
            <w:tcBorders/>
            <w:vAlign w:val="center"/>
          </w:tcPr>
          <w:p>
            <w:pPr>
              <w:pStyle w:val="TableContents"/>
              <w:bidi w:val="0"/>
              <w:spacing w:before="0" w:after="1"/>
              <w:ind w:left="0" w:right="0" w:hanging="0"/>
              <w:jc w:val="center"/>
              <w:rPr/>
            </w:pPr>
            <w:r>
              <w:rPr/>
              <w:t>​</w:t>
            </w:r>
          </w:p>
        </w:tc>
        <w:tc>
          <w:tcPr>
            <w:tcW w:w="111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2024</w:t>
            </w:r>
          </w:p>
        </w:tc>
      </w:tr>
      <w:tr>
        <w:trPr/>
        <w:tc>
          <w:tcPr>
            <w:tcW w:w="6645" w:type="dxa"/>
            <w:gridSpan w:val="6"/>
            <w:tcBorders/>
            <w:vAlign w:val="center"/>
          </w:tcPr>
          <w:p>
            <w:pPr>
              <w:pStyle w:val="TableContents"/>
              <w:bidi w:val="0"/>
              <w:spacing w:before="0" w:after="283"/>
              <w:ind w:left="0" w:right="0" w:hanging="0"/>
              <w:jc w:val="left"/>
              <w:rPr>
                <w:sz w:val="4"/>
                <w:szCs w:val="4"/>
              </w:rPr>
            </w:pPr>
            <w:r>
              <w:rPr>
                <w:sz w:val="4"/>
                <w:szCs w:val="4"/>
              </w:rPr>
            </w:r>
          </w:p>
        </w:tc>
      </w:tr>
      <w:tr>
        <w:trPr/>
        <w:tc>
          <w:tcPr>
            <w:tcW w:w="4036" w:type="dxa"/>
            <w:tcBorders/>
            <w:vAlign w:val="center"/>
          </w:tcPr>
          <w:p>
            <w:pPr>
              <w:pStyle w:val="TableContents"/>
              <w:bidi w:val="0"/>
              <w:spacing w:before="0" w:after="1"/>
              <w:ind w:left="0" w:right="0" w:hanging="0"/>
              <w:jc w:val="left"/>
              <w:rPr/>
            </w:pPr>
            <w:r>
              <w:rPr/>
              <w:t>​</w:t>
            </w:r>
          </w:p>
        </w:tc>
        <w:tc>
          <w:tcPr>
            <w:tcW w:w="2609" w:type="dxa"/>
            <w:gridSpan w:val="5"/>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(unaudited)</w:t>
            </w:r>
          </w:p>
        </w:tc>
      </w:tr>
      <w:tr>
        <w:trPr/>
        <w:tc>
          <w:tcPr>
            <w:tcW w:w="4036" w:type="dxa"/>
            <w:tcBorders/>
            <w:shd w:fill="CCEEFF" w:val="clear"/>
            <w:vAlign w:val="center"/>
          </w:tcPr>
          <w:p>
            <w:pPr>
              <w:pStyle w:val="TableContents"/>
              <w:bidi w:val="0"/>
              <w:spacing w:before="0" w:after="1"/>
              <w:ind w:left="0" w:right="0" w:hanging="0"/>
              <w:jc w:val="both"/>
              <w:rPr>
                <w:rFonts w:ascii="Times New Roman;Times;serif" w:hAnsi="Times New Roman;Times;serif"/>
                <w:sz w:val="18"/>
              </w:rPr>
            </w:pPr>
            <w:r>
              <w:rPr>
                <w:rFonts w:ascii="Times New Roman;Times;serif" w:hAnsi="Times New Roman;Times;serif"/>
                <w:sz w:val="18"/>
              </w:rPr>
              <w:t>Revenues:</w:t>
            </w:r>
          </w:p>
        </w:tc>
        <w:tc>
          <w:tcPr>
            <w:tcW w:w="235" w:type="dxa"/>
            <w:tcBorders/>
            <w:shd w:fill="CCEEFF" w:val="clear"/>
            <w:vAlign w:val="center"/>
          </w:tcPr>
          <w:p>
            <w:pPr>
              <w:pStyle w:val="TableContents"/>
              <w:bidi w:val="0"/>
              <w:spacing w:before="0" w:after="1"/>
              <w:ind w:left="0" w:right="0" w:hanging="0"/>
              <w:jc w:val="left"/>
              <w:rPr/>
            </w:pPr>
            <w:r>
              <w:rPr/>
              <w:t>​</w:t>
            </w:r>
          </w:p>
        </w:tc>
        <w:tc>
          <w:tcPr>
            <w:tcW w:w="865" w:type="dxa"/>
            <w:tcBorders/>
            <w:shd w:fill="CCEEFF" w:val="clear"/>
            <w:vAlign w:val="center"/>
          </w:tcPr>
          <w:p>
            <w:pPr>
              <w:pStyle w:val="TableContents"/>
              <w:bidi w:val="0"/>
              <w:spacing w:before="0" w:after="1"/>
              <w:ind w:left="0" w:right="0" w:hanging="0"/>
              <w:jc w:val="left"/>
              <w:rPr/>
            </w:pPr>
            <w:r>
              <w:rPr/>
              <w:t>​</w:t>
            </w:r>
          </w:p>
        </w:tc>
        <w:tc>
          <w:tcPr>
            <w:tcW w:w="391" w:type="dxa"/>
            <w:tcBorders/>
            <w:shd w:fill="CCEEFF" w:val="clear"/>
            <w:vAlign w:val="center"/>
          </w:tcPr>
          <w:p>
            <w:pPr>
              <w:pStyle w:val="TableContents"/>
              <w:bidi w:val="0"/>
              <w:spacing w:before="0" w:after="1"/>
              <w:ind w:left="0" w:right="0" w:hanging="0"/>
              <w:jc w:val="left"/>
              <w:rPr/>
            </w:pPr>
            <w:r>
              <w:rPr/>
              <w:t>    </w:t>
            </w:r>
          </w:p>
        </w:tc>
        <w:tc>
          <w:tcPr>
            <w:tcW w:w="235" w:type="dxa"/>
            <w:tcBorders/>
            <w:shd w:fill="CCEEFF" w:val="clear"/>
            <w:vAlign w:val="center"/>
          </w:tcPr>
          <w:p>
            <w:pPr>
              <w:pStyle w:val="TableContents"/>
              <w:bidi w:val="0"/>
              <w:spacing w:before="0" w:after="1"/>
              <w:ind w:left="0" w:right="0" w:hanging="0"/>
              <w:jc w:val="left"/>
              <w:rPr/>
            </w:pPr>
            <w:r>
              <w:rPr/>
              <w:t>​</w:t>
            </w:r>
          </w:p>
        </w:tc>
        <w:tc>
          <w:tcPr>
            <w:tcW w:w="883" w:type="dxa"/>
            <w:tcBorders/>
            <w:shd w:fill="CCEEFF" w:val="clear"/>
            <w:vAlign w:val="center"/>
          </w:tcPr>
          <w:p>
            <w:pPr>
              <w:pStyle w:val="TableContents"/>
              <w:bidi w:val="0"/>
              <w:spacing w:before="0" w:after="1"/>
              <w:ind w:left="0" w:right="0" w:hanging="0"/>
              <w:jc w:val="left"/>
              <w:rPr/>
            </w:pPr>
            <w:r>
              <w:rPr/>
              <w:t>​</w:t>
            </w:r>
          </w:p>
        </w:tc>
      </w:tr>
      <w:tr>
        <w:trPr/>
        <w:tc>
          <w:tcPr>
            <w:tcW w:w="403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Software subscriptions</w:t>
            </w:r>
          </w:p>
        </w:tc>
        <w:tc>
          <w:tcPr>
            <w:tcW w:w="235"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6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150,761</w:t>
            </w:r>
          </w:p>
        </w:tc>
        <w:tc>
          <w:tcPr>
            <w:tcW w:w="391"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8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131,830</w:t>
            </w:r>
          </w:p>
        </w:tc>
      </w:tr>
      <w:tr>
        <w:trPr/>
        <w:tc>
          <w:tcPr>
            <w:tcW w:w="40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Services</w:t>
            </w:r>
          </w:p>
        </w:tc>
        <w:tc>
          <w:tcPr>
            <w:tcW w:w="23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6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26,301</w:t>
            </w:r>
          </w:p>
        </w:tc>
        <w:tc>
          <w:tcPr>
            <w:tcW w:w="391" w:type="dxa"/>
            <w:tcBorders/>
            <w:shd w:fill="CCEEFF" w:val="clear"/>
            <w:vAlign w:val="center"/>
          </w:tcPr>
          <w:p>
            <w:pPr>
              <w:pStyle w:val="TableContents"/>
              <w:bidi w:val="0"/>
              <w:spacing w:before="0" w:after="1"/>
              <w:ind w:left="0" w:right="0" w:hanging="0"/>
              <w:jc w:val="left"/>
              <w:rPr/>
            </w:pPr>
            <w:r>
              <w:rPr/>
              <w:t>​</w:t>
            </w:r>
          </w:p>
        </w:tc>
        <w:tc>
          <w:tcPr>
            <w:tcW w:w="23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24,951</w:t>
            </w:r>
          </w:p>
        </w:tc>
      </w:tr>
      <w:tr>
        <w:trPr/>
        <w:tc>
          <w:tcPr>
            <w:tcW w:w="403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revenues</w:t>
            </w:r>
          </w:p>
        </w:tc>
        <w:tc>
          <w:tcPr>
            <w:tcW w:w="23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6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177,062</w:t>
            </w:r>
          </w:p>
        </w:tc>
        <w:tc>
          <w:tcPr>
            <w:tcW w:w="391" w:type="dxa"/>
            <w:tcBorders/>
            <w:vAlign w:val="center"/>
          </w:tcPr>
          <w:p>
            <w:pPr>
              <w:pStyle w:val="TableContents"/>
              <w:bidi w:val="0"/>
              <w:spacing w:before="0" w:after="1"/>
              <w:ind w:left="0" w:right="0" w:hanging="0"/>
              <w:jc w:val="left"/>
              <w:rPr/>
            </w:pPr>
            <w:r>
              <w:rPr/>
              <w:t>​</w:t>
            </w:r>
          </w:p>
        </w:tc>
        <w:tc>
          <w:tcPr>
            <w:tcW w:w="23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8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156,781</w:t>
            </w:r>
          </w:p>
        </w:tc>
      </w:tr>
      <w:tr>
        <w:trPr/>
        <w:tc>
          <w:tcPr>
            <w:tcW w:w="4036" w:type="dxa"/>
            <w:tcBorders/>
            <w:shd w:fill="CCEEFF" w:val="clear"/>
            <w:vAlign w:val="center"/>
          </w:tcPr>
          <w:p>
            <w:pPr>
              <w:pStyle w:val="TableContents"/>
              <w:bidi w:val="0"/>
              <w:spacing w:before="0" w:after="1"/>
              <w:ind w:left="0" w:right="0" w:hanging="0"/>
              <w:jc w:val="both"/>
              <w:rPr>
                <w:rFonts w:ascii="Times New Roman;Times;serif" w:hAnsi="Times New Roman;Times;serif"/>
                <w:sz w:val="18"/>
              </w:rPr>
            </w:pPr>
            <w:r>
              <w:rPr>
                <w:rFonts w:ascii="Times New Roman;Times;serif" w:hAnsi="Times New Roman;Times;serif"/>
                <w:sz w:val="18"/>
              </w:rPr>
              <w:t>Cost of revenues:</w:t>
            </w:r>
          </w:p>
        </w:tc>
        <w:tc>
          <w:tcPr>
            <w:tcW w:w="235" w:type="dxa"/>
            <w:tcBorders/>
            <w:shd w:fill="CCEEFF" w:val="clear"/>
            <w:vAlign w:val="center"/>
          </w:tcPr>
          <w:p>
            <w:pPr>
              <w:pStyle w:val="TableContents"/>
              <w:bidi w:val="0"/>
              <w:spacing w:before="0" w:after="1"/>
              <w:ind w:left="0" w:right="0" w:hanging="0"/>
              <w:jc w:val="left"/>
              <w:rPr/>
            </w:pPr>
            <w:r>
              <w:rPr/>
              <w:t>​</w:t>
            </w:r>
          </w:p>
        </w:tc>
        <w:tc>
          <w:tcPr>
            <w:tcW w:w="865" w:type="dxa"/>
            <w:tcBorders/>
            <w:shd w:fill="CCEEFF" w:val="clear"/>
            <w:vAlign w:val="center"/>
          </w:tcPr>
          <w:p>
            <w:pPr>
              <w:pStyle w:val="TableContents"/>
              <w:bidi w:val="0"/>
              <w:spacing w:before="0" w:after="1"/>
              <w:ind w:left="0" w:right="0" w:hanging="0"/>
              <w:jc w:val="right"/>
              <w:rPr/>
            </w:pPr>
            <w:r>
              <w:rPr/>
              <w:t>​</w:t>
            </w:r>
          </w:p>
        </w:tc>
        <w:tc>
          <w:tcPr>
            <w:tcW w:w="391"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pPr>
            <w:r>
              <w:rPr/>
              <w:t>​</w:t>
            </w:r>
          </w:p>
        </w:tc>
        <w:tc>
          <w:tcPr>
            <w:tcW w:w="883" w:type="dxa"/>
            <w:tcBorders/>
            <w:shd w:fill="CCEEFF" w:val="clear"/>
            <w:vAlign w:val="center"/>
          </w:tcPr>
          <w:p>
            <w:pPr>
              <w:pStyle w:val="TableContents"/>
              <w:bidi w:val="0"/>
              <w:spacing w:before="0" w:after="1"/>
              <w:ind w:left="0" w:right="0" w:hanging="0"/>
              <w:jc w:val="right"/>
              <w:rPr/>
            </w:pPr>
            <w:r>
              <w:rPr/>
              <w:t>​</w:t>
            </w:r>
          </w:p>
        </w:tc>
      </w:tr>
      <w:tr>
        <w:trPr/>
        <w:tc>
          <w:tcPr>
            <w:tcW w:w="403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Software subscriptions</w:t>
            </w:r>
          </w:p>
        </w:tc>
        <w:tc>
          <w:tcPr>
            <w:tcW w:w="235" w:type="dxa"/>
            <w:tcBorders/>
            <w:vAlign w:val="center"/>
          </w:tcPr>
          <w:p>
            <w:pPr>
              <w:pStyle w:val="TableContents"/>
              <w:bidi w:val="0"/>
              <w:spacing w:before="0" w:after="1"/>
              <w:ind w:left="0" w:right="0" w:hanging="0"/>
              <w:jc w:val="left"/>
              <w:rPr/>
            </w:pPr>
            <w:r>
              <w:rPr/>
              <w:t>​</w:t>
            </w:r>
          </w:p>
        </w:tc>
        <w:tc>
          <w:tcPr>
            <w:tcW w:w="86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44,245</w:t>
            </w:r>
          </w:p>
        </w:tc>
        <w:tc>
          <w:tcPr>
            <w:tcW w:w="391"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pPr>
            <w:r>
              <w:rPr/>
              <w:t>​</w:t>
            </w:r>
          </w:p>
        </w:tc>
        <w:tc>
          <w:tcPr>
            <w:tcW w:w="88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45,128</w:t>
            </w:r>
          </w:p>
        </w:tc>
      </w:tr>
      <w:tr>
        <w:trPr/>
        <w:tc>
          <w:tcPr>
            <w:tcW w:w="40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Services</w:t>
            </w:r>
          </w:p>
        </w:tc>
        <w:tc>
          <w:tcPr>
            <w:tcW w:w="23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6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19,823</w:t>
            </w:r>
          </w:p>
        </w:tc>
        <w:tc>
          <w:tcPr>
            <w:tcW w:w="391" w:type="dxa"/>
            <w:tcBorders/>
            <w:shd w:fill="CCEEFF" w:val="clear"/>
            <w:vAlign w:val="center"/>
          </w:tcPr>
          <w:p>
            <w:pPr>
              <w:pStyle w:val="TableContents"/>
              <w:bidi w:val="0"/>
              <w:spacing w:before="0" w:after="1"/>
              <w:ind w:left="0" w:right="0" w:hanging="0"/>
              <w:jc w:val="left"/>
              <w:rPr/>
            </w:pPr>
            <w:r>
              <w:rPr/>
              <w:t>​</w:t>
            </w:r>
          </w:p>
        </w:tc>
        <w:tc>
          <w:tcPr>
            <w:tcW w:w="23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15,861</w:t>
            </w:r>
          </w:p>
        </w:tc>
      </w:tr>
      <w:tr>
        <w:trPr/>
        <w:tc>
          <w:tcPr>
            <w:tcW w:w="403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cost of revenues</w:t>
            </w:r>
          </w:p>
        </w:tc>
        <w:tc>
          <w:tcPr>
            <w:tcW w:w="23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6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64,068</w:t>
            </w:r>
          </w:p>
        </w:tc>
        <w:tc>
          <w:tcPr>
            <w:tcW w:w="391" w:type="dxa"/>
            <w:tcBorders/>
            <w:vAlign w:val="center"/>
          </w:tcPr>
          <w:p>
            <w:pPr>
              <w:pStyle w:val="TableContents"/>
              <w:bidi w:val="0"/>
              <w:spacing w:before="0" w:after="1"/>
              <w:ind w:left="0" w:right="0" w:hanging="0"/>
              <w:jc w:val="left"/>
              <w:rPr/>
            </w:pPr>
            <w:r>
              <w:rPr/>
              <w:t>​</w:t>
            </w:r>
          </w:p>
        </w:tc>
        <w:tc>
          <w:tcPr>
            <w:tcW w:w="23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8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60,989</w:t>
            </w:r>
          </w:p>
        </w:tc>
      </w:tr>
      <w:tr>
        <w:trPr/>
        <w:tc>
          <w:tcPr>
            <w:tcW w:w="40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Gross profit</w:t>
            </w:r>
          </w:p>
        </w:tc>
        <w:tc>
          <w:tcPr>
            <w:tcW w:w="23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6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112,994</w:t>
            </w:r>
          </w:p>
        </w:tc>
        <w:tc>
          <w:tcPr>
            <w:tcW w:w="391" w:type="dxa"/>
            <w:tcBorders/>
            <w:shd w:fill="CCEEFF" w:val="clear"/>
            <w:vAlign w:val="center"/>
          </w:tcPr>
          <w:p>
            <w:pPr>
              <w:pStyle w:val="TableContents"/>
              <w:bidi w:val="0"/>
              <w:spacing w:before="0" w:after="1"/>
              <w:ind w:left="0" w:right="0" w:hanging="0"/>
              <w:jc w:val="left"/>
              <w:rPr/>
            </w:pPr>
            <w:r>
              <w:rPr/>
              <w:t>​</w:t>
            </w:r>
          </w:p>
        </w:tc>
        <w:tc>
          <w:tcPr>
            <w:tcW w:w="23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95,792</w:t>
            </w:r>
          </w:p>
        </w:tc>
      </w:tr>
      <w:tr>
        <w:trPr/>
        <w:tc>
          <w:tcPr>
            <w:tcW w:w="4036" w:type="dxa"/>
            <w:tcBorders/>
            <w:vAlign w:val="center"/>
          </w:tcPr>
          <w:p>
            <w:pPr>
              <w:pStyle w:val="TableContents"/>
              <w:bidi w:val="0"/>
              <w:spacing w:before="0" w:after="1"/>
              <w:ind w:left="0" w:right="0" w:hanging="0"/>
              <w:jc w:val="both"/>
              <w:rPr>
                <w:rFonts w:ascii="Times New Roman;Times;serif" w:hAnsi="Times New Roman;Times;serif"/>
                <w:sz w:val="18"/>
              </w:rPr>
            </w:pPr>
            <w:r>
              <w:rPr>
                <w:rFonts w:ascii="Times New Roman;Times;serif" w:hAnsi="Times New Roman;Times;serif"/>
                <w:sz w:val="18"/>
              </w:rPr>
              <w:t>Operating expenses:</w:t>
            </w:r>
          </w:p>
        </w:tc>
        <w:tc>
          <w:tcPr>
            <w:tcW w:w="235" w:type="dxa"/>
            <w:tcBorders/>
            <w:vAlign w:val="center"/>
          </w:tcPr>
          <w:p>
            <w:pPr>
              <w:pStyle w:val="TableContents"/>
              <w:bidi w:val="0"/>
              <w:spacing w:before="0" w:after="1"/>
              <w:ind w:left="0" w:right="0" w:hanging="0"/>
              <w:jc w:val="left"/>
              <w:rPr/>
            </w:pPr>
            <w:r>
              <w:rPr/>
              <w:t>​</w:t>
            </w:r>
          </w:p>
        </w:tc>
        <w:tc>
          <w:tcPr>
            <w:tcW w:w="865" w:type="dxa"/>
            <w:tcBorders/>
            <w:vAlign w:val="center"/>
          </w:tcPr>
          <w:p>
            <w:pPr>
              <w:pStyle w:val="TableContents"/>
              <w:bidi w:val="0"/>
              <w:spacing w:before="0" w:after="1"/>
              <w:ind w:left="0" w:right="0" w:hanging="0"/>
              <w:jc w:val="right"/>
              <w:rPr/>
            </w:pPr>
            <w:r>
              <w:rPr/>
              <w:t>​</w:t>
            </w:r>
          </w:p>
        </w:tc>
        <w:tc>
          <w:tcPr>
            <w:tcW w:w="391"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pPr>
            <w:r>
              <w:rPr/>
              <w:t>​</w:t>
            </w:r>
          </w:p>
        </w:tc>
        <w:tc>
          <w:tcPr>
            <w:tcW w:w="883" w:type="dxa"/>
            <w:tcBorders/>
            <w:vAlign w:val="center"/>
          </w:tcPr>
          <w:p>
            <w:pPr>
              <w:pStyle w:val="TableContents"/>
              <w:bidi w:val="0"/>
              <w:spacing w:before="0" w:after="1"/>
              <w:ind w:left="0" w:right="0" w:hanging="0"/>
              <w:jc w:val="right"/>
              <w:rPr/>
            </w:pPr>
            <w:r>
              <w:rPr/>
              <w:t>​</w:t>
            </w:r>
          </w:p>
        </w:tc>
      </w:tr>
      <w:tr>
        <w:trPr/>
        <w:tc>
          <w:tcPr>
            <w:tcW w:w="40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Research and development</w:t>
            </w:r>
          </w:p>
        </w:tc>
        <w:tc>
          <w:tcPr>
            <w:tcW w:w="235" w:type="dxa"/>
            <w:tcBorders/>
            <w:shd w:fill="CCEEFF" w:val="clear"/>
            <w:vAlign w:val="center"/>
          </w:tcPr>
          <w:p>
            <w:pPr>
              <w:pStyle w:val="TableContents"/>
              <w:bidi w:val="0"/>
              <w:spacing w:before="0" w:after="1"/>
              <w:ind w:left="0" w:right="0" w:hanging="0"/>
              <w:jc w:val="left"/>
              <w:rPr/>
            </w:pPr>
            <w:r>
              <w:rPr/>
              <w:t>​</w:t>
            </w:r>
          </w:p>
        </w:tc>
        <w:tc>
          <w:tcPr>
            <w:tcW w:w="86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20,886</w:t>
            </w:r>
          </w:p>
        </w:tc>
        <w:tc>
          <w:tcPr>
            <w:tcW w:w="391"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pPr>
            <w:r>
              <w:rPr/>
              <w:t>​</w:t>
            </w:r>
          </w:p>
        </w:tc>
        <w:tc>
          <w:tcPr>
            <w:tcW w:w="88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16,845</w:t>
            </w:r>
          </w:p>
        </w:tc>
      </w:tr>
      <w:tr>
        <w:trPr/>
        <w:tc>
          <w:tcPr>
            <w:tcW w:w="403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Selling and marketing</w:t>
            </w:r>
          </w:p>
        </w:tc>
        <w:tc>
          <w:tcPr>
            <w:tcW w:w="235" w:type="dxa"/>
            <w:tcBorders/>
            <w:vAlign w:val="center"/>
          </w:tcPr>
          <w:p>
            <w:pPr>
              <w:pStyle w:val="TableContents"/>
              <w:bidi w:val="0"/>
              <w:spacing w:before="0" w:after="1"/>
              <w:ind w:left="0" w:right="0" w:hanging="0"/>
              <w:jc w:val="left"/>
              <w:rPr/>
            </w:pPr>
            <w:r>
              <w:rPr/>
              <w:t>​</w:t>
            </w:r>
          </w:p>
        </w:tc>
        <w:tc>
          <w:tcPr>
            <w:tcW w:w="86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48,155</w:t>
            </w:r>
          </w:p>
        </w:tc>
        <w:tc>
          <w:tcPr>
            <w:tcW w:w="391"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pPr>
            <w:r>
              <w:rPr/>
              <w:t>​</w:t>
            </w:r>
          </w:p>
        </w:tc>
        <w:tc>
          <w:tcPr>
            <w:tcW w:w="88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40,491</w:t>
            </w:r>
          </w:p>
        </w:tc>
      </w:tr>
      <w:tr>
        <w:trPr/>
        <w:tc>
          <w:tcPr>
            <w:tcW w:w="40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General and administrative</w:t>
            </w:r>
          </w:p>
        </w:tc>
        <w:tc>
          <w:tcPr>
            <w:tcW w:w="235" w:type="dxa"/>
            <w:tcBorders/>
            <w:shd w:fill="CCEEFF" w:val="clear"/>
            <w:vAlign w:val="center"/>
          </w:tcPr>
          <w:p>
            <w:pPr>
              <w:pStyle w:val="TableContents"/>
              <w:bidi w:val="0"/>
              <w:spacing w:before="0" w:after="1"/>
              <w:ind w:left="0" w:right="0" w:hanging="0"/>
              <w:jc w:val="left"/>
              <w:rPr/>
            </w:pPr>
            <w:r>
              <w:rPr/>
              <w:t>​</w:t>
            </w:r>
          </w:p>
        </w:tc>
        <w:tc>
          <w:tcPr>
            <w:tcW w:w="86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45,028</w:t>
            </w:r>
          </w:p>
        </w:tc>
        <w:tc>
          <w:tcPr>
            <w:tcW w:w="391"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pPr>
            <w:r>
              <w:rPr/>
              <w:t>​</w:t>
            </w:r>
          </w:p>
        </w:tc>
        <w:tc>
          <w:tcPr>
            <w:tcW w:w="88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35,542</w:t>
            </w:r>
          </w:p>
        </w:tc>
      </w:tr>
      <w:tr>
        <w:trPr/>
        <w:tc>
          <w:tcPr>
            <w:tcW w:w="403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Depreciation and amortization</w:t>
            </w:r>
          </w:p>
        </w:tc>
        <w:tc>
          <w:tcPr>
            <w:tcW w:w="235" w:type="dxa"/>
            <w:tcBorders/>
            <w:vAlign w:val="center"/>
          </w:tcPr>
          <w:p>
            <w:pPr>
              <w:pStyle w:val="TableContents"/>
              <w:bidi w:val="0"/>
              <w:spacing w:before="0" w:after="1"/>
              <w:ind w:left="0" w:right="0" w:hanging="0"/>
              <w:jc w:val="left"/>
              <w:rPr/>
            </w:pPr>
            <w:r>
              <w:rPr/>
              <w:t>​</w:t>
            </w:r>
          </w:p>
        </w:tc>
        <w:tc>
          <w:tcPr>
            <w:tcW w:w="86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5,880</w:t>
            </w:r>
          </w:p>
        </w:tc>
        <w:tc>
          <w:tcPr>
            <w:tcW w:w="391"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pPr>
            <w:r>
              <w:rPr/>
              <w:t>​</w:t>
            </w:r>
          </w:p>
        </w:tc>
        <w:tc>
          <w:tcPr>
            <w:tcW w:w="88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5,006</w:t>
            </w:r>
          </w:p>
        </w:tc>
      </w:tr>
      <w:tr>
        <w:trPr/>
        <w:tc>
          <w:tcPr>
            <w:tcW w:w="40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Change in fair value of acquisition contingent earn-outs</w:t>
            </w:r>
          </w:p>
        </w:tc>
        <w:tc>
          <w:tcPr>
            <w:tcW w:w="235" w:type="dxa"/>
            <w:tcBorders/>
            <w:shd w:fill="CCEEFF" w:val="clear"/>
            <w:vAlign w:val="center"/>
          </w:tcPr>
          <w:p>
            <w:pPr>
              <w:pStyle w:val="TableContents"/>
              <w:bidi w:val="0"/>
              <w:spacing w:before="0" w:after="1"/>
              <w:ind w:left="0" w:right="0" w:hanging="0"/>
              <w:jc w:val="left"/>
              <w:rPr/>
            </w:pPr>
            <w:r>
              <w:rPr/>
              <w:t>​</w:t>
            </w:r>
          </w:p>
        </w:tc>
        <w:tc>
          <w:tcPr>
            <w:tcW w:w="86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(14,700)</w:t>
            </w:r>
          </w:p>
        </w:tc>
        <w:tc>
          <w:tcPr>
            <w:tcW w:w="391"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pPr>
            <w:r>
              <w:rPr/>
              <w:t>​</w:t>
            </w:r>
          </w:p>
        </w:tc>
        <w:tc>
          <w:tcPr>
            <w:tcW w:w="883" w:type="dxa"/>
            <w:tcBorders/>
            <w:shd w:fill="CCEEFF" w:val="clear"/>
            <w:vAlign w:val="center"/>
          </w:tcPr>
          <w:p>
            <w:pPr>
              <w:pStyle w:val="TableContents"/>
              <w:bidi w:val="0"/>
              <w:spacing w:before="0" w:after="1"/>
              <w:ind w:left="0" w:right="0" w:hanging="0"/>
              <w:jc w:val="right"/>
              <w:rPr/>
            </w:pPr>
            <w:r>
              <w:rPr/>
              <w:t>—</w:t>
            </w:r>
          </w:p>
        </w:tc>
      </w:tr>
      <w:tr>
        <w:trPr/>
        <w:tc>
          <w:tcPr>
            <w:tcW w:w="403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operating expense (income), net</w:t>
            </w:r>
          </w:p>
        </w:tc>
        <w:tc>
          <w:tcPr>
            <w:tcW w:w="23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6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3,259</w:t>
            </w:r>
          </w:p>
        </w:tc>
        <w:tc>
          <w:tcPr>
            <w:tcW w:w="391" w:type="dxa"/>
            <w:tcBorders/>
            <w:vAlign w:val="center"/>
          </w:tcPr>
          <w:p>
            <w:pPr>
              <w:pStyle w:val="TableContents"/>
              <w:bidi w:val="0"/>
              <w:spacing w:before="0" w:after="1"/>
              <w:ind w:left="0" w:right="0" w:hanging="0"/>
              <w:jc w:val="left"/>
              <w:rPr/>
            </w:pPr>
            <w:r>
              <w:rPr/>
              <w:t>​</w:t>
            </w:r>
          </w:p>
        </w:tc>
        <w:tc>
          <w:tcPr>
            <w:tcW w:w="23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8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(527)</w:t>
            </w:r>
          </w:p>
        </w:tc>
      </w:tr>
      <w:tr>
        <w:trPr/>
        <w:tc>
          <w:tcPr>
            <w:tcW w:w="40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operating expenses</w:t>
            </w:r>
          </w:p>
        </w:tc>
        <w:tc>
          <w:tcPr>
            <w:tcW w:w="23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6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108,508</w:t>
            </w:r>
          </w:p>
        </w:tc>
        <w:tc>
          <w:tcPr>
            <w:tcW w:w="391" w:type="dxa"/>
            <w:tcBorders/>
            <w:shd w:fill="CCEEFF" w:val="clear"/>
            <w:vAlign w:val="center"/>
          </w:tcPr>
          <w:p>
            <w:pPr>
              <w:pStyle w:val="TableContents"/>
              <w:bidi w:val="0"/>
              <w:spacing w:before="0" w:after="1"/>
              <w:ind w:left="0" w:right="0" w:hanging="0"/>
              <w:jc w:val="left"/>
              <w:rPr/>
            </w:pPr>
            <w:r>
              <w:rPr/>
              <w:t>​</w:t>
            </w:r>
          </w:p>
        </w:tc>
        <w:tc>
          <w:tcPr>
            <w:tcW w:w="23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97,357</w:t>
            </w:r>
          </w:p>
        </w:tc>
      </w:tr>
      <w:tr>
        <w:trPr/>
        <w:tc>
          <w:tcPr>
            <w:tcW w:w="403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Income (loss) from operations</w:t>
            </w:r>
          </w:p>
        </w:tc>
        <w:tc>
          <w:tcPr>
            <w:tcW w:w="235" w:type="dxa"/>
            <w:tcBorders/>
            <w:vAlign w:val="center"/>
          </w:tcPr>
          <w:p>
            <w:pPr>
              <w:pStyle w:val="TableContents"/>
              <w:bidi w:val="0"/>
              <w:spacing w:before="0" w:after="1"/>
              <w:ind w:left="0" w:right="0" w:hanging="0"/>
              <w:jc w:val="left"/>
              <w:rPr/>
            </w:pPr>
            <w:r>
              <w:rPr/>
              <w:t>​</w:t>
            </w:r>
          </w:p>
        </w:tc>
        <w:tc>
          <w:tcPr>
            <w:tcW w:w="86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4,486</w:t>
            </w:r>
          </w:p>
        </w:tc>
        <w:tc>
          <w:tcPr>
            <w:tcW w:w="391"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pPr>
            <w:r>
              <w:rPr/>
              <w:t>​</w:t>
            </w:r>
          </w:p>
        </w:tc>
        <w:tc>
          <w:tcPr>
            <w:tcW w:w="88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(1,565)</w:t>
            </w:r>
          </w:p>
        </w:tc>
      </w:tr>
      <w:tr>
        <w:trPr/>
        <w:tc>
          <w:tcPr>
            <w:tcW w:w="40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Interest expense (income), net</w:t>
            </w:r>
          </w:p>
        </w:tc>
        <w:tc>
          <w:tcPr>
            <w:tcW w:w="23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6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(1,539)</w:t>
            </w:r>
          </w:p>
        </w:tc>
        <w:tc>
          <w:tcPr>
            <w:tcW w:w="391" w:type="dxa"/>
            <w:tcBorders/>
            <w:shd w:fill="CCEEFF" w:val="clear"/>
            <w:vAlign w:val="center"/>
          </w:tcPr>
          <w:p>
            <w:pPr>
              <w:pStyle w:val="TableContents"/>
              <w:bidi w:val="0"/>
              <w:spacing w:before="0" w:after="1"/>
              <w:ind w:left="0" w:right="0" w:hanging="0"/>
              <w:jc w:val="left"/>
              <w:rPr/>
            </w:pPr>
            <w:r>
              <w:rPr/>
              <w:t>​</w:t>
            </w:r>
          </w:p>
        </w:tc>
        <w:tc>
          <w:tcPr>
            <w:tcW w:w="23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286</w:t>
            </w:r>
          </w:p>
        </w:tc>
      </w:tr>
      <w:tr>
        <w:trPr/>
        <w:tc>
          <w:tcPr>
            <w:tcW w:w="403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Income (loss) before income taxes</w:t>
            </w:r>
          </w:p>
        </w:tc>
        <w:tc>
          <w:tcPr>
            <w:tcW w:w="235" w:type="dxa"/>
            <w:tcBorders/>
            <w:vAlign w:val="center"/>
          </w:tcPr>
          <w:p>
            <w:pPr>
              <w:pStyle w:val="TableContents"/>
              <w:bidi w:val="0"/>
              <w:spacing w:before="0" w:after="1"/>
              <w:ind w:left="0" w:right="0" w:hanging="0"/>
              <w:jc w:val="left"/>
              <w:rPr/>
            </w:pPr>
            <w:r>
              <w:rPr/>
              <w:t>​</w:t>
            </w:r>
          </w:p>
        </w:tc>
        <w:tc>
          <w:tcPr>
            <w:tcW w:w="86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6,025</w:t>
            </w:r>
          </w:p>
        </w:tc>
        <w:tc>
          <w:tcPr>
            <w:tcW w:w="391"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pPr>
            <w:r>
              <w:rPr/>
              <w:t> </w:t>
            </w:r>
          </w:p>
        </w:tc>
        <w:tc>
          <w:tcPr>
            <w:tcW w:w="88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(1,851)</w:t>
            </w:r>
          </w:p>
        </w:tc>
      </w:tr>
      <w:tr>
        <w:trPr/>
        <w:tc>
          <w:tcPr>
            <w:tcW w:w="4036" w:type="dxa"/>
            <w:tcBorders/>
            <w:shd w:fill="CCEEFF" w:val="clear"/>
            <w:vAlign w:val="center"/>
          </w:tcPr>
          <w:p>
            <w:pPr>
              <w:pStyle w:val="TableContents"/>
              <w:bidi w:val="0"/>
              <w:spacing w:before="0" w:after="1"/>
              <w:ind w:left="0" w:right="0" w:hanging="0"/>
              <w:jc w:val="both"/>
              <w:rPr>
                <w:rFonts w:ascii="Times New Roman;Times;serif" w:hAnsi="Times New Roman;Times;serif"/>
                <w:sz w:val="18"/>
              </w:rPr>
            </w:pPr>
            <w:r>
              <w:rPr>
                <w:rFonts w:ascii="Times New Roman;Times;serif" w:hAnsi="Times New Roman;Times;serif"/>
                <w:sz w:val="18"/>
              </w:rPr>
              <w:t>Income tax benefit</w:t>
            </w:r>
          </w:p>
        </w:tc>
        <w:tc>
          <w:tcPr>
            <w:tcW w:w="23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6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(5,105)</w:t>
            </w:r>
          </w:p>
        </w:tc>
        <w:tc>
          <w:tcPr>
            <w:tcW w:w="391" w:type="dxa"/>
            <w:tcBorders/>
            <w:shd w:fill="CCEEFF" w:val="clear"/>
            <w:vAlign w:val="center"/>
          </w:tcPr>
          <w:p>
            <w:pPr>
              <w:pStyle w:val="TableContents"/>
              <w:bidi w:val="0"/>
              <w:spacing w:before="0" w:after="1"/>
              <w:ind w:left="0" w:right="0" w:hanging="0"/>
              <w:jc w:val="left"/>
              <w:rPr/>
            </w:pPr>
            <w:r>
              <w:rPr/>
              <w:t>​</w:t>
            </w:r>
          </w:p>
        </w:tc>
        <w:tc>
          <w:tcPr>
            <w:tcW w:w="23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(4,535)</w:t>
            </w:r>
          </w:p>
        </w:tc>
      </w:tr>
      <w:tr>
        <w:trPr/>
        <w:tc>
          <w:tcPr>
            <w:tcW w:w="403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income</w:t>
            </w:r>
          </w:p>
        </w:tc>
        <w:tc>
          <w:tcPr>
            <w:tcW w:w="23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6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11,130</w:t>
            </w:r>
          </w:p>
        </w:tc>
        <w:tc>
          <w:tcPr>
            <w:tcW w:w="391" w:type="dxa"/>
            <w:tcBorders/>
            <w:vAlign w:val="center"/>
          </w:tcPr>
          <w:p>
            <w:pPr>
              <w:pStyle w:val="TableContents"/>
              <w:bidi w:val="0"/>
              <w:spacing w:before="0" w:after="1"/>
              <w:ind w:left="0" w:right="0" w:hanging="0"/>
              <w:jc w:val="left"/>
              <w:rPr/>
            </w:pPr>
            <w:r>
              <w:rPr/>
              <w:t>​</w:t>
            </w:r>
          </w:p>
        </w:tc>
        <w:tc>
          <w:tcPr>
            <w:tcW w:w="23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8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2,684</w:t>
            </w:r>
          </w:p>
        </w:tc>
      </w:tr>
      <w:tr>
        <w:trPr/>
        <w:tc>
          <w:tcPr>
            <w:tcW w:w="40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comprehensive (income) loss:</w:t>
            </w:r>
          </w:p>
        </w:tc>
        <w:tc>
          <w:tcPr>
            <w:tcW w:w="235" w:type="dxa"/>
            <w:tcBorders/>
            <w:shd w:fill="CCEEFF" w:val="clear"/>
            <w:vAlign w:val="center"/>
          </w:tcPr>
          <w:p>
            <w:pPr>
              <w:pStyle w:val="TableContents"/>
              <w:bidi w:val="0"/>
              <w:spacing w:before="0" w:after="1"/>
              <w:ind w:left="0" w:right="0" w:hanging="0"/>
              <w:jc w:val="left"/>
              <w:rPr/>
            </w:pPr>
            <w:r>
              <w:rPr/>
              <w:t>​</w:t>
            </w:r>
          </w:p>
        </w:tc>
        <w:tc>
          <w:tcPr>
            <w:tcW w:w="865" w:type="dxa"/>
            <w:tcBorders/>
            <w:shd w:fill="CCEEFF" w:val="clear"/>
            <w:vAlign w:val="center"/>
          </w:tcPr>
          <w:p>
            <w:pPr>
              <w:pStyle w:val="TableContents"/>
              <w:bidi w:val="0"/>
              <w:spacing w:before="0" w:after="1"/>
              <w:ind w:left="0" w:right="0" w:hanging="0"/>
              <w:jc w:val="left"/>
              <w:rPr/>
            </w:pPr>
            <w:r>
              <w:rPr/>
              <w:t>​</w:t>
            </w:r>
          </w:p>
        </w:tc>
        <w:tc>
          <w:tcPr>
            <w:tcW w:w="391"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pPr>
            <w:r>
              <w:rPr/>
              <w:t>​</w:t>
            </w:r>
          </w:p>
        </w:tc>
        <w:tc>
          <w:tcPr>
            <w:tcW w:w="883" w:type="dxa"/>
            <w:tcBorders/>
            <w:shd w:fill="CCEEFF" w:val="clear"/>
            <w:vAlign w:val="center"/>
          </w:tcPr>
          <w:p>
            <w:pPr>
              <w:pStyle w:val="TableContents"/>
              <w:bidi w:val="0"/>
              <w:spacing w:before="0" w:after="1"/>
              <w:ind w:left="0" w:right="0" w:hanging="0"/>
              <w:jc w:val="left"/>
              <w:rPr/>
            </w:pPr>
            <w:r>
              <w:rPr/>
              <w:t>​</w:t>
            </w:r>
          </w:p>
        </w:tc>
      </w:tr>
      <w:tr>
        <w:trPr/>
        <w:tc>
          <w:tcPr>
            <w:tcW w:w="403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Foreign currency translation adjustments, net of tax</w:t>
            </w:r>
          </w:p>
        </w:tc>
        <w:tc>
          <w:tcPr>
            <w:tcW w:w="235" w:type="dxa"/>
            <w:tcBorders/>
            <w:vAlign w:val="center"/>
          </w:tcPr>
          <w:p>
            <w:pPr>
              <w:pStyle w:val="TableContents"/>
              <w:bidi w:val="0"/>
              <w:spacing w:before="0" w:after="1"/>
              <w:ind w:left="0" w:right="0" w:hanging="0"/>
              <w:jc w:val="left"/>
              <w:rPr/>
            </w:pPr>
            <w:r>
              <w:rPr/>
              <w:t>​</w:t>
            </w:r>
          </w:p>
        </w:tc>
        <w:tc>
          <w:tcPr>
            <w:tcW w:w="86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(15,105)</w:t>
            </w:r>
          </w:p>
        </w:tc>
        <w:tc>
          <w:tcPr>
            <w:tcW w:w="391"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pPr>
            <w:r>
              <w:rPr/>
              <w:t>​</w:t>
            </w:r>
          </w:p>
        </w:tc>
        <w:tc>
          <w:tcPr>
            <w:tcW w:w="88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4,011</w:t>
            </w:r>
          </w:p>
        </w:tc>
      </w:tr>
      <w:tr>
        <w:trPr/>
        <w:tc>
          <w:tcPr>
            <w:tcW w:w="40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Unrealized loss on investments, net of tax</w:t>
            </w:r>
          </w:p>
        </w:tc>
        <w:tc>
          <w:tcPr>
            <w:tcW w:w="23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6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w:t>
            </w:r>
          </w:p>
        </w:tc>
        <w:tc>
          <w:tcPr>
            <w:tcW w:w="391" w:type="dxa"/>
            <w:tcBorders/>
            <w:shd w:fill="CCEEFF" w:val="clear"/>
            <w:vAlign w:val="center"/>
          </w:tcPr>
          <w:p>
            <w:pPr>
              <w:pStyle w:val="TableContents"/>
              <w:bidi w:val="0"/>
              <w:spacing w:before="0" w:after="1"/>
              <w:ind w:left="0" w:right="0" w:hanging="0"/>
              <w:jc w:val="left"/>
              <w:rPr/>
            </w:pPr>
            <w:r>
              <w:rPr/>
              <w:t>​</w:t>
            </w:r>
          </w:p>
        </w:tc>
        <w:tc>
          <w:tcPr>
            <w:tcW w:w="23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w:t>
            </w:r>
          </w:p>
        </w:tc>
      </w:tr>
      <w:tr>
        <w:trPr/>
        <w:tc>
          <w:tcPr>
            <w:tcW w:w="403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other comprehensive (income) loss, net of tax</w:t>
            </w:r>
          </w:p>
        </w:tc>
        <w:tc>
          <w:tcPr>
            <w:tcW w:w="23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6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(15,096)</w:t>
            </w:r>
          </w:p>
        </w:tc>
        <w:tc>
          <w:tcPr>
            <w:tcW w:w="391" w:type="dxa"/>
            <w:tcBorders/>
            <w:vAlign w:val="center"/>
          </w:tcPr>
          <w:p>
            <w:pPr>
              <w:pStyle w:val="TableContents"/>
              <w:bidi w:val="0"/>
              <w:spacing w:before="0" w:after="1"/>
              <w:ind w:left="0" w:right="0" w:hanging="0"/>
              <w:jc w:val="left"/>
              <w:rPr/>
            </w:pPr>
            <w:r>
              <w:rPr/>
              <w:t>​</w:t>
            </w:r>
          </w:p>
        </w:tc>
        <w:tc>
          <w:tcPr>
            <w:tcW w:w="23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8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4,028</w:t>
            </w:r>
          </w:p>
        </w:tc>
      </w:tr>
      <w:tr>
        <w:trPr/>
        <w:tc>
          <w:tcPr>
            <w:tcW w:w="40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comprehensive income (loss)</w:t>
            </w:r>
          </w:p>
        </w:tc>
        <w:tc>
          <w:tcPr>
            <w:tcW w:w="23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6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26,226</w:t>
            </w:r>
          </w:p>
        </w:tc>
        <w:tc>
          <w:tcPr>
            <w:tcW w:w="391" w:type="dxa"/>
            <w:tcBorders/>
            <w:shd w:fill="CCEEFF" w:val="clear"/>
            <w:vAlign w:val="center"/>
          </w:tcPr>
          <w:p>
            <w:pPr>
              <w:pStyle w:val="TableContents"/>
              <w:bidi w:val="0"/>
              <w:spacing w:before="0" w:after="1"/>
              <w:ind w:left="0" w:right="0" w:hanging="0"/>
              <w:jc w:val="left"/>
              <w:rPr/>
            </w:pPr>
            <w:r>
              <w:rPr/>
              <w:t>​</w:t>
            </w:r>
          </w:p>
        </w:tc>
        <w:tc>
          <w:tcPr>
            <w:tcW w:w="23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8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(1,344)</w:t>
            </w:r>
          </w:p>
        </w:tc>
      </w:tr>
      <w:tr>
        <w:trPr/>
        <w:tc>
          <w:tcPr>
            <w:tcW w:w="4036"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right"/>
              <w:rPr/>
            </w:pPr>
            <w:r>
              <w:rPr/>
              <w:t>​</w:t>
            </w:r>
          </w:p>
        </w:tc>
        <w:tc>
          <w:tcPr>
            <w:tcW w:w="865" w:type="dxa"/>
            <w:tcBorders/>
            <w:vAlign w:val="center"/>
          </w:tcPr>
          <w:p>
            <w:pPr>
              <w:pStyle w:val="TableContents"/>
              <w:bidi w:val="0"/>
              <w:spacing w:before="0" w:after="1"/>
              <w:ind w:left="0" w:right="0" w:hanging="0"/>
              <w:jc w:val="right"/>
              <w:rPr/>
            </w:pPr>
            <w:r>
              <w:rPr/>
              <w:t>​</w:t>
            </w:r>
          </w:p>
        </w:tc>
        <w:tc>
          <w:tcPr>
            <w:tcW w:w="391"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right"/>
              <w:rPr/>
            </w:pPr>
            <w:r>
              <w:rPr/>
              <w:t>​</w:t>
            </w:r>
          </w:p>
        </w:tc>
        <w:tc>
          <w:tcPr>
            <w:tcW w:w="883" w:type="dxa"/>
            <w:tcBorders/>
            <w:vAlign w:val="center"/>
          </w:tcPr>
          <w:p>
            <w:pPr>
              <w:pStyle w:val="TableContents"/>
              <w:bidi w:val="0"/>
              <w:spacing w:before="0" w:after="1"/>
              <w:ind w:left="0" w:right="0" w:hanging="0"/>
              <w:jc w:val="right"/>
              <w:rPr/>
            </w:pPr>
            <w:r>
              <w:rPr/>
              <w:t>​</w:t>
            </w:r>
          </w:p>
        </w:tc>
      </w:tr>
      <w:tr>
        <w:trPr/>
        <w:tc>
          <w:tcPr>
            <w:tcW w:w="4036" w:type="dxa"/>
            <w:tcBorders/>
            <w:shd w:fill="CCEEFF" w:val="clear"/>
            <w:vAlign w:val="center"/>
          </w:tcPr>
          <w:p>
            <w:pPr>
              <w:pStyle w:val="TableContents"/>
              <w:bidi w:val="0"/>
              <w:spacing w:before="0" w:after="1"/>
              <w:ind w:left="0" w:right="0" w:hanging="0"/>
              <w:jc w:val="both"/>
              <w:rPr>
                <w:rFonts w:ascii="Times New Roman;Times;serif" w:hAnsi="Times New Roman;Times;serif"/>
                <w:sz w:val="18"/>
              </w:rPr>
            </w:pPr>
            <w:r>
              <w:rPr>
                <w:rFonts w:ascii="Times New Roman;Times;serif" w:hAnsi="Times New Roman;Times;serif"/>
                <w:sz w:val="18"/>
              </w:rPr>
              <w:t>Net income per share of Class A and Class B, basic</w:t>
            </w:r>
          </w:p>
        </w:tc>
        <w:tc>
          <w:tcPr>
            <w:tcW w:w="23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6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0.07</w:t>
            </w:r>
          </w:p>
        </w:tc>
        <w:tc>
          <w:tcPr>
            <w:tcW w:w="391" w:type="dxa"/>
            <w:tcBorders/>
            <w:shd w:fill="CCEEFF" w:val="clear"/>
            <w:vAlign w:val="center"/>
          </w:tcPr>
          <w:p>
            <w:pPr>
              <w:pStyle w:val="TableContents"/>
              <w:bidi w:val="0"/>
              <w:spacing w:before="0" w:after="1"/>
              <w:ind w:left="0" w:right="0" w:hanging="0"/>
              <w:jc w:val="left"/>
              <w:rPr/>
            </w:pPr>
            <w:r>
              <w:rPr/>
              <w:t>​</w:t>
            </w:r>
          </w:p>
        </w:tc>
        <w:tc>
          <w:tcPr>
            <w:tcW w:w="23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8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0.02</w:t>
            </w:r>
          </w:p>
        </w:tc>
      </w:tr>
      <w:tr>
        <w:trPr/>
        <w:tc>
          <w:tcPr>
            <w:tcW w:w="4036" w:type="dxa"/>
            <w:tcBorders/>
            <w:vAlign w:val="center"/>
          </w:tcPr>
          <w:p>
            <w:pPr>
              <w:pStyle w:val="TableContents"/>
              <w:bidi w:val="0"/>
              <w:spacing w:before="0" w:after="1"/>
              <w:ind w:left="0" w:right="0" w:hanging="0"/>
              <w:jc w:val="both"/>
              <w:rPr>
                <w:rFonts w:ascii="Times New Roman;Times;serif" w:hAnsi="Times New Roman;Times;serif"/>
                <w:sz w:val="18"/>
              </w:rPr>
            </w:pPr>
            <w:r>
              <w:rPr>
                <w:rFonts w:ascii="Times New Roman;Times;serif" w:hAnsi="Times New Roman;Times;serif"/>
                <w:sz w:val="18"/>
              </w:rPr>
              <w:t>Net income per share of Class A and Class B, dilutive</w:t>
            </w:r>
          </w:p>
        </w:tc>
        <w:tc>
          <w:tcPr>
            <w:tcW w:w="23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6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0.07</w:t>
            </w:r>
          </w:p>
        </w:tc>
        <w:tc>
          <w:tcPr>
            <w:tcW w:w="391" w:type="dxa"/>
            <w:tcBorders/>
            <w:vAlign w:val="center"/>
          </w:tcPr>
          <w:p>
            <w:pPr>
              <w:pStyle w:val="TableContents"/>
              <w:bidi w:val="0"/>
              <w:spacing w:before="0" w:after="1"/>
              <w:ind w:left="0" w:right="0" w:hanging="0"/>
              <w:jc w:val="left"/>
              <w:rPr/>
            </w:pPr>
            <w:r>
              <w:rPr/>
              <w:t>​</w:t>
            </w:r>
          </w:p>
        </w:tc>
        <w:tc>
          <w:tcPr>
            <w:tcW w:w="23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8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0.02</w:t>
            </w:r>
          </w:p>
        </w:tc>
      </w:tr>
      <w:tr>
        <w:trPr/>
        <w:tc>
          <w:tcPr>
            <w:tcW w:w="4036"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pPr>
            <w:r>
              <w:rPr/>
              <w:t>​</w:t>
            </w:r>
          </w:p>
        </w:tc>
        <w:tc>
          <w:tcPr>
            <w:tcW w:w="865" w:type="dxa"/>
            <w:tcBorders/>
            <w:vAlign w:val="center"/>
          </w:tcPr>
          <w:p>
            <w:pPr>
              <w:pStyle w:val="TableContents"/>
              <w:bidi w:val="0"/>
              <w:spacing w:before="0" w:after="1"/>
              <w:ind w:left="0" w:right="0" w:hanging="0"/>
              <w:jc w:val="right"/>
              <w:rPr/>
            </w:pPr>
            <w:r>
              <w:rPr/>
              <w:t>​</w:t>
            </w:r>
          </w:p>
        </w:tc>
        <w:tc>
          <w:tcPr>
            <w:tcW w:w="391"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pPr>
            <w:r>
              <w:rPr/>
              <w:t>​</w:t>
            </w:r>
          </w:p>
        </w:tc>
        <w:tc>
          <w:tcPr>
            <w:tcW w:w="883" w:type="dxa"/>
            <w:tcBorders/>
            <w:vAlign w:val="center"/>
          </w:tcPr>
          <w:p>
            <w:pPr>
              <w:pStyle w:val="TableContents"/>
              <w:bidi w:val="0"/>
              <w:spacing w:before="0" w:after="1"/>
              <w:ind w:left="0" w:right="0" w:hanging="0"/>
              <w:jc w:val="right"/>
              <w:rPr/>
            </w:pPr>
            <w:r>
              <w:rPr/>
              <w:t>​</w:t>
            </w:r>
          </w:p>
        </w:tc>
      </w:tr>
      <w:tr>
        <w:trPr/>
        <w:tc>
          <w:tcPr>
            <w:tcW w:w="4036"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pPr>
            <w:r>
              <w:rPr/>
              <w:t>​</w:t>
            </w:r>
          </w:p>
        </w:tc>
        <w:tc>
          <w:tcPr>
            <w:tcW w:w="865" w:type="dxa"/>
            <w:tcBorders/>
            <w:vAlign w:val="center"/>
          </w:tcPr>
          <w:p>
            <w:pPr>
              <w:pStyle w:val="TableContents"/>
              <w:bidi w:val="0"/>
              <w:spacing w:before="0" w:after="1"/>
              <w:ind w:left="0" w:right="0" w:hanging="0"/>
              <w:jc w:val="right"/>
              <w:rPr/>
            </w:pPr>
            <w:r>
              <w:rPr/>
              <w:t>​</w:t>
            </w:r>
          </w:p>
        </w:tc>
        <w:tc>
          <w:tcPr>
            <w:tcW w:w="391"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pPr>
            <w:r>
              <w:rPr/>
              <w:t>​</w:t>
            </w:r>
          </w:p>
        </w:tc>
        <w:tc>
          <w:tcPr>
            <w:tcW w:w="883" w:type="dxa"/>
            <w:tcBorders/>
            <w:vAlign w:val="center"/>
          </w:tcPr>
          <w:p>
            <w:pPr>
              <w:pStyle w:val="TableContents"/>
              <w:bidi w:val="0"/>
              <w:spacing w:before="0" w:after="1"/>
              <w:ind w:left="0" w:right="0" w:hanging="0"/>
              <w:jc w:val="right"/>
              <w:rPr/>
            </w:pPr>
            <w:r>
              <w:rPr/>
              <w:t>​</w:t>
            </w:r>
          </w:p>
        </w:tc>
      </w:tr>
    </w:tbl>
    <w:p>
      <w:pPr>
        <w:pStyle w:val="TextBody"/>
        <w:bidi w:val="0"/>
        <w:spacing w:before="0" w:after="240"/>
        <w:ind w:left="0" w:right="0" w:firstLine="360"/>
        <w:jc w:val="center"/>
        <w:rPr/>
      </w:pPr>
      <w:r>
        <w:rPr/>
        <w:t>​</w:t>
      </w:r>
    </w:p>
    <w:p>
      <w:pPr>
        <w:pStyle w:val="TextBody"/>
        <w:bidi w:val="0"/>
        <w:spacing w:before="0" w:after="0"/>
        <w:ind w:left="0" w:right="0" w:firstLine="360"/>
        <w:jc w:val="center"/>
        <w:rPr>
          <w:rFonts w:ascii="Times New Roman;Times;serif" w:hAnsi="Times New Roman;Times;serif"/>
          <w:sz w:val="18"/>
        </w:rPr>
      </w:pPr>
      <w:r>
        <w:rPr>
          <w:rFonts w:ascii="Times New Roman;Times;serif" w:hAnsi="Times New Roman;Times;serif"/>
          <w:sz w:val="18"/>
        </w:rPr>
        <w:t xml:space="preserve">The accompanying notes are an integral part of these condensed consolidated financial statements. </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bookmarkStart w:id="280" w:name="_40495574_3303_4727_ae78_b5960c1a4c0b"/>
      <w:bookmarkEnd w:id="280"/>
      <w:r>
        <w:rPr/>
        <w:t>​</w:t>
      </w:r>
    </w:p>
    <w:p>
      <w:pPr>
        <w:pStyle w:val="Normal"/>
        <w:bidi w:val="0"/>
        <w:spacing w:before="0" w:after="0"/>
        <w:jc w:val="left"/>
        <w:rPr>
          <w:sz w:val="4"/>
          <w:szCs w:val="4"/>
        </w:rPr>
      </w:pPr>
      <w:r>
        <w:rPr>
          <w:sz w:val="4"/>
          <w:szCs w:val="4"/>
        </w:rPr>
      </w:r>
      <w:bookmarkStart w:id="281" w:name="CondensedConsolidatedStatementsofChanges"/>
      <w:bookmarkStart w:id="282" w:name="CondensedConsolidatedStatementsofChanges"/>
      <w:bookmarkEnd w:id="282"/>
    </w:p>
    <w:tbl>
      <w:tblPr>
        <w:tblW w:w="6241" w:type="dxa"/>
        <w:jc w:val="left"/>
        <w:tblInd w:w="0" w:type="dxa"/>
        <w:tblLayout w:type="fixed"/>
        <w:tblCellMar>
          <w:top w:w="0" w:type="dxa"/>
          <w:left w:w="0" w:type="dxa"/>
          <w:bottom w:w="0" w:type="dxa"/>
          <w:right w:w="0" w:type="dxa"/>
        </w:tblCellMar>
      </w:tblPr>
      <w:tblGrid>
        <w:gridCol w:w="6241"/>
      </w:tblGrid>
      <w:tr>
        <w:trPr/>
        <w:tc>
          <w:tcPr>
            <w:tcW w:w="6241" w:type="dxa"/>
            <w:tcBorders/>
            <w:vAlign w:val="center"/>
          </w:tcPr>
          <w:p>
            <w:pPr>
              <w:pStyle w:val="TableContents"/>
              <w:bidi w:val="0"/>
              <w:spacing w:before="0" w:after="0"/>
              <w:ind w:left="0" w:right="0" w:hanging="0"/>
              <w:jc w:val="left"/>
              <w:rPr/>
            </w:pPr>
            <w:r>
              <w:rPr/>
              <w:t>​</w:t>
            </w:r>
          </w:p>
        </w:tc>
      </w:tr>
      <w:tr>
        <w:trPr/>
        <w:tc>
          <w:tcPr>
            <w:tcW w:w="6241" w:type="dxa"/>
            <w:tcBorders/>
            <w:vAlign w:val="center"/>
          </w:tcPr>
          <w:p>
            <w:pPr>
              <w:pStyle w:val="TableContents"/>
              <w:bidi w:val="0"/>
              <w:spacing w:before="0" w:after="0"/>
              <w:ind w:left="0" w:right="0" w:hanging="0"/>
              <w:jc w:val="left"/>
              <w:rPr/>
            </w:pPr>
            <w:r>
              <w:rPr/>
              <w:t>​</w:t>
            </w:r>
          </w:p>
        </w:tc>
      </w:tr>
      <w:tr>
        <w:trPr/>
        <w:tc>
          <w:tcPr>
            <w:tcW w:w="624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Vertex, Inc. and Subsidiaries</w:t>
            </w:r>
          </w:p>
        </w:tc>
      </w:tr>
      <w:tr>
        <w:trPr/>
        <w:tc>
          <w:tcPr>
            <w:tcW w:w="62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Condensed Consolidated Statements of Changes in Stockholders’ Equity</w:t>
            </w:r>
            <w:r>
              <w:rPr>
                <w:rFonts w:ascii="Times New Roman;Times;serif" w:hAnsi="Times New Roman;Times;serif"/>
                <w:sz w:val="20"/>
              </w:rPr>
              <w:t xml:space="preserve"> </w:t>
            </w:r>
          </w:p>
        </w:tc>
      </w:tr>
      <w:tr>
        <w:trPr/>
        <w:tc>
          <w:tcPr>
            <w:tcW w:w="624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For the three months ended March 31, 2025 and 2024 (unaudited)</w:t>
            </w:r>
          </w:p>
        </w:tc>
      </w:tr>
      <w:tr>
        <w:trPr/>
        <w:tc>
          <w:tcPr>
            <w:tcW w:w="62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(Amounts in thousands)</w:t>
            </w:r>
          </w:p>
        </w:tc>
      </w:tr>
    </w:tbl>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83" w:name="Tc_sUqWW0tBDEyBmlYSzHptIw_27_21"/>
      <w:bookmarkStart w:id="284" w:name="Tc_FlibdukKkE6PRRHykc4joQ_27_18"/>
      <w:bookmarkStart w:id="285" w:name="Tc_WBXmA5-kvUi6s2Ifl4kbTQ_27_15"/>
      <w:bookmarkStart w:id="286" w:name="Tc_cHf8mmfN7U2FyYHPFgiI9Q_27_12"/>
      <w:bookmarkStart w:id="287" w:name="Tc_-09dFdhdj0icWIiHd_JSqQ_27_9"/>
      <w:bookmarkStart w:id="288" w:name="Tc_Mevs48Zys0aJGlyY4YLoYA_27_0"/>
      <w:bookmarkStart w:id="289" w:name="Tc_3ztrD993bEiocYzW9C--XQ_26_19"/>
      <w:bookmarkStart w:id="290" w:name="Tc_EkOmjtwm0E6P6hHYccSXFQ_26_13"/>
      <w:bookmarkStart w:id="291" w:name="Tc__b0-bsruJUmC0OlaXSg_pw_26_10"/>
      <w:bookmarkStart w:id="292" w:name="Tc_JLCHB9pSzESvIxG-D8abSA_26_7"/>
      <w:bookmarkStart w:id="293" w:name="Tc_eTm7LoxnSkuUcSH5HMBbvg_26_5"/>
      <w:bookmarkStart w:id="294" w:name="Tc_94A9aXbSu06D7Fhee1ktAw_26_2"/>
      <w:bookmarkStart w:id="295" w:name="Tc_iOuRb_j9fky2PNSiqsLpuQ_26_0"/>
      <w:bookmarkStart w:id="296" w:name="Tc_1r_bW2-WckWMDE7wD8TurQ_25_16"/>
      <w:bookmarkStart w:id="297" w:name="Tc_wBSYzreHFEK4YbR5NtWbow_25_13"/>
      <w:bookmarkStart w:id="298" w:name="Tc_FuEuNRKyv0SxC4mh_F755g_25_10"/>
      <w:bookmarkStart w:id="299" w:name="Tc_UiWnlofleUOoabK_7pPMiw_25_7"/>
      <w:bookmarkStart w:id="300" w:name="Tc_s60YT1V0UEW8PzcxD_ttQw_25_5"/>
      <w:bookmarkStart w:id="301" w:name="Tc_-WRMIFExXE20vThjG3MuKQ_25_2"/>
      <w:bookmarkStart w:id="302" w:name="Tc_-eBf-TtFMUyZjJOUYhPnPA_25_0"/>
      <w:bookmarkStart w:id="303" w:name="Tc_xm2z8mLmGkWpd1kT0v9bHw_24_16"/>
      <w:bookmarkStart w:id="304" w:name="Tc_em0S2wIEFUOSQRdtZPpJ-g_24_13"/>
      <w:bookmarkStart w:id="305" w:name="Tc_ALcI2xdzRUWRhVL-eZ7FRQ_24_10"/>
      <w:bookmarkStart w:id="306" w:name="Tc_nvYcsgH0ik-xq2GREOmzyw_24_7"/>
      <w:bookmarkStart w:id="307" w:name="Tc_6Bi7WXQHS0aKA1p_B7CCgg_24_5"/>
      <w:bookmarkStart w:id="308" w:name="Tc_dIa2Er6VbUmqTmW0kF593g_24_2"/>
      <w:bookmarkStart w:id="309" w:name="Tc_jZa8WSdbCEOyz8CLyXEh0w_24_0"/>
      <w:bookmarkStart w:id="310" w:name="Tc_mnwau3rsWEW_KqDmI2n_Pg_23_19"/>
      <w:bookmarkStart w:id="311" w:name="Tc_eZxkVLwgdUa4ON_gJ5axlg_23_16"/>
      <w:bookmarkStart w:id="312" w:name="Tc_4D8irefLyUqQlgsxi9TM4A_23_10"/>
      <w:bookmarkStart w:id="313" w:name="Tc_PEp6YSwj-0OtlRkqw1oJCg_23_7"/>
      <w:bookmarkStart w:id="314" w:name="Tc_Xx8X1iPO402cVOlayT7V0A_23_5"/>
      <w:bookmarkStart w:id="315" w:name="Tc_glw50WG3Tk6QHZOyrzD45g_23_2"/>
      <w:bookmarkStart w:id="316" w:name="Tc_4FRhHSFETki0H9H84e2uFA_23_0"/>
      <w:bookmarkStart w:id="317" w:name="Tc_2P8HlR2jOUKTKk7OHZUvmQ_22_19"/>
      <w:bookmarkStart w:id="318" w:name="Tc_bFH2bWzUtUWrP8uepBI8_Q_22_16"/>
      <w:bookmarkStart w:id="319" w:name="Tc_xPtYVQ3sPk6McQyqwRjpRw_22_10"/>
      <w:bookmarkStart w:id="320" w:name="Tc_AzhWN-cgFEO0VGlHUSfyWw_22_7"/>
      <w:bookmarkStart w:id="321" w:name="Tc_1Cx-mrlVs065KJaiwpZFdw_22_0"/>
      <w:bookmarkStart w:id="322" w:name="Tc_p4oOGJdKm0mNOQHbvW5bLA_21_19"/>
      <w:bookmarkStart w:id="323" w:name="Tc_th1LQ3uI206-ZSA7j0wOIw_21_16"/>
      <w:bookmarkStart w:id="324" w:name="Tc_5yWMftLA30qSdUyFr4-4-A_21_10"/>
      <w:bookmarkStart w:id="325" w:name="Tc_G0w5_n3pzUackgdkCNcTZg_21_7"/>
      <w:bookmarkStart w:id="326" w:name="Tc_PH6zc4OZIEOjucjWtcVagA_21_5"/>
      <w:bookmarkStart w:id="327" w:name="Tc_9X-l2zYBOEGqCioqLHzNtA_21_0"/>
      <w:bookmarkStart w:id="328" w:name="Tc_GbuI8kONBUOW9QJcNQ-yRA_20_21"/>
      <w:bookmarkStart w:id="329" w:name="Tc_VVhszIKJvEGgMEPdStz0FQ_20_18"/>
      <w:bookmarkStart w:id="330" w:name="Tc_8VqhoTaTFk-vwjPEESkElw_20_15"/>
      <w:bookmarkStart w:id="331" w:name="Tc_0IASHOWPU0C-drUL1VMJxA_20_12"/>
      <w:bookmarkStart w:id="332" w:name="Tc_DkYQkWsicEKQVyDpDjy29g_20_9"/>
      <w:bookmarkStart w:id="333" w:name="Tc_nXcjpWqDfUmAE_M2mL-TFQ_20_4"/>
      <w:bookmarkStart w:id="334" w:name="Tc_2msbPi-AuUWM_5IwkX7BGQ_20_0"/>
      <w:bookmarkStart w:id="335" w:name="Tc_0BdSu6YxfEafx048Pal9zw_19_21"/>
      <w:bookmarkStart w:id="336" w:name="Tc_4v9JgNHCxECdbZDvEXPTJw_19_18"/>
      <w:bookmarkStart w:id="337" w:name="Tc_g7GOsOcqIkyoDHra5xv4jQ_19_15"/>
      <w:bookmarkStart w:id="338" w:name="Tc_dMYTLpqYNkiHxncRmoqpZw_19_12"/>
      <w:bookmarkStart w:id="339" w:name="Tc_gBCTmdLBoUyTgCfxuqPOUg_19_9"/>
      <w:bookmarkStart w:id="340" w:name="Tc_1O13ogXNr0GjzQCliLeILg_19_7"/>
      <w:bookmarkStart w:id="341" w:name="Tc_xotlf4sfwk6pzPmwRvylBw_19_4"/>
      <w:bookmarkStart w:id="342" w:name="Tc_J6YV6b7fpEGZdN9HLJP56Q_19_2"/>
      <w:bookmarkStart w:id="343" w:name="Tc_El7G57oLGk6i6lyOB-SnNA_18_21"/>
      <w:bookmarkStart w:id="344" w:name="Tc_wbGly4O9CUinXoLhWP81SQ_18_18"/>
      <w:bookmarkStart w:id="345" w:name="Tc_Q1ja17HYIkekcJej3VSPAg_18_15"/>
      <w:bookmarkStart w:id="346" w:name="Tc_S4kx2Ug4ekSqDGNEPMUFdw_18_12"/>
      <w:bookmarkStart w:id="347" w:name="Tc_hWmcpAKjTkWNq9lnh_pOCA_18_9"/>
      <w:bookmarkStart w:id="348" w:name="Tc_IxJQTgrU0UO3YT9BvV2lBQ_18_7"/>
      <w:bookmarkStart w:id="349" w:name="Tc_eOQbKsjHZk2fQT8cd-QmGw_18_4"/>
      <w:bookmarkStart w:id="350" w:name="Tc_OLGc5f9M6kGKmFR1veK7Uw_18_2"/>
      <w:bookmarkStart w:id="351" w:name="Tc_5eh5LsuFHEOP0O7DCWmslA_17_21"/>
      <w:bookmarkStart w:id="352" w:name="Tc_FnlyDPy8-0y3R1LhzZLX8g_17_18"/>
      <w:bookmarkStart w:id="353" w:name="Tc_LSx-UC78HkmOCnX8njx1SQ_17_15"/>
      <w:bookmarkStart w:id="354" w:name="Tc_B2bZ_in5gk6Ux88kEgxbew_17_12"/>
      <w:bookmarkStart w:id="355" w:name="Tc_1lLDTuyydE6XLhkOkPyoNw_17_9"/>
      <w:bookmarkStart w:id="356" w:name="Tc_UIRkLnvNHEGcVfBaMKIYpQ_17_7"/>
      <w:bookmarkStart w:id="357" w:name="Tc_YtJfMM98yU-V4FxQDV_5iw_17_4"/>
      <w:bookmarkStart w:id="358" w:name="Tc_6Zc5PbXwokKdyS3Fs_H6bw_17_2"/>
      <w:bookmarkStart w:id="359" w:name="Tc_jbyFxPeIikeLlN_e4xhZQg_16_18"/>
      <w:bookmarkStart w:id="360" w:name="Tc_Z5Cz51X1HU2WRPjA6R0QbA_16_15"/>
      <w:bookmarkStart w:id="361" w:name="Tc_bE0cBquw5E-wYp-kseGyDA_14_0"/>
      <w:bookmarkStart w:id="362" w:name="Tc_hZ8Ody-V7UGNP2JlvPoI3Q_13_19"/>
      <w:bookmarkStart w:id="363" w:name="Tc_tku1_j1cO0qVAaUeb_ihVQ_13_13"/>
      <w:bookmarkStart w:id="364" w:name="Tc_vPXmowmSk0C0V5aRKpu9WA_13_10"/>
      <w:bookmarkStart w:id="365" w:name="Tc_u-Tayj_5xUS1N0fZILz8ow_13_7"/>
      <w:bookmarkStart w:id="366" w:name="Tc_vG6eJlCeuE6J3O0jhnZ4dg_13_5"/>
      <w:bookmarkStart w:id="367" w:name="Tc_ZzKXhNbD-0mkpcnprTFJdA_13_2"/>
      <w:bookmarkStart w:id="368" w:name="Tc_gp0NlXFLuk-kc4HkdzKGOw_13_0"/>
      <w:bookmarkStart w:id="369" w:name="Tc_6_vuZ94msE6-8FQ6_HFj9A_12_16"/>
      <w:bookmarkStart w:id="370" w:name="Tc__kL5pQsheE2TzwXAva1cAQ_12_13"/>
      <w:bookmarkStart w:id="371" w:name="Tc_7qcLHnwC30SmmTlUxH6SNQ_12_10"/>
      <w:bookmarkStart w:id="372" w:name="Tc_lZ7HubuIQEeARiKRjwoK6A_12_7"/>
      <w:bookmarkStart w:id="373" w:name="Tc_wcE3aQ8aTEa70-vbkICfqA_12_5"/>
      <w:bookmarkStart w:id="374" w:name="Tc_nGpTQyieoECTwBqLDJURXg_12_2"/>
      <w:bookmarkStart w:id="375" w:name="Tc_TUaILMYZVUKIvrFlt8OQ7w_12_0"/>
      <w:bookmarkStart w:id="376" w:name="Tc_nE_ioDeekkukXcygxfot-w_11_16"/>
      <w:bookmarkStart w:id="377" w:name="Tc_aZnJ-9tehUuSrjs5kziPgw_11_13"/>
      <w:bookmarkStart w:id="378" w:name="Tc_mFjIhBE2zkaYwU2yJcvMxQ_11_10"/>
      <w:bookmarkStart w:id="379" w:name="Tc_We2rcxKHdUuSHjmCeVi8EA_11_7"/>
      <w:bookmarkStart w:id="380" w:name="Tc_g2uKUy6Ar0Sca-PsurVt9g_11_5"/>
      <w:bookmarkStart w:id="381" w:name="Tc_hM6-7lbjdEaR3svmbcZoCA_11_2"/>
      <w:bookmarkStart w:id="382" w:name="Tc_qoUzsVjbOUOCxir9rjLOmQ_11_0"/>
      <w:bookmarkStart w:id="383" w:name="Tc_QQowlwMM5UyLHQFMjLEg5w_10_19"/>
      <w:bookmarkStart w:id="384" w:name="Tc_IgHDZ807X06PDHnalJRc2A_10_16"/>
      <w:bookmarkStart w:id="385" w:name="Tc_hPbZCmU3yU-NWVWTeatgJg_10_10"/>
      <w:bookmarkStart w:id="386" w:name="Tc_HPpdkAvxykqKBwlEUGx0vg_10_7"/>
      <w:bookmarkStart w:id="387" w:name="Tc_q3sHkXeiSUGDl1mEzkOKKQ_10_5"/>
      <w:bookmarkStart w:id="388" w:name="Tc_bLYjYC6HH0qNKnBIOZUGrw_10_2"/>
      <w:bookmarkStart w:id="389" w:name="Tc_upPfjYwc1k-J9e9mZWY_jA_10_0"/>
      <w:bookmarkStart w:id="390" w:name="Tc_zw_W0hfSLkGgW_Bratv66Q_9_19"/>
      <w:bookmarkStart w:id="391" w:name="Tc_jFLs45dpgkmsxlEXMtplXg_9_16"/>
      <w:bookmarkStart w:id="392" w:name="Tc_C6QzqNZwvkKxitnzEp6G7A_9_10"/>
      <w:bookmarkStart w:id="393" w:name="Tc_L4TJotXYAEu8SwArG2dtaA_9_7"/>
      <w:bookmarkStart w:id="394" w:name="Tc_LtqZIYdyG0iNTiWMWPd0Tw_9_5"/>
      <w:bookmarkStart w:id="395" w:name="Tc_hNtBy8yz0UGwUziJJ6Cj8A_9_2"/>
      <w:bookmarkStart w:id="396" w:name="Tc_e2sw5YsXiUyomC2Hm6hygA_9_0"/>
      <w:bookmarkStart w:id="397" w:name="Tc_cDQDbAuL8ES8NDdtbuXXOQ_8_19"/>
      <w:bookmarkStart w:id="398" w:name="Tc_G_aVZjSEgE2isdiJyae2fQ_8_16"/>
      <w:bookmarkStart w:id="399" w:name="Tc_-XCPa756sUCYMytCxyXQiA_8_10"/>
      <w:bookmarkStart w:id="400" w:name="Tc__7dl92pelUe9RKDCseC3Pw_8_7"/>
      <w:bookmarkStart w:id="401" w:name="Tc_kNPOWpU1yUCyzsTz57tpIw_8_0"/>
      <w:bookmarkStart w:id="402" w:name="Tc_HhztGQTdkEa9jKr2ojBzXg_7_19"/>
      <w:bookmarkStart w:id="403" w:name="Tc_EF-PU4c2AUWT3xg-f2zUuQ_7_16"/>
      <w:bookmarkStart w:id="404" w:name="Tc_cxp-MfLEFE-m2ntyyHPhUQ_7_10"/>
      <w:bookmarkStart w:id="405" w:name="Tc_sVfq_z2P8kCowiFxxnrkXw_7_7"/>
      <w:bookmarkStart w:id="406" w:name="Tc_aZz1Za0APEKAMIWizIL-dQ_7_5"/>
      <w:bookmarkStart w:id="407" w:name="Tc_tUydl7iebE2IxOvIETHdOA_7_0"/>
      <w:bookmarkStart w:id="408" w:name="Tc_6kt7viCHsE-GyQLFHOEX7g_6_21"/>
      <w:bookmarkStart w:id="409" w:name="Tc_8p7hBUtiJE2rut2kEBNvHA_6_18"/>
      <w:bookmarkStart w:id="410" w:name="Tc_RSjY_yn_wUe8tI8bonrrjQ_6_15"/>
      <w:bookmarkStart w:id="411" w:name="Tc_-QipadwmYEydibGT5tP1Kg_6_12"/>
      <w:bookmarkStart w:id="412" w:name="Tc_0wvFmmm_M02tk2T_5h0zGQ_6_9"/>
      <w:bookmarkStart w:id="413" w:name="Tc_vvjHCVwYN0u7Yrp0LFqU-Q_6_4"/>
      <w:bookmarkStart w:id="414" w:name="Tc_z1W5Vbu-Ak-uo5_aIrh2TA_6_0"/>
      <w:bookmarkStart w:id="415" w:name="Tc_tetDw6QrmUeUtEghuYoB-g_5_21"/>
      <w:bookmarkStart w:id="416" w:name="Tc_VgCf8FbTXk-bQokNnw0LYQ_5_18"/>
      <w:bookmarkStart w:id="417" w:name="Tc_wrbeSv7DY0uimAHL2tYgcQ_5_15"/>
      <w:bookmarkStart w:id="418" w:name="Tc_Ls4VT-yhPUqH_2eChuDZdQ_5_12"/>
      <w:bookmarkStart w:id="419" w:name="Tc_7fN4W7gLfE6hQf8sMugsPg_5_9"/>
      <w:bookmarkStart w:id="420" w:name="Tc_dFLSkMTX0EGpEt6rf8faHw_5_7"/>
      <w:bookmarkStart w:id="421" w:name="Tc__qAyMTwH-UqPIQy6RDxyjA_5_4"/>
      <w:bookmarkStart w:id="422" w:name="Tc_QbQlQ51AyE2teqDL6-kJDw_5_2"/>
      <w:bookmarkStart w:id="423" w:name="Tc_WkSr4ED--06wphEXAlNGLg_4_21"/>
      <w:bookmarkStart w:id="424" w:name="Tc_4zSOMV7L80WKaydfU-O20A_4_18"/>
      <w:bookmarkStart w:id="425" w:name="Tc_H2uNlqPVSke7bkqQsT4wNg_4_15"/>
      <w:bookmarkStart w:id="426" w:name="Tc_JC4IvwkwIUeZQraMFVbdzQ_4_12"/>
      <w:bookmarkStart w:id="427" w:name="Tc_BVYrW3EX_Emu_SONjKWQhA_4_9"/>
      <w:bookmarkStart w:id="428" w:name="Tc_5ojmHpxl3k2XtUtCHBXEZQ_4_7"/>
      <w:bookmarkStart w:id="429" w:name="Tc_Nw0NEDKq1EOdud-nzgskow_4_4"/>
      <w:bookmarkStart w:id="430" w:name="Tc_qbpMOz-X-ECsITj79Fzh_A_4_2"/>
      <w:bookmarkStart w:id="431" w:name="Tc_v6SB3vvzqkG9kFg10iLJig_3_21"/>
      <w:bookmarkStart w:id="432" w:name="Tc_pRkrSGpHpka5Y6CZmGPn7g_3_18"/>
      <w:bookmarkStart w:id="433" w:name="Tc_1dldPAPDU0qg01I7Naah9w_3_15"/>
      <w:bookmarkStart w:id="434" w:name="Tc_n9VklPAhvkOqF0hRyZpuvg_3_12"/>
      <w:bookmarkStart w:id="435" w:name="Tc_Nc8gI-whZ0OSuydf8SrGaw_3_9"/>
      <w:bookmarkStart w:id="436" w:name="Tc_wel-I6CQ_E-Nxz4Qa4pShQ_3_7"/>
      <w:bookmarkStart w:id="437" w:name="Tc_SzjsXw8stkSsP5Gqp351-g_3_4"/>
      <w:bookmarkStart w:id="438" w:name="Tc_2Yfc2t7C4UeCLOQnS5snwg_3_2"/>
      <w:bookmarkStart w:id="439" w:name="Tc_HH2vQb9POUqcY3JGx0CgRA_2_18"/>
      <w:bookmarkStart w:id="440" w:name="Tc_otLV5q3XEEy8tHKV4qSevw_2_15"/>
      <w:bookmarkStart w:id="441" w:name="_a17fef93_5e71_4b53_a86b_bfc67f6215a5"/>
      <w:bookmarkStart w:id="442" w:name="Tc_sUqWW0tBDEyBmlYSzHptIw_27_21"/>
      <w:bookmarkStart w:id="443" w:name="Tc_FlibdukKkE6PRRHykc4joQ_27_18"/>
      <w:bookmarkStart w:id="444" w:name="Tc_WBXmA5-kvUi6s2Ifl4kbTQ_27_15"/>
      <w:bookmarkStart w:id="445" w:name="Tc_cHf8mmfN7U2FyYHPFgiI9Q_27_12"/>
      <w:bookmarkStart w:id="446" w:name="Tc_-09dFdhdj0icWIiHd_JSqQ_27_9"/>
      <w:bookmarkStart w:id="447" w:name="Tc_Mevs48Zys0aJGlyY4YLoYA_27_0"/>
      <w:bookmarkStart w:id="448" w:name="Tc_3ztrD993bEiocYzW9C--XQ_26_19"/>
      <w:bookmarkStart w:id="449" w:name="Tc_EkOmjtwm0E6P6hHYccSXFQ_26_13"/>
      <w:bookmarkStart w:id="450" w:name="Tc__b0-bsruJUmC0OlaXSg_pw_26_10"/>
      <w:bookmarkStart w:id="451" w:name="Tc_JLCHB9pSzESvIxG-D8abSA_26_7"/>
      <w:bookmarkStart w:id="452" w:name="Tc_eTm7LoxnSkuUcSH5HMBbvg_26_5"/>
      <w:bookmarkStart w:id="453" w:name="Tc_94A9aXbSu06D7Fhee1ktAw_26_2"/>
      <w:bookmarkStart w:id="454" w:name="Tc_iOuRb_j9fky2PNSiqsLpuQ_26_0"/>
      <w:bookmarkStart w:id="455" w:name="Tc_1r_bW2-WckWMDE7wD8TurQ_25_16"/>
      <w:bookmarkStart w:id="456" w:name="Tc_wBSYzreHFEK4YbR5NtWbow_25_13"/>
      <w:bookmarkStart w:id="457" w:name="Tc_FuEuNRKyv0SxC4mh_F755g_25_10"/>
      <w:bookmarkStart w:id="458" w:name="Tc_UiWnlofleUOoabK_7pPMiw_25_7"/>
      <w:bookmarkStart w:id="459" w:name="Tc_s60YT1V0UEW8PzcxD_ttQw_25_5"/>
      <w:bookmarkStart w:id="460" w:name="Tc_-WRMIFExXE20vThjG3MuKQ_25_2"/>
      <w:bookmarkStart w:id="461" w:name="Tc_-eBf-TtFMUyZjJOUYhPnPA_25_0"/>
      <w:bookmarkStart w:id="462" w:name="Tc_xm2z8mLmGkWpd1kT0v9bHw_24_16"/>
      <w:bookmarkStart w:id="463" w:name="Tc_em0S2wIEFUOSQRdtZPpJ-g_24_13"/>
      <w:bookmarkStart w:id="464" w:name="Tc_ALcI2xdzRUWRhVL-eZ7FRQ_24_10"/>
      <w:bookmarkStart w:id="465" w:name="Tc_nvYcsgH0ik-xq2GREOmzyw_24_7"/>
      <w:bookmarkStart w:id="466" w:name="Tc_6Bi7WXQHS0aKA1p_B7CCgg_24_5"/>
      <w:bookmarkStart w:id="467" w:name="Tc_dIa2Er6VbUmqTmW0kF593g_24_2"/>
      <w:bookmarkStart w:id="468" w:name="Tc_jZa8WSdbCEOyz8CLyXEh0w_24_0"/>
      <w:bookmarkStart w:id="469" w:name="Tc_mnwau3rsWEW_KqDmI2n_Pg_23_19"/>
      <w:bookmarkStart w:id="470" w:name="Tc_eZxkVLwgdUa4ON_gJ5axlg_23_16"/>
      <w:bookmarkStart w:id="471" w:name="Tc_4D8irefLyUqQlgsxi9TM4A_23_10"/>
      <w:bookmarkStart w:id="472" w:name="Tc_PEp6YSwj-0OtlRkqw1oJCg_23_7"/>
      <w:bookmarkStart w:id="473" w:name="Tc_Xx8X1iPO402cVOlayT7V0A_23_5"/>
      <w:bookmarkStart w:id="474" w:name="Tc_glw50WG3Tk6QHZOyrzD45g_23_2"/>
      <w:bookmarkStart w:id="475" w:name="Tc_4FRhHSFETki0H9H84e2uFA_23_0"/>
      <w:bookmarkStart w:id="476" w:name="Tc_2P8HlR2jOUKTKk7OHZUvmQ_22_19"/>
      <w:bookmarkStart w:id="477" w:name="Tc_bFH2bWzUtUWrP8uepBI8_Q_22_16"/>
      <w:bookmarkStart w:id="478" w:name="Tc_xPtYVQ3sPk6McQyqwRjpRw_22_10"/>
      <w:bookmarkStart w:id="479" w:name="Tc_AzhWN-cgFEO0VGlHUSfyWw_22_7"/>
      <w:bookmarkStart w:id="480" w:name="Tc_1Cx-mrlVs065KJaiwpZFdw_22_0"/>
      <w:bookmarkStart w:id="481" w:name="Tc_p4oOGJdKm0mNOQHbvW5bLA_21_19"/>
      <w:bookmarkStart w:id="482" w:name="Tc_th1LQ3uI206-ZSA7j0wOIw_21_16"/>
      <w:bookmarkStart w:id="483" w:name="Tc_5yWMftLA30qSdUyFr4-4-A_21_10"/>
      <w:bookmarkStart w:id="484" w:name="Tc_G0w5_n3pzUackgdkCNcTZg_21_7"/>
      <w:bookmarkStart w:id="485" w:name="Tc_PH6zc4OZIEOjucjWtcVagA_21_5"/>
      <w:bookmarkStart w:id="486" w:name="Tc_9X-l2zYBOEGqCioqLHzNtA_21_0"/>
      <w:bookmarkStart w:id="487" w:name="Tc_GbuI8kONBUOW9QJcNQ-yRA_20_21"/>
      <w:bookmarkStart w:id="488" w:name="Tc_VVhszIKJvEGgMEPdStz0FQ_20_18"/>
      <w:bookmarkStart w:id="489" w:name="Tc_8VqhoTaTFk-vwjPEESkElw_20_15"/>
      <w:bookmarkStart w:id="490" w:name="Tc_0IASHOWPU0C-drUL1VMJxA_20_12"/>
      <w:bookmarkStart w:id="491" w:name="Tc_DkYQkWsicEKQVyDpDjy29g_20_9"/>
      <w:bookmarkStart w:id="492" w:name="Tc_nXcjpWqDfUmAE_M2mL-TFQ_20_4"/>
      <w:bookmarkStart w:id="493" w:name="Tc_2msbPi-AuUWM_5IwkX7BGQ_20_0"/>
      <w:bookmarkStart w:id="494" w:name="Tc_0BdSu6YxfEafx048Pal9zw_19_21"/>
      <w:bookmarkStart w:id="495" w:name="Tc_4v9JgNHCxECdbZDvEXPTJw_19_18"/>
      <w:bookmarkStart w:id="496" w:name="Tc_g7GOsOcqIkyoDHra5xv4jQ_19_15"/>
      <w:bookmarkStart w:id="497" w:name="Tc_dMYTLpqYNkiHxncRmoqpZw_19_12"/>
      <w:bookmarkStart w:id="498" w:name="Tc_gBCTmdLBoUyTgCfxuqPOUg_19_9"/>
      <w:bookmarkStart w:id="499" w:name="Tc_1O13ogXNr0GjzQCliLeILg_19_7"/>
      <w:bookmarkStart w:id="500" w:name="Tc_xotlf4sfwk6pzPmwRvylBw_19_4"/>
      <w:bookmarkStart w:id="501" w:name="Tc_J6YV6b7fpEGZdN9HLJP56Q_19_2"/>
      <w:bookmarkStart w:id="502" w:name="Tc_El7G57oLGk6i6lyOB-SnNA_18_21"/>
      <w:bookmarkStart w:id="503" w:name="Tc_wbGly4O9CUinXoLhWP81SQ_18_18"/>
      <w:bookmarkStart w:id="504" w:name="Tc_Q1ja17HYIkekcJej3VSPAg_18_15"/>
      <w:bookmarkStart w:id="505" w:name="Tc_S4kx2Ug4ekSqDGNEPMUFdw_18_12"/>
      <w:bookmarkStart w:id="506" w:name="Tc_hWmcpAKjTkWNq9lnh_pOCA_18_9"/>
      <w:bookmarkStart w:id="507" w:name="Tc_IxJQTgrU0UO3YT9BvV2lBQ_18_7"/>
      <w:bookmarkStart w:id="508" w:name="Tc_eOQbKsjHZk2fQT8cd-QmGw_18_4"/>
      <w:bookmarkStart w:id="509" w:name="Tc_OLGc5f9M6kGKmFR1veK7Uw_18_2"/>
      <w:bookmarkStart w:id="510" w:name="Tc_5eh5LsuFHEOP0O7DCWmslA_17_21"/>
      <w:bookmarkStart w:id="511" w:name="Tc_FnlyDPy8-0y3R1LhzZLX8g_17_18"/>
      <w:bookmarkStart w:id="512" w:name="Tc_LSx-UC78HkmOCnX8njx1SQ_17_15"/>
      <w:bookmarkStart w:id="513" w:name="Tc_B2bZ_in5gk6Ux88kEgxbew_17_12"/>
      <w:bookmarkStart w:id="514" w:name="Tc_1lLDTuyydE6XLhkOkPyoNw_17_9"/>
      <w:bookmarkStart w:id="515" w:name="Tc_UIRkLnvNHEGcVfBaMKIYpQ_17_7"/>
      <w:bookmarkStart w:id="516" w:name="Tc_YtJfMM98yU-V4FxQDV_5iw_17_4"/>
      <w:bookmarkStart w:id="517" w:name="Tc_6Zc5PbXwokKdyS3Fs_H6bw_17_2"/>
      <w:bookmarkStart w:id="518" w:name="Tc_jbyFxPeIikeLlN_e4xhZQg_16_18"/>
      <w:bookmarkStart w:id="519" w:name="Tc_Z5Cz51X1HU2WRPjA6R0QbA_16_15"/>
      <w:bookmarkStart w:id="520" w:name="Tc_bE0cBquw5E-wYp-kseGyDA_14_0"/>
      <w:bookmarkStart w:id="521" w:name="Tc_hZ8Ody-V7UGNP2JlvPoI3Q_13_19"/>
      <w:bookmarkStart w:id="522" w:name="Tc_tku1_j1cO0qVAaUeb_ihVQ_13_13"/>
      <w:bookmarkStart w:id="523" w:name="Tc_vPXmowmSk0C0V5aRKpu9WA_13_10"/>
      <w:bookmarkStart w:id="524" w:name="Tc_u-Tayj_5xUS1N0fZILz8ow_13_7"/>
      <w:bookmarkStart w:id="525" w:name="Tc_vG6eJlCeuE6J3O0jhnZ4dg_13_5"/>
      <w:bookmarkStart w:id="526" w:name="Tc_ZzKXhNbD-0mkpcnprTFJdA_13_2"/>
      <w:bookmarkStart w:id="527" w:name="Tc_gp0NlXFLuk-kc4HkdzKGOw_13_0"/>
      <w:bookmarkStart w:id="528" w:name="Tc_6_vuZ94msE6-8FQ6_HFj9A_12_16"/>
      <w:bookmarkStart w:id="529" w:name="Tc__kL5pQsheE2TzwXAva1cAQ_12_13"/>
      <w:bookmarkStart w:id="530" w:name="Tc_7qcLHnwC30SmmTlUxH6SNQ_12_10"/>
      <w:bookmarkStart w:id="531" w:name="Tc_lZ7HubuIQEeARiKRjwoK6A_12_7"/>
      <w:bookmarkStart w:id="532" w:name="Tc_wcE3aQ8aTEa70-vbkICfqA_12_5"/>
      <w:bookmarkStart w:id="533" w:name="Tc_nGpTQyieoECTwBqLDJURXg_12_2"/>
      <w:bookmarkStart w:id="534" w:name="Tc_TUaILMYZVUKIvrFlt8OQ7w_12_0"/>
      <w:bookmarkStart w:id="535" w:name="Tc_nE_ioDeekkukXcygxfot-w_11_16"/>
      <w:bookmarkStart w:id="536" w:name="Tc_aZnJ-9tehUuSrjs5kziPgw_11_13"/>
      <w:bookmarkStart w:id="537" w:name="Tc_mFjIhBE2zkaYwU2yJcvMxQ_11_10"/>
      <w:bookmarkStart w:id="538" w:name="Tc_We2rcxKHdUuSHjmCeVi8EA_11_7"/>
      <w:bookmarkStart w:id="539" w:name="Tc_g2uKUy6Ar0Sca-PsurVt9g_11_5"/>
      <w:bookmarkStart w:id="540" w:name="Tc_hM6-7lbjdEaR3svmbcZoCA_11_2"/>
      <w:bookmarkStart w:id="541" w:name="Tc_qoUzsVjbOUOCxir9rjLOmQ_11_0"/>
      <w:bookmarkStart w:id="542" w:name="Tc_QQowlwMM5UyLHQFMjLEg5w_10_19"/>
      <w:bookmarkStart w:id="543" w:name="Tc_IgHDZ807X06PDHnalJRc2A_10_16"/>
      <w:bookmarkStart w:id="544" w:name="Tc_hPbZCmU3yU-NWVWTeatgJg_10_10"/>
      <w:bookmarkStart w:id="545" w:name="Tc_HPpdkAvxykqKBwlEUGx0vg_10_7"/>
      <w:bookmarkStart w:id="546" w:name="Tc_q3sHkXeiSUGDl1mEzkOKKQ_10_5"/>
      <w:bookmarkStart w:id="547" w:name="Tc_bLYjYC6HH0qNKnBIOZUGrw_10_2"/>
      <w:bookmarkStart w:id="548" w:name="Tc_upPfjYwc1k-J9e9mZWY_jA_10_0"/>
      <w:bookmarkStart w:id="549" w:name="Tc_zw_W0hfSLkGgW_Bratv66Q_9_19"/>
      <w:bookmarkStart w:id="550" w:name="Tc_jFLs45dpgkmsxlEXMtplXg_9_16"/>
      <w:bookmarkStart w:id="551" w:name="Tc_C6QzqNZwvkKxitnzEp6G7A_9_10"/>
      <w:bookmarkStart w:id="552" w:name="Tc_L4TJotXYAEu8SwArG2dtaA_9_7"/>
      <w:bookmarkStart w:id="553" w:name="Tc_LtqZIYdyG0iNTiWMWPd0Tw_9_5"/>
      <w:bookmarkStart w:id="554" w:name="Tc_hNtBy8yz0UGwUziJJ6Cj8A_9_2"/>
      <w:bookmarkStart w:id="555" w:name="Tc_e2sw5YsXiUyomC2Hm6hygA_9_0"/>
      <w:bookmarkStart w:id="556" w:name="Tc_cDQDbAuL8ES8NDdtbuXXOQ_8_19"/>
      <w:bookmarkStart w:id="557" w:name="Tc_G_aVZjSEgE2isdiJyae2fQ_8_16"/>
      <w:bookmarkStart w:id="558" w:name="Tc_-XCPa756sUCYMytCxyXQiA_8_10"/>
      <w:bookmarkStart w:id="559" w:name="Tc__7dl92pelUe9RKDCseC3Pw_8_7"/>
      <w:bookmarkStart w:id="560" w:name="Tc_kNPOWpU1yUCyzsTz57tpIw_8_0"/>
      <w:bookmarkStart w:id="561" w:name="Tc_HhztGQTdkEa9jKr2ojBzXg_7_19"/>
      <w:bookmarkStart w:id="562" w:name="Tc_EF-PU4c2AUWT3xg-f2zUuQ_7_16"/>
      <w:bookmarkStart w:id="563" w:name="Tc_cxp-MfLEFE-m2ntyyHPhUQ_7_10"/>
      <w:bookmarkStart w:id="564" w:name="Tc_sVfq_z2P8kCowiFxxnrkXw_7_7"/>
      <w:bookmarkStart w:id="565" w:name="Tc_aZz1Za0APEKAMIWizIL-dQ_7_5"/>
      <w:bookmarkStart w:id="566" w:name="Tc_tUydl7iebE2IxOvIETHdOA_7_0"/>
      <w:bookmarkStart w:id="567" w:name="Tc_6kt7viCHsE-GyQLFHOEX7g_6_21"/>
      <w:bookmarkStart w:id="568" w:name="Tc_8p7hBUtiJE2rut2kEBNvHA_6_18"/>
      <w:bookmarkStart w:id="569" w:name="Tc_RSjY_yn_wUe8tI8bonrrjQ_6_15"/>
      <w:bookmarkStart w:id="570" w:name="Tc_-QipadwmYEydibGT5tP1Kg_6_12"/>
      <w:bookmarkStart w:id="571" w:name="Tc_0wvFmmm_M02tk2T_5h0zGQ_6_9"/>
      <w:bookmarkStart w:id="572" w:name="Tc_vvjHCVwYN0u7Yrp0LFqU-Q_6_4"/>
      <w:bookmarkStart w:id="573" w:name="Tc_z1W5Vbu-Ak-uo5_aIrh2TA_6_0"/>
      <w:bookmarkStart w:id="574" w:name="Tc_tetDw6QrmUeUtEghuYoB-g_5_21"/>
      <w:bookmarkStart w:id="575" w:name="Tc_VgCf8FbTXk-bQokNnw0LYQ_5_18"/>
      <w:bookmarkStart w:id="576" w:name="Tc_wrbeSv7DY0uimAHL2tYgcQ_5_15"/>
      <w:bookmarkStart w:id="577" w:name="Tc_Ls4VT-yhPUqH_2eChuDZdQ_5_12"/>
      <w:bookmarkStart w:id="578" w:name="Tc_7fN4W7gLfE6hQf8sMugsPg_5_9"/>
      <w:bookmarkStart w:id="579" w:name="Tc_dFLSkMTX0EGpEt6rf8faHw_5_7"/>
      <w:bookmarkStart w:id="580" w:name="Tc__qAyMTwH-UqPIQy6RDxyjA_5_4"/>
      <w:bookmarkStart w:id="581" w:name="Tc_QbQlQ51AyE2teqDL6-kJDw_5_2"/>
      <w:bookmarkStart w:id="582" w:name="Tc_WkSr4ED--06wphEXAlNGLg_4_21"/>
      <w:bookmarkStart w:id="583" w:name="Tc_4zSOMV7L80WKaydfU-O20A_4_18"/>
      <w:bookmarkStart w:id="584" w:name="Tc_H2uNlqPVSke7bkqQsT4wNg_4_15"/>
      <w:bookmarkStart w:id="585" w:name="Tc_JC4IvwkwIUeZQraMFVbdzQ_4_12"/>
      <w:bookmarkStart w:id="586" w:name="Tc_BVYrW3EX_Emu_SONjKWQhA_4_9"/>
      <w:bookmarkStart w:id="587" w:name="Tc_5ojmHpxl3k2XtUtCHBXEZQ_4_7"/>
      <w:bookmarkStart w:id="588" w:name="Tc_Nw0NEDKq1EOdud-nzgskow_4_4"/>
      <w:bookmarkStart w:id="589" w:name="Tc_qbpMOz-X-ECsITj79Fzh_A_4_2"/>
      <w:bookmarkStart w:id="590" w:name="Tc_v6SB3vvzqkG9kFg10iLJig_3_21"/>
      <w:bookmarkStart w:id="591" w:name="Tc_pRkrSGpHpka5Y6CZmGPn7g_3_18"/>
      <w:bookmarkStart w:id="592" w:name="Tc_1dldPAPDU0qg01I7Naah9w_3_15"/>
      <w:bookmarkStart w:id="593" w:name="Tc_n9VklPAhvkOqF0hRyZpuvg_3_12"/>
      <w:bookmarkStart w:id="594" w:name="Tc_Nc8gI-whZ0OSuydf8SrGaw_3_9"/>
      <w:bookmarkStart w:id="595" w:name="Tc_wel-I6CQ_E-Nxz4Qa4pShQ_3_7"/>
      <w:bookmarkStart w:id="596" w:name="Tc_SzjsXw8stkSsP5Gqp351-g_3_4"/>
      <w:bookmarkStart w:id="597" w:name="Tc_2Yfc2t7C4UeCLOQnS5snwg_3_2"/>
      <w:bookmarkStart w:id="598" w:name="Tc_HH2vQb9POUqcY3JGx0CgRA_2_18"/>
      <w:bookmarkStart w:id="599" w:name="Tc_otLV5q3XEEy8tHKV4qSevw_2_15"/>
      <w:bookmarkStart w:id="600" w:name="_a17fef93_5e71_4b53_a86b_bfc67f6215a5"/>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p>
    <w:tbl>
      <w:tblPr>
        <w:tblW w:w="10205" w:type="dxa"/>
        <w:jc w:val="left"/>
        <w:tblInd w:w="0" w:type="dxa"/>
        <w:tblLayout w:type="fixed"/>
        <w:tblCellMar>
          <w:top w:w="0" w:type="dxa"/>
          <w:left w:w="0" w:type="dxa"/>
          <w:bottom w:w="0" w:type="dxa"/>
          <w:right w:w="0" w:type="dxa"/>
        </w:tblCellMar>
      </w:tblPr>
      <w:tblGrid>
        <w:gridCol w:w="1902"/>
        <w:gridCol w:w="206"/>
        <w:gridCol w:w="856"/>
        <w:gridCol w:w="206"/>
        <w:gridCol w:w="215"/>
        <w:gridCol w:w="416"/>
        <w:gridCol w:w="206"/>
        <w:gridCol w:w="856"/>
        <w:gridCol w:w="206"/>
        <w:gridCol w:w="215"/>
        <w:gridCol w:w="416"/>
        <w:gridCol w:w="206"/>
        <w:gridCol w:w="181"/>
        <w:gridCol w:w="589"/>
        <w:gridCol w:w="206"/>
        <w:gridCol w:w="224"/>
        <w:gridCol w:w="692"/>
        <w:gridCol w:w="206"/>
        <w:gridCol w:w="257"/>
        <w:gridCol w:w="794"/>
        <w:gridCol w:w="206"/>
        <w:gridCol w:w="197"/>
        <w:gridCol w:w="747"/>
      </w:tblGrid>
      <w:tr>
        <w:trPr/>
        <w:tc>
          <w:tcPr>
            <w:tcW w:w="19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207770" cy="175260"/>
                      <wp:effectExtent l="0" t="0" r="0" b="0"/>
                      <wp:wrapNone/>
                      <wp:docPr id="13" name="Frame13"/>
                      <a:graphic xmlns:a="http://schemas.openxmlformats.org/drawingml/2006/main">
                        <a:graphicData uri="http://schemas.microsoft.com/office/word/2010/wordprocessingShape">
                          <wps:wsp>
                            <wps:cNvSpPr txBox="1"/>
                            <wps:spPr>
                              <a:xfrm>
                                <a:off x="0" y="0"/>
                                <a:ext cx="12077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30810" cy="175260"/>
                      <wp:effectExtent l="0" t="0" r="0" b="0"/>
                      <wp:wrapNone/>
                      <wp:docPr id="14" name="Frame14"/>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543560" cy="175260"/>
                      <wp:effectExtent l="0" t="0" r="0" b="0"/>
                      <wp:wrapNone/>
                      <wp:docPr id="15" name="Frame15"/>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30810" cy="175260"/>
                      <wp:effectExtent l="0" t="0" r="0" b="0"/>
                      <wp:wrapNone/>
                      <wp:docPr id="16" name="Frame16"/>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136525" cy="175260"/>
                      <wp:effectExtent l="0" t="0" r="0" b="0"/>
                      <wp:wrapNone/>
                      <wp:docPr id="17" name="Frame17"/>
                      <a:graphic xmlns:a="http://schemas.openxmlformats.org/drawingml/2006/main">
                        <a:graphicData uri="http://schemas.microsoft.com/office/word/2010/wordprocessingShape">
                          <wps:wsp>
                            <wps:cNvSpPr txBox="1"/>
                            <wps:spPr>
                              <a:xfrm>
                                <a:off x="0" y="0"/>
                                <a:ext cx="136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64160" cy="175260"/>
                      <wp:effectExtent l="0" t="0" r="0" b="0"/>
                      <wp:wrapNone/>
                      <wp:docPr id="18" name="Frame18"/>
                      <a:graphic xmlns:a="http://schemas.openxmlformats.org/drawingml/2006/main">
                        <a:graphicData uri="http://schemas.microsoft.com/office/word/2010/wordprocessingShape">
                          <wps:wsp>
                            <wps:cNvSpPr txBox="1"/>
                            <wps:spPr>
                              <a:xfrm>
                                <a:off x="0" y="0"/>
                                <a:ext cx="264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30810" cy="175260"/>
                      <wp:effectExtent l="0" t="0" r="0" b="0"/>
                      <wp:wrapNone/>
                      <wp:docPr id="19" name="Frame19"/>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543560" cy="175260"/>
                      <wp:effectExtent l="0" t="0" r="0" b="0"/>
                      <wp:wrapNone/>
                      <wp:docPr id="20" name="Frame20"/>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130810" cy="175260"/>
                      <wp:effectExtent l="0" t="0" r="0" b="0"/>
                      <wp:wrapNone/>
                      <wp:docPr id="21" name="Frame21"/>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136525" cy="175260"/>
                      <wp:effectExtent l="0" t="0" r="0" b="0"/>
                      <wp:wrapNone/>
                      <wp:docPr id="22" name="Frame22"/>
                      <a:graphic xmlns:a="http://schemas.openxmlformats.org/drawingml/2006/main">
                        <a:graphicData uri="http://schemas.microsoft.com/office/word/2010/wordprocessingShape">
                          <wps:wsp>
                            <wps:cNvSpPr txBox="1"/>
                            <wps:spPr>
                              <a:xfrm>
                                <a:off x="0" y="0"/>
                                <a:ext cx="136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64160" cy="175260"/>
                      <wp:effectExtent l="0" t="0" r="0" b="0"/>
                      <wp:wrapNone/>
                      <wp:docPr id="23" name="Frame23"/>
                      <a:graphic xmlns:a="http://schemas.openxmlformats.org/drawingml/2006/main">
                        <a:graphicData uri="http://schemas.microsoft.com/office/word/2010/wordprocessingShape">
                          <wps:wsp>
                            <wps:cNvSpPr txBox="1"/>
                            <wps:spPr>
                              <a:xfrm>
                                <a:off x="0" y="0"/>
                                <a:ext cx="264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130810" cy="175260"/>
                      <wp:effectExtent l="0" t="0" r="0" b="0"/>
                      <wp:wrapNone/>
                      <wp:docPr id="24" name="Frame24"/>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114935" cy="175260"/>
                      <wp:effectExtent l="0" t="0" r="0" b="0"/>
                      <wp:wrapNone/>
                      <wp:docPr id="25" name="Frame25"/>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374015" cy="175260"/>
                      <wp:effectExtent l="0" t="0" r="0" b="0"/>
                      <wp:wrapNone/>
                      <wp:docPr id="26" name="Frame26"/>
                      <a:graphic xmlns:a="http://schemas.openxmlformats.org/drawingml/2006/main">
                        <a:graphicData uri="http://schemas.microsoft.com/office/word/2010/wordprocessingShape">
                          <wps:wsp>
                            <wps:cNvSpPr txBox="1"/>
                            <wps:spPr>
                              <a:xfrm>
                                <a:off x="0" y="0"/>
                                <a:ext cx="3740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130810" cy="175260"/>
                      <wp:effectExtent l="0" t="0" r="0" b="0"/>
                      <wp:wrapNone/>
                      <wp:docPr id="27" name="Frame27"/>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142240" cy="175260"/>
                      <wp:effectExtent l="0" t="0" r="0" b="0"/>
                      <wp:wrapNone/>
                      <wp:docPr id="28" name="Frame28"/>
                      <a:graphic xmlns:a="http://schemas.openxmlformats.org/drawingml/2006/main">
                        <a:graphicData uri="http://schemas.microsoft.com/office/word/2010/wordprocessingShape">
                          <wps:wsp>
                            <wps:cNvSpPr txBox="1"/>
                            <wps:spPr>
                              <a:xfrm>
                                <a:off x="0" y="0"/>
                                <a:ext cx="1422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439420" cy="175260"/>
                      <wp:effectExtent l="0" t="0" r="0" b="0"/>
                      <wp:wrapNone/>
                      <wp:docPr id="29" name="Frame29"/>
                      <a:graphic xmlns:a="http://schemas.openxmlformats.org/drawingml/2006/main">
                        <a:graphicData uri="http://schemas.microsoft.com/office/word/2010/wordprocessingShape">
                          <wps:wsp>
                            <wps:cNvSpPr txBox="1"/>
                            <wps:spPr>
                              <a:xfrm>
                                <a:off x="0" y="0"/>
                                <a:ext cx="4394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130810" cy="175260"/>
                      <wp:effectExtent l="0" t="0" r="0" b="0"/>
                      <wp:wrapNone/>
                      <wp:docPr id="30" name="Frame30"/>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163195" cy="175260"/>
                      <wp:effectExtent l="0" t="0" r="0" b="0"/>
                      <wp:wrapNone/>
                      <wp:docPr id="31" name="Frame31"/>
                      <a:graphic xmlns:a="http://schemas.openxmlformats.org/drawingml/2006/main">
                        <a:graphicData uri="http://schemas.microsoft.com/office/word/2010/wordprocessingShape">
                          <wps:wsp>
                            <wps:cNvSpPr txBox="1"/>
                            <wps:spPr>
                              <a:xfrm>
                                <a:off x="0" y="0"/>
                                <a:ext cx="1631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504190" cy="175260"/>
                      <wp:effectExtent l="0" t="0" r="0" b="0"/>
                      <wp:wrapNone/>
                      <wp:docPr id="32" name="Frame32"/>
                      <a:graphic xmlns:a="http://schemas.openxmlformats.org/drawingml/2006/main">
                        <a:graphicData uri="http://schemas.microsoft.com/office/word/2010/wordprocessingShape">
                          <wps:wsp>
                            <wps:cNvSpPr txBox="1"/>
                            <wps:spPr>
                              <a:xfrm>
                                <a:off x="0" y="0"/>
                                <a:ext cx="5041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130810" cy="175260"/>
                      <wp:effectExtent l="0" t="0" r="0" b="0"/>
                      <wp:wrapNone/>
                      <wp:docPr id="33" name="Frame33"/>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125095" cy="175260"/>
                      <wp:effectExtent l="0" t="0" r="0" b="0"/>
                      <wp:wrapNone/>
                      <wp:docPr id="34" name="Frame34"/>
                      <a:graphic xmlns:a="http://schemas.openxmlformats.org/drawingml/2006/main">
                        <a:graphicData uri="http://schemas.microsoft.com/office/word/2010/wordprocessingShape">
                          <wps:wsp>
                            <wps:cNvSpPr txBox="1"/>
                            <wps:spPr>
                              <a:xfrm>
                                <a:off x="0" y="0"/>
                                <a:ext cx="1250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474345" cy="175260"/>
                      <wp:effectExtent l="0" t="0" r="0" b="0"/>
                      <wp:wrapNone/>
                      <wp:docPr id="35" name="Frame35"/>
                      <a:graphic xmlns:a="http://schemas.openxmlformats.org/drawingml/2006/main">
                        <a:graphicData uri="http://schemas.microsoft.com/office/word/2010/wordprocessingShape">
                          <wps:wsp>
                            <wps:cNvSpPr txBox="1"/>
                            <wps:spPr>
                              <a:xfrm>
                                <a:off x="0" y="0"/>
                                <a:ext cx="4743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02"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3592" w:type="dxa"/>
            <w:gridSpan w:val="9"/>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center"/>
              <w:rPr/>
            </w:pPr>
            <w:r>
              <w:rPr/>
              <w:t>​</w:t>
            </w:r>
          </w:p>
        </w:tc>
        <w:tc>
          <w:tcPr>
            <w:tcW w:w="589"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center"/>
              <w:rPr/>
            </w:pPr>
            <w:r>
              <w:rPr/>
              <w:t>​</w:t>
            </w:r>
          </w:p>
        </w:tc>
        <w:tc>
          <w:tcPr>
            <w:tcW w:w="692"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1051" w:type="dxa"/>
            <w:gridSpan w:val="2"/>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center"/>
              <w:rPr/>
            </w:pPr>
            <w:r>
              <w:rPr/>
              <w:t>​</w:t>
            </w:r>
          </w:p>
        </w:tc>
        <w:tc>
          <w:tcPr>
            <w:tcW w:w="747" w:type="dxa"/>
            <w:tcBorders/>
            <w:vAlign w:val="center"/>
          </w:tcPr>
          <w:p>
            <w:pPr>
              <w:pStyle w:val="TableContents"/>
              <w:bidi w:val="0"/>
              <w:spacing w:before="0" w:after="0"/>
              <w:ind w:left="0" w:right="0" w:hanging="0"/>
              <w:jc w:val="left"/>
              <w:rPr/>
            </w:pPr>
            <w:r>
              <w:rPr/>
              <w:t>​</w:t>
            </w:r>
          </w:p>
        </w:tc>
      </w:tr>
      <w:tr>
        <w:trPr/>
        <w:tc>
          <w:tcPr>
            <w:tcW w:w="1902"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center"/>
              <w:rPr/>
            </w:pPr>
            <w:r>
              <w:rPr/>
              <w:t>​</w:t>
            </w:r>
          </w:p>
        </w:tc>
        <w:tc>
          <w:tcPr>
            <w:tcW w:w="41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center"/>
              <w:rPr/>
            </w:pPr>
            <w:r>
              <w:rPr/>
              <w:t>​</w:t>
            </w:r>
          </w:p>
        </w:tc>
        <w:tc>
          <w:tcPr>
            <w:tcW w:w="41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center"/>
              <w:rPr/>
            </w:pPr>
            <w:r>
              <w:rPr/>
              <w:t>​</w:t>
            </w:r>
          </w:p>
        </w:tc>
        <w:tc>
          <w:tcPr>
            <w:tcW w:w="589"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left"/>
              <w:rPr/>
            </w:pPr>
            <w:r>
              <w:rPr/>
              <w:t>​</w:t>
            </w:r>
          </w:p>
        </w:tc>
        <w:tc>
          <w:tcPr>
            <w:tcW w:w="91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Retained</w:t>
            </w:r>
          </w:p>
        </w:tc>
        <w:tc>
          <w:tcPr>
            <w:tcW w:w="206" w:type="dxa"/>
            <w:tcBorders/>
            <w:vAlign w:val="center"/>
          </w:tcPr>
          <w:p>
            <w:pPr>
              <w:pStyle w:val="TableContents"/>
              <w:bidi w:val="0"/>
              <w:spacing w:before="0" w:after="0"/>
              <w:ind w:left="0" w:right="0" w:hanging="0"/>
              <w:jc w:val="left"/>
              <w:rPr/>
            </w:pPr>
            <w:r>
              <w:rPr/>
              <w:t>​</w:t>
            </w:r>
          </w:p>
        </w:tc>
        <w:tc>
          <w:tcPr>
            <w:tcW w:w="105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206"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center"/>
              <w:rPr/>
            </w:pPr>
            <w:r>
              <w:rPr/>
              <w:t>​</w:t>
            </w:r>
          </w:p>
        </w:tc>
        <w:tc>
          <w:tcPr>
            <w:tcW w:w="747" w:type="dxa"/>
            <w:tcBorders/>
            <w:vAlign w:val="center"/>
          </w:tcPr>
          <w:p>
            <w:pPr>
              <w:pStyle w:val="TableContents"/>
              <w:bidi w:val="0"/>
              <w:spacing w:before="0" w:after="0"/>
              <w:ind w:left="0" w:right="0" w:hanging="0"/>
              <w:jc w:val="left"/>
              <w:rPr/>
            </w:pPr>
            <w:r>
              <w:rPr/>
              <w:t>​</w:t>
            </w:r>
          </w:p>
        </w:tc>
      </w:tr>
      <w:tr>
        <w:trPr/>
        <w:tc>
          <w:tcPr>
            <w:tcW w:w="1902"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center"/>
              <w:rPr/>
            </w:pPr>
            <w:r>
              <w:rPr/>
              <w:t>​</w:t>
            </w:r>
          </w:p>
        </w:tc>
        <w:tc>
          <w:tcPr>
            <w:tcW w:w="85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Outstanding</w:t>
            </w:r>
          </w:p>
        </w:tc>
        <w:tc>
          <w:tcPr>
            <w:tcW w:w="206" w:type="dxa"/>
            <w:tcBorders/>
            <w:vAlign w:val="center"/>
          </w:tcPr>
          <w:p>
            <w:pPr>
              <w:pStyle w:val="TableContents"/>
              <w:bidi w:val="0"/>
              <w:spacing w:before="0" w:after="0"/>
              <w:ind w:left="0" w:right="0" w:hanging="0"/>
              <w:jc w:val="center"/>
              <w:rPr/>
            </w:pPr>
            <w:r>
              <w:rPr/>
              <w:t>​</w:t>
            </w:r>
          </w:p>
        </w:tc>
        <w:tc>
          <w:tcPr>
            <w:tcW w:w="63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Class A</w:t>
            </w:r>
          </w:p>
        </w:tc>
        <w:tc>
          <w:tcPr>
            <w:tcW w:w="206" w:type="dxa"/>
            <w:tcBorders/>
            <w:vAlign w:val="center"/>
          </w:tcPr>
          <w:p>
            <w:pPr>
              <w:pStyle w:val="TableContents"/>
              <w:bidi w:val="0"/>
              <w:spacing w:before="0" w:after="0"/>
              <w:ind w:left="0" w:right="0" w:hanging="0"/>
              <w:jc w:val="center"/>
              <w:rPr/>
            </w:pPr>
            <w:r>
              <w:rPr/>
              <w:t>​</w:t>
            </w:r>
          </w:p>
        </w:tc>
        <w:tc>
          <w:tcPr>
            <w:tcW w:w="85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Outstanding</w:t>
            </w:r>
          </w:p>
        </w:tc>
        <w:tc>
          <w:tcPr>
            <w:tcW w:w="206" w:type="dxa"/>
            <w:tcBorders/>
            <w:vAlign w:val="center"/>
          </w:tcPr>
          <w:p>
            <w:pPr>
              <w:pStyle w:val="TableContents"/>
              <w:bidi w:val="0"/>
              <w:spacing w:before="0" w:after="0"/>
              <w:ind w:left="0" w:right="0" w:hanging="0"/>
              <w:jc w:val="center"/>
              <w:rPr/>
            </w:pPr>
            <w:r>
              <w:rPr/>
              <w:t>​</w:t>
            </w:r>
          </w:p>
        </w:tc>
        <w:tc>
          <w:tcPr>
            <w:tcW w:w="63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Class B</w:t>
            </w:r>
          </w:p>
        </w:tc>
        <w:tc>
          <w:tcPr>
            <w:tcW w:w="206" w:type="dxa"/>
            <w:tcBorders/>
            <w:vAlign w:val="center"/>
          </w:tcPr>
          <w:p>
            <w:pPr>
              <w:pStyle w:val="TableContents"/>
              <w:bidi w:val="0"/>
              <w:spacing w:before="0" w:after="0"/>
              <w:ind w:left="0" w:right="0" w:hanging="0"/>
              <w:jc w:val="center"/>
              <w:rPr/>
            </w:pPr>
            <w:r>
              <w:rPr/>
              <w:t>​</w:t>
            </w:r>
          </w:p>
        </w:tc>
        <w:tc>
          <w:tcPr>
            <w:tcW w:w="770"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Additional</w:t>
            </w:r>
          </w:p>
        </w:tc>
        <w:tc>
          <w:tcPr>
            <w:tcW w:w="206" w:type="dxa"/>
            <w:tcBorders/>
            <w:vAlign w:val="center"/>
          </w:tcPr>
          <w:p>
            <w:pPr>
              <w:pStyle w:val="TableContents"/>
              <w:bidi w:val="0"/>
              <w:spacing w:before="0" w:after="0"/>
              <w:ind w:left="0" w:right="0" w:hanging="0"/>
              <w:jc w:val="center"/>
              <w:rPr/>
            </w:pPr>
            <w:r>
              <w:rPr/>
              <w:t>  </w:t>
            </w:r>
          </w:p>
        </w:tc>
        <w:tc>
          <w:tcPr>
            <w:tcW w:w="91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Earnings</w:t>
            </w:r>
          </w:p>
        </w:tc>
        <w:tc>
          <w:tcPr>
            <w:tcW w:w="206" w:type="dxa"/>
            <w:tcBorders/>
            <w:vAlign w:val="center"/>
          </w:tcPr>
          <w:p>
            <w:pPr>
              <w:pStyle w:val="TableContents"/>
              <w:bidi w:val="0"/>
              <w:spacing w:before="0" w:after="0"/>
              <w:ind w:left="0" w:right="0" w:hanging="0"/>
              <w:jc w:val="left"/>
              <w:rPr/>
            </w:pPr>
            <w:r>
              <w:rPr/>
              <w:t>  </w:t>
            </w:r>
          </w:p>
        </w:tc>
        <w:tc>
          <w:tcPr>
            <w:tcW w:w="105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Other </w:t>
            </w:r>
          </w:p>
        </w:tc>
        <w:tc>
          <w:tcPr>
            <w:tcW w:w="206" w:type="dxa"/>
            <w:tcBorders/>
            <w:vAlign w:val="center"/>
          </w:tcPr>
          <w:p>
            <w:pPr>
              <w:pStyle w:val="TableContents"/>
              <w:bidi w:val="0"/>
              <w:spacing w:before="0" w:after="0"/>
              <w:ind w:left="0" w:right="0" w:hanging="0"/>
              <w:jc w:val="center"/>
              <w:rPr/>
            </w:pPr>
            <w:r>
              <w:rPr/>
              <w:t>  </w:t>
            </w:r>
          </w:p>
        </w:tc>
        <w:tc>
          <w:tcPr>
            <w:tcW w:w="944"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Total</w:t>
            </w:r>
          </w:p>
        </w:tc>
      </w:tr>
      <w:tr>
        <w:trPr/>
        <w:tc>
          <w:tcPr>
            <w:tcW w:w="1902"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center"/>
              <w:rPr/>
            </w:pPr>
            <w:r>
              <w:rPr/>
              <w:t>​</w:t>
            </w:r>
          </w:p>
        </w:tc>
        <w:tc>
          <w:tcPr>
            <w:tcW w:w="85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Class A</w:t>
            </w:r>
          </w:p>
        </w:tc>
        <w:tc>
          <w:tcPr>
            <w:tcW w:w="206" w:type="dxa"/>
            <w:tcBorders/>
            <w:vAlign w:val="center"/>
          </w:tcPr>
          <w:p>
            <w:pPr>
              <w:pStyle w:val="TableContents"/>
              <w:bidi w:val="0"/>
              <w:spacing w:before="0" w:after="0"/>
              <w:ind w:left="0" w:right="0" w:hanging="0"/>
              <w:jc w:val="center"/>
              <w:rPr/>
            </w:pPr>
            <w:r>
              <w:rPr/>
              <w:t>​</w:t>
            </w:r>
          </w:p>
        </w:tc>
        <w:tc>
          <w:tcPr>
            <w:tcW w:w="63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Common</w:t>
            </w:r>
          </w:p>
        </w:tc>
        <w:tc>
          <w:tcPr>
            <w:tcW w:w="206" w:type="dxa"/>
            <w:tcBorders/>
            <w:vAlign w:val="center"/>
          </w:tcPr>
          <w:p>
            <w:pPr>
              <w:pStyle w:val="TableContents"/>
              <w:bidi w:val="0"/>
              <w:spacing w:before="0" w:after="0"/>
              <w:ind w:left="0" w:right="0" w:hanging="0"/>
              <w:jc w:val="center"/>
              <w:rPr/>
            </w:pPr>
            <w:r>
              <w:rPr/>
              <w:t>​</w:t>
            </w:r>
          </w:p>
        </w:tc>
        <w:tc>
          <w:tcPr>
            <w:tcW w:w="85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Class B</w:t>
            </w:r>
          </w:p>
        </w:tc>
        <w:tc>
          <w:tcPr>
            <w:tcW w:w="206" w:type="dxa"/>
            <w:tcBorders/>
            <w:vAlign w:val="center"/>
          </w:tcPr>
          <w:p>
            <w:pPr>
              <w:pStyle w:val="TableContents"/>
              <w:bidi w:val="0"/>
              <w:spacing w:before="0" w:after="0"/>
              <w:ind w:left="0" w:right="0" w:hanging="0"/>
              <w:jc w:val="center"/>
              <w:rPr/>
            </w:pPr>
            <w:r>
              <w:rPr/>
              <w:t>​</w:t>
            </w:r>
          </w:p>
        </w:tc>
        <w:tc>
          <w:tcPr>
            <w:tcW w:w="63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Common</w:t>
            </w:r>
          </w:p>
        </w:tc>
        <w:tc>
          <w:tcPr>
            <w:tcW w:w="206" w:type="dxa"/>
            <w:tcBorders/>
            <w:vAlign w:val="center"/>
          </w:tcPr>
          <w:p>
            <w:pPr>
              <w:pStyle w:val="TableContents"/>
              <w:bidi w:val="0"/>
              <w:spacing w:before="0" w:after="0"/>
              <w:ind w:left="0" w:right="0" w:hanging="0"/>
              <w:jc w:val="center"/>
              <w:rPr/>
            </w:pPr>
            <w:r>
              <w:rPr/>
              <w:t>​</w:t>
            </w:r>
          </w:p>
        </w:tc>
        <w:tc>
          <w:tcPr>
            <w:tcW w:w="770"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Paid In</w:t>
            </w:r>
          </w:p>
        </w:tc>
        <w:tc>
          <w:tcPr>
            <w:tcW w:w="206" w:type="dxa"/>
            <w:tcBorders/>
            <w:vAlign w:val="center"/>
          </w:tcPr>
          <w:p>
            <w:pPr>
              <w:pStyle w:val="TableContents"/>
              <w:bidi w:val="0"/>
              <w:spacing w:before="0" w:after="0"/>
              <w:ind w:left="0" w:right="0" w:hanging="0"/>
              <w:jc w:val="center"/>
              <w:rPr/>
            </w:pPr>
            <w:r>
              <w:rPr/>
              <w:t>​</w:t>
            </w:r>
          </w:p>
        </w:tc>
        <w:tc>
          <w:tcPr>
            <w:tcW w:w="91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206" w:type="dxa"/>
            <w:tcBorders/>
            <w:vAlign w:val="center"/>
          </w:tcPr>
          <w:p>
            <w:pPr>
              <w:pStyle w:val="TableContents"/>
              <w:bidi w:val="0"/>
              <w:spacing w:before="0" w:after="0"/>
              <w:ind w:left="0" w:right="0" w:hanging="0"/>
              <w:jc w:val="center"/>
              <w:rPr/>
            </w:pPr>
            <w:r>
              <w:rPr/>
              <w:t>​</w:t>
            </w:r>
          </w:p>
        </w:tc>
        <w:tc>
          <w:tcPr>
            <w:tcW w:w="105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Comprehensive </w:t>
            </w:r>
          </w:p>
        </w:tc>
        <w:tc>
          <w:tcPr>
            <w:tcW w:w="206" w:type="dxa"/>
            <w:tcBorders/>
            <w:vAlign w:val="center"/>
          </w:tcPr>
          <w:p>
            <w:pPr>
              <w:pStyle w:val="TableContents"/>
              <w:bidi w:val="0"/>
              <w:spacing w:before="0" w:after="0"/>
              <w:ind w:left="0" w:right="0" w:hanging="0"/>
              <w:jc w:val="center"/>
              <w:rPr/>
            </w:pPr>
            <w:r>
              <w:rPr/>
              <w:t>​</w:t>
            </w:r>
          </w:p>
        </w:tc>
        <w:tc>
          <w:tcPr>
            <w:tcW w:w="944"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Stockholders'</w:t>
            </w:r>
          </w:p>
        </w:tc>
      </w:tr>
      <w:tr>
        <w:trPr/>
        <w:tc>
          <w:tcPr>
            <w:tcW w:w="1902"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  </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206" w:type="dxa"/>
            <w:tcBorders/>
            <w:vAlign w:val="center"/>
          </w:tcPr>
          <w:p>
            <w:pPr>
              <w:pStyle w:val="TableContents"/>
              <w:bidi w:val="0"/>
              <w:spacing w:before="0" w:after="0"/>
              <w:ind w:left="0" w:right="0" w:hanging="0"/>
              <w:jc w:val="center"/>
              <w:rPr/>
            </w:pPr>
            <w:r>
              <w:rPr/>
              <w:t>  </w:t>
            </w:r>
          </w:p>
        </w:tc>
        <w:tc>
          <w:tcPr>
            <w:tcW w:w="631"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14"/>
              </w:rPr>
              <w:t>Stock</w:t>
            </w:r>
          </w:p>
        </w:tc>
        <w:tc>
          <w:tcPr>
            <w:tcW w:w="206" w:type="dxa"/>
            <w:tcBorders/>
            <w:vAlign w:val="center"/>
          </w:tcPr>
          <w:p>
            <w:pPr>
              <w:pStyle w:val="TableContents"/>
              <w:bidi w:val="0"/>
              <w:spacing w:before="0" w:after="0"/>
              <w:ind w:left="0" w:right="0" w:hanging="0"/>
              <w:jc w:val="center"/>
              <w:rPr/>
            </w:pPr>
            <w:r>
              <w:rPr/>
              <w:t>  </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206" w:type="dxa"/>
            <w:tcBorders/>
            <w:vAlign w:val="center"/>
          </w:tcPr>
          <w:p>
            <w:pPr>
              <w:pStyle w:val="TableContents"/>
              <w:bidi w:val="0"/>
              <w:spacing w:before="0" w:after="0"/>
              <w:ind w:left="0" w:right="0" w:hanging="0"/>
              <w:jc w:val="center"/>
              <w:rPr/>
            </w:pPr>
            <w:r>
              <w:rPr/>
              <w:t>  </w:t>
            </w:r>
          </w:p>
        </w:tc>
        <w:tc>
          <w:tcPr>
            <w:tcW w:w="6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Stock</w:t>
            </w:r>
          </w:p>
        </w:tc>
        <w:tc>
          <w:tcPr>
            <w:tcW w:w="206" w:type="dxa"/>
            <w:tcBorders/>
            <w:vAlign w:val="center"/>
          </w:tcPr>
          <w:p>
            <w:pPr>
              <w:pStyle w:val="TableContents"/>
              <w:bidi w:val="0"/>
              <w:spacing w:before="0" w:after="0"/>
              <w:ind w:left="0" w:right="0" w:hanging="0"/>
              <w:jc w:val="center"/>
              <w:rPr/>
            </w:pPr>
            <w:r>
              <w:rPr/>
              <w:t>  </w:t>
            </w:r>
          </w:p>
        </w:tc>
        <w:tc>
          <w:tcPr>
            <w:tcW w:w="7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Capital</w:t>
            </w:r>
          </w:p>
        </w:tc>
        <w:tc>
          <w:tcPr>
            <w:tcW w:w="206" w:type="dxa"/>
            <w:tcBorders/>
            <w:vAlign w:val="center"/>
          </w:tcPr>
          <w:p>
            <w:pPr>
              <w:pStyle w:val="TableContents"/>
              <w:bidi w:val="0"/>
              <w:spacing w:before="0" w:after="0"/>
              <w:ind w:left="0" w:right="0" w:hanging="0"/>
              <w:jc w:val="center"/>
              <w:rPr/>
            </w:pPr>
            <w:r>
              <w:rPr/>
              <w:t>  </w:t>
            </w:r>
          </w:p>
        </w:tc>
        <w:tc>
          <w:tcPr>
            <w:tcW w:w="9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Deficit)</w:t>
            </w:r>
          </w:p>
        </w:tc>
        <w:tc>
          <w:tcPr>
            <w:tcW w:w="206" w:type="dxa"/>
            <w:tcBorders/>
            <w:vAlign w:val="center"/>
          </w:tcPr>
          <w:p>
            <w:pPr>
              <w:pStyle w:val="TableContents"/>
              <w:bidi w:val="0"/>
              <w:spacing w:before="0" w:after="0"/>
              <w:ind w:left="0" w:right="0" w:hanging="0"/>
              <w:jc w:val="center"/>
              <w:rPr/>
            </w:pPr>
            <w:r>
              <w:rPr/>
              <w:t>  </w:t>
            </w:r>
          </w:p>
        </w:tc>
        <w:tc>
          <w:tcPr>
            <w:tcW w:w="10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Loss</w:t>
            </w:r>
          </w:p>
        </w:tc>
        <w:tc>
          <w:tcPr>
            <w:tcW w:w="206" w:type="dxa"/>
            <w:tcBorders/>
            <w:vAlign w:val="center"/>
          </w:tcPr>
          <w:p>
            <w:pPr>
              <w:pStyle w:val="TableContents"/>
              <w:bidi w:val="0"/>
              <w:spacing w:before="0" w:after="0"/>
              <w:ind w:left="0" w:right="0" w:hanging="0"/>
              <w:jc w:val="center"/>
              <w:rPr/>
            </w:pPr>
            <w:r>
              <w:rPr/>
              <w:t>  </w:t>
            </w:r>
          </w:p>
        </w:tc>
        <w:tc>
          <w:tcPr>
            <w:tcW w:w="9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Equity</w:t>
            </w:r>
          </w:p>
        </w:tc>
      </w:tr>
      <w:tr>
        <w:trPr/>
        <w:tc>
          <w:tcPr>
            <w:tcW w:w="1902"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Balance, January 1, 2025</w:t>
            </w:r>
          </w:p>
        </w:tc>
        <w:tc>
          <w:tcPr>
            <w:tcW w:w="206" w:type="dxa"/>
            <w:tcBorders/>
            <w:shd w:fill="CCEEFF" w:val="clear"/>
            <w:vAlign w:val="center"/>
          </w:tcPr>
          <w:p>
            <w:pPr>
              <w:pStyle w:val="TableContents"/>
              <w:bidi w:val="0"/>
              <w:spacing w:before="0" w:after="0"/>
              <w:ind w:left="0" w:right="0" w:hanging="0"/>
              <w:jc w:val="center"/>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70,670</w:t>
            </w:r>
          </w:p>
        </w:tc>
        <w:tc>
          <w:tcPr>
            <w:tcW w:w="206" w:type="dxa"/>
            <w:tcBorders/>
            <w:shd w:fill="CCEEFF" w:val="clear"/>
            <w:vAlign w:val="center"/>
          </w:tcPr>
          <w:p>
            <w:pPr>
              <w:pStyle w:val="TableContents"/>
              <w:bidi w:val="0"/>
              <w:spacing w:before="0" w:after="0"/>
              <w:ind w:left="0" w:right="0" w:hanging="0"/>
              <w:jc w:val="center"/>
              <w:rPr/>
            </w:pPr>
            <w:r>
              <w:rPr/>
              <w:t>​</w:t>
            </w:r>
          </w:p>
        </w:tc>
        <w:tc>
          <w:tcPr>
            <w:tcW w:w="215" w:type="dxa"/>
            <w:tcBorders/>
            <w:shd w:fill="CCEEFF" w:val="cle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w:t>
            </w:r>
          </w:p>
        </w:tc>
        <w:tc>
          <w:tcPr>
            <w:tcW w:w="41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71</w:t>
            </w:r>
          </w:p>
        </w:tc>
        <w:tc>
          <w:tcPr>
            <w:tcW w:w="206" w:type="dxa"/>
            <w:tcBorders/>
            <w:shd w:fill="CCEEFF" w:val="clear"/>
            <w:vAlign w:val="center"/>
          </w:tcPr>
          <w:p>
            <w:pPr>
              <w:pStyle w:val="TableContents"/>
              <w:bidi w:val="0"/>
              <w:spacing w:before="0" w:after="0"/>
              <w:ind w:left="0" w:right="0" w:hanging="0"/>
              <w:jc w:val="center"/>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86,481</w:t>
            </w:r>
          </w:p>
        </w:tc>
        <w:tc>
          <w:tcPr>
            <w:tcW w:w="206" w:type="dxa"/>
            <w:tcBorders/>
            <w:shd w:fill="CCEEFF" w:val="clear"/>
            <w:vAlign w:val="center"/>
          </w:tcPr>
          <w:p>
            <w:pPr>
              <w:pStyle w:val="TableContents"/>
              <w:bidi w:val="0"/>
              <w:spacing w:before="0" w:after="0"/>
              <w:ind w:left="0" w:right="0" w:hanging="0"/>
              <w:jc w:val="center"/>
              <w:rPr/>
            </w:pPr>
            <w:r>
              <w:rPr/>
              <w:t>​</w:t>
            </w:r>
          </w:p>
        </w:tc>
        <w:tc>
          <w:tcPr>
            <w:tcW w:w="215" w:type="dxa"/>
            <w:tcBorders/>
            <w:shd w:fill="CCEEFF" w:val="cle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w:t>
            </w:r>
          </w:p>
        </w:tc>
        <w:tc>
          <w:tcPr>
            <w:tcW w:w="41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86</w:t>
            </w:r>
          </w:p>
        </w:tc>
        <w:tc>
          <w:tcPr>
            <w:tcW w:w="206" w:type="dxa"/>
            <w:tcBorders/>
            <w:shd w:fill="CCEEFF" w:val="clear"/>
            <w:vAlign w:val="center"/>
          </w:tcPr>
          <w:p>
            <w:pPr>
              <w:pStyle w:val="TableContents"/>
              <w:bidi w:val="0"/>
              <w:spacing w:before="0" w:after="0"/>
              <w:ind w:left="0" w:right="0" w:hanging="0"/>
              <w:jc w:val="center"/>
              <w:rPr/>
            </w:pPr>
            <w:r>
              <w:rPr/>
              <w:t>​</w:t>
            </w:r>
          </w:p>
        </w:tc>
        <w:tc>
          <w:tcPr>
            <w:tcW w:w="181" w:type="dxa"/>
            <w:tcBorders/>
            <w:shd w:fill="CCEEFF" w:val="cle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w:t>
            </w:r>
          </w:p>
        </w:tc>
        <w:tc>
          <w:tcPr>
            <w:tcW w:w="58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278,389</w:t>
            </w:r>
          </w:p>
        </w:tc>
        <w:tc>
          <w:tcPr>
            <w:tcW w:w="206" w:type="dxa"/>
            <w:tcBorders/>
            <w:shd w:fill="CCEEFF" w:val="clear"/>
            <w:vAlign w:val="center"/>
          </w:tcPr>
          <w:p>
            <w:pPr>
              <w:pStyle w:val="TableContents"/>
              <w:bidi w:val="0"/>
              <w:spacing w:before="0" w:after="0"/>
              <w:ind w:left="0" w:right="0" w:hanging="0"/>
              <w:jc w:val="center"/>
              <w:rPr/>
            </w:pPr>
            <w:r>
              <w:rPr/>
              <w:t>​</w:t>
            </w:r>
          </w:p>
        </w:tc>
        <w:tc>
          <w:tcPr>
            <w:tcW w:w="224" w:type="dxa"/>
            <w:tcBorders/>
            <w:shd w:fill="CCEEFF" w:val="cle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w:t>
            </w:r>
          </w:p>
        </w:tc>
        <w:tc>
          <w:tcPr>
            <w:tcW w:w="692"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(53,315)</w:t>
            </w:r>
          </w:p>
        </w:tc>
        <w:tc>
          <w:tcPr>
            <w:tcW w:w="206" w:type="dxa"/>
            <w:tcBorders/>
            <w:shd w:fill="CCEEFF" w:val="clear"/>
            <w:vAlign w:val="center"/>
          </w:tcPr>
          <w:p>
            <w:pPr>
              <w:pStyle w:val="TableContents"/>
              <w:bidi w:val="0"/>
              <w:spacing w:before="0" w:after="0"/>
              <w:ind w:left="0" w:right="0" w:hanging="0"/>
              <w:jc w:val="center"/>
              <w:rPr/>
            </w:pPr>
            <w:r>
              <w:rPr/>
              <w:t>​</w:t>
            </w:r>
          </w:p>
        </w:tc>
        <w:tc>
          <w:tcPr>
            <w:tcW w:w="257" w:type="dxa"/>
            <w:tcBorders/>
            <w:shd w:fill="CCEEFF" w:val="cle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(45,879)</w:t>
            </w:r>
          </w:p>
        </w:tc>
        <w:tc>
          <w:tcPr>
            <w:tcW w:w="206" w:type="dxa"/>
            <w:tcBorders/>
            <w:shd w:fill="CCEEFF" w:val="clear"/>
            <w:vAlign w:val="center"/>
          </w:tcPr>
          <w:p>
            <w:pPr>
              <w:pStyle w:val="TableContents"/>
              <w:bidi w:val="0"/>
              <w:spacing w:before="0" w:after="0"/>
              <w:ind w:left="0" w:right="0" w:hanging="0"/>
              <w:jc w:val="center"/>
              <w:rPr/>
            </w:pPr>
            <w:r>
              <w:rPr/>
              <w:t>​</w:t>
            </w:r>
          </w:p>
        </w:tc>
        <w:tc>
          <w:tcPr>
            <w:tcW w:w="197" w:type="dxa"/>
            <w:tcBorders/>
            <w:shd w:fill="CCEEFF" w:val="cle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w:t>
            </w:r>
          </w:p>
        </w:tc>
        <w:tc>
          <w:tcPr>
            <w:tcW w:w="747"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179,352</w:t>
            </w:r>
          </w:p>
        </w:tc>
      </w:tr>
      <w:tr>
        <w:trPr/>
        <w:tc>
          <w:tcPr>
            <w:tcW w:w="1902"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Exercise of stock options, net</w:t>
            </w:r>
          </w:p>
        </w:tc>
        <w:tc>
          <w:tcPr>
            <w:tcW w:w="206" w:type="dxa"/>
            <w:tcBorders/>
            <w:vAlign w:val="center"/>
          </w:tcPr>
          <w:p>
            <w:pPr>
              <w:pStyle w:val="TableContents"/>
              <w:bidi w:val="0"/>
              <w:spacing w:before="0" w:after="0"/>
              <w:ind w:left="0" w:right="0" w:hanging="0"/>
              <w:jc w:val="center"/>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374</w:t>
            </w:r>
          </w:p>
        </w:tc>
        <w:tc>
          <w:tcPr>
            <w:tcW w:w="20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center"/>
              <w:rPr/>
            </w:pPr>
            <w:r>
              <w:rPr/>
              <w:t>​</w:t>
            </w:r>
          </w:p>
        </w:tc>
        <w:tc>
          <w:tcPr>
            <w:tcW w:w="41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center"/>
              <w:rPr/>
            </w:pPr>
            <w:r>
              <w:rPr/>
              <w:t>​</w:t>
            </w:r>
          </w:p>
        </w:tc>
        <w:tc>
          <w:tcPr>
            <w:tcW w:w="41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center"/>
              <w:rPr/>
            </w:pPr>
            <w:r>
              <w:rPr/>
              <w:t>​</w:t>
            </w:r>
          </w:p>
        </w:tc>
        <w:tc>
          <w:tcPr>
            <w:tcW w:w="58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1,165</w:t>
            </w:r>
          </w:p>
        </w:tc>
        <w:tc>
          <w:tcPr>
            <w:tcW w:w="206" w:type="dxa"/>
            <w:tcBorders/>
            <w:vAlign w:val="center"/>
          </w:tcPr>
          <w:p>
            <w:pPr>
              <w:pStyle w:val="TableContents"/>
              <w:bidi w:val="0"/>
              <w:spacing w:before="0" w:after="0"/>
              <w:ind w:left="0" w:right="0" w:hanging="0"/>
              <w:jc w:val="right"/>
              <w:rPr/>
            </w:pPr>
            <w:r>
              <w:rPr/>
              <w:t>​</w:t>
            </w:r>
          </w:p>
        </w:tc>
        <w:tc>
          <w:tcPr>
            <w:tcW w:w="224" w:type="dxa"/>
            <w:tcBorders/>
            <w:vAlign w:val="center"/>
          </w:tcPr>
          <w:p>
            <w:pPr>
              <w:pStyle w:val="TableContents"/>
              <w:bidi w:val="0"/>
              <w:spacing w:before="0" w:after="0"/>
              <w:ind w:left="0" w:right="0" w:hanging="0"/>
              <w:jc w:val="center"/>
              <w:rPr/>
            </w:pPr>
            <w:r>
              <w:rPr/>
              <w:t>​</w:t>
            </w:r>
          </w:p>
        </w:tc>
        <w:tc>
          <w:tcPr>
            <w:tcW w:w="692"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center"/>
              <w:rPr/>
            </w:pPr>
            <w:r>
              <w:rPr/>
              <w:t>​</w:t>
            </w:r>
          </w:p>
        </w:tc>
        <w:tc>
          <w:tcPr>
            <w:tcW w:w="794"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center"/>
              <w:rPr/>
            </w:pPr>
            <w:r>
              <w:rPr/>
              <w:t>​</w:t>
            </w:r>
          </w:p>
        </w:tc>
        <w:tc>
          <w:tcPr>
            <w:tcW w:w="74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1,165</w:t>
            </w:r>
          </w:p>
        </w:tc>
      </w:tr>
      <w:tr>
        <w:trPr/>
        <w:tc>
          <w:tcPr>
            <w:tcW w:w="1902"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Shares issued upon vesting of Restricted Stock Units, net</w:t>
            </w:r>
          </w:p>
        </w:tc>
        <w:tc>
          <w:tcPr>
            <w:tcW w:w="206" w:type="dxa"/>
            <w:tcBorders/>
            <w:shd w:fill="CCEEFF" w:val="clear"/>
            <w:vAlign w:val="center"/>
          </w:tcPr>
          <w:p>
            <w:pPr>
              <w:pStyle w:val="TableContents"/>
              <w:bidi w:val="0"/>
              <w:spacing w:before="0" w:after="0"/>
              <w:ind w:left="0" w:right="0" w:hanging="0"/>
              <w:jc w:val="center"/>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863</w:t>
            </w:r>
          </w:p>
        </w:tc>
        <w:tc>
          <w:tcPr>
            <w:tcW w:w="20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center"/>
              <w:rPr/>
            </w:pPr>
            <w:r>
              <w:rPr/>
              <w:t>​</w:t>
            </w:r>
          </w:p>
        </w:tc>
        <w:tc>
          <w:tcPr>
            <w:tcW w:w="41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w:t>
            </w:r>
          </w:p>
        </w:tc>
        <w:tc>
          <w:tcPr>
            <w:tcW w:w="20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center"/>
              <w:rPr/>
            </w:pPr>
            <w:r>
              <w:rPr/>
              <w:t>​</w:t>
            </w:r>
          </w:p>
        </w:tc>
        <w:tc>
          <w:tcPr>
            <w:tcW w:w="41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center"/>
              <w:rPr/>
            </w:pPr>
            <w:r>
              <w:rPr/>
              <w:t>​</w:t>
            </w:r>
          </w:p>
        </w:tc>
        <w:tc>
          <w:tcPr>
            <w:tcW w:w="58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(25,035)</w:t>
            </w:r>
          </w:p>
        </w:tc>
        <w:tc>
          <w:tcPr>
            <w:tcW w:w="206" w:type="dxa"/>
            <w:tcBorders/>
            <w:shd w:fill="CCEEFF" w:val="clear"/>
            <w:vAlign w:val="center"/>
          </w:tcPr>
          <w:p>
            <w:pPr>
              <w:pStyle w:val="TableContents"/>
              <w:bidi w:val="0"/>
              <w:spacing w:before="0" w:after="0"/>
              <w:ind w:left="0" w:right="0" w:hanging="0"/>
              <w:jc w:val="right"/>
              <w:rPr/>
            </w:pPr>
            <w:r>
              <w:rPr/>
              <w:t>​</w:t>
            </w:r>
          </w:p>
        </w:tc>
        <w:tc>
          <w:tcPr>
            <w:tcW w:w="224" w:type="dxa"/>
            <w:tcBorders/>
            <w:shd w:fill="CCEEFF" w:val="clear"/>
            <w:vAlign w:val="center"/>
          </w:tcPr>
          <w:p>
            <w:pPr>
              <w:pStyle w:val="TableContents"/>
              <w:bidi w:val="0"/>
              <w:spacing w:before="0" w:after="0"/>
              <w:ind w:left="0" w:right="0" w:hanging="0"/>
              <w:jc w:val="center"/>
              <w:rPr/>
            </w:pPr>
            <w:r>
              <w:rPr/>
              <w:t>​</w:t>
            </w:r>
          </w:p>
        </w:tc>
        <w:tc>
          <w:tcPr>
            <w:tcW w:w="692"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center"/>
              <w:rPr/>
            </w:pPr>
            <w:r>
              <w:rPr/>
              <w:t>​</w:t>
            </w:r>
          </w:p>
        </w:tc>
        <w:tc>
          <w:tcPr>
            <w:tcW w:w="794"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center"/>
              <w:rPr/>
            </w:pPr>
            <w:r>
              <w:rPr/>
              <w:t>​</w:t>
            </w:r>
          </w:p>
        </w:tc>
        <w:tc>
          <w:tcPr>
            <w:tcW w:w="747"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(25,034)</w:t>
            </w:r>
          </w:p>
        </w:tc>
      </w:tr>
      <w:tr>
        <w:trPr/>
        <w:tc>
          <w:tcPr>
            <w:tcW w:w="1902"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Stock-based compensation expense</w:t>
            </w:r>
          </w:p>
        </w:tc>
        <w:tc>
          <w:tcPr>
            <w:tcW w:w="206" w:type="dxa"/>
            <w:tcBorders/>
            <w:vAlign w:val="center"/>
          </w:tcPr>
          <w:p>
            <w:pPr>
              <w:pStyle w:val="TableContents"/>
              <w:bidi w:val="0"/>
              <w:spacing w:before="0" w:after="0"/>
              <w:ind w:left="0" w:right="0" w:hanging="0"/>
              <w:jc w:val="center"/>
              <w:rPr/>
            </w:pPr>
            <w:r>
              <w:rPr/>
              <w:t>​</w:t>
            </w:r>
          </w:p>
        </w:tc>
        <w:tc>
          <w:tcPr>
            <w:tcW w:w="85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center"/>
              <w:rPr/>
            </w:pPr>
            <w:r>
              <w:rPr/>
              <w:t>​</w:t>
            </w:r>
          </w:p>
        </w:tc>
        <w:tc>
          <w:tcPr>
            <w:tcW w:w="41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center"/>
              <w:rPr/>
            </w:pPr>
            <w:r>
              <w:rPr/>
              <w:t>​</w:t>
            </w:r>
          </w:p>
        </w:tc>
        <w:tc>
          <w:tcPr>
            <w:tcW w:w="41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center"/>
              <w:rPr/>
            </w:pPr>
            <w:r>
              <w:rPr/>
              <w:t>​</w:t>
            </w:r>
          </w:p>
        </w:tc>
        <w:tc>
          <w:tcPr>
            <w:tcW w:w="58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18,780</w:t>
            </w:r>
          </w:p>
        </w:tc>
        <w:tc>
          <w:tcPr>
            <w:tcW w:w="206" w:type="dxa"/>
            <w:tcBorders/>
            <w:vAlign w:val="center"/>
          </w:tcPr>
          <w:p>
            <w:pPr>
              <w:pStyle w:val="TableContents"/>
              <w:bidi w:val="0"/>
              <w:spacing w:before="0" w:after="0"/>
              <w:ind w:left="0" w:right="0" w:hanging="0"/>
              <w:jc w:val="right"/>
              <w:rPr/>
            </w:pPr>
            <w:r>
              <w:rPr/>
              <w:t>​</w:t>
            </w:r>
          </w:p>
        </w:tc>
        <w:tc>
          <w:tcPr>
            <w:tcW w:w="224" w:type="dxa"/>
            <w:tcBorders/>
            <w:vAlign w:val="center"/>
          </w:tcPr>
          <w:p>
            <w:pPr>
              <w:pStyle w:val="TableContents"/>
              <w:bidi w:val="0"/>
              <w:spacing w:before="0" w:after="0"/>
              <w:ind w:left="0" w:right="0" w:hanging="0"/>
              <w:jc w:val="center"/>
              <w:rPr/>
            </w:pPr>
            <w:r>
              <w:rPr/>
              <w:t>​</w:t>
            </w:r>
          </w:p>
        </w:tc>
        <w:tc>
          <w:tcPr>
            <w:tcW w:w="692"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center"/>
              <w:rPr/>
            </w:pPr>
            <w:r>
              <w:rPr/>
              <w:t>​</w:t>
            </w:r>
          </w:p>
        </w:tc>
        <w:tc>
          <w:tcPr>
            <w:tcW w:w="794"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center"/>
              <w:rPr/>
            </w:pPr>
            <w:r>
              <w:rPr/>
              <w:t>​</w:t>
            </w:r>
          </w:p>
        </w:tc>
        <w:tc>
          <w:tcPr>
            <w:tcW w:w="74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18,780</w:t>
            </w:r>
          </w:p>
        </w:tc>
      </w:tr>
      <w:tr>
        <w:trPr/>
        <w:tc>
          <w:tcPr>
            <w:tcW w:w="1902"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Tax impact on capped call transactions</w:t>
            </w:r>
          </w:p>
        </w:tc>
        <w:tc>
          <w:tcPr>
            <w:tcW w:w="206" w:type="dxa"/>
            <w:tcBorders/>
            <w:shd w:fill="CCEEFF" w:val="clear"/>
            <w:vAlign w:val="center"/>
          </w:tcPr>
          <w:p>
            <w:pPr>
              <w:pStyle w:val="TableContents"/>
              <w:bidi w:val="0"/>
              <w:spacing w:before="0" w:after="0"/>
              <w:ind w:left="0" w:right="0" w:hanging="0"/>
              <w:jc w:val="center"/>
              <w:rPr/>
            </w:pPr>
            <w:r>
              <w:rPr/>
              <w:t>​</w:t>
            </w:r>
          </w:p>
        </w:tc>
        <w:tc>
          <w:tcPr>
            <w:tcW w:w="85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center"/>
              <w:rPr/>
            </w:pPr>
            <w:r>
              <w:rPr/>
              <w:t>​</w:t>
            </w:r>
          </w:p>
        </w:tc>
        <w:tc>
          <w:tcPr>
            <w:tcW w:w="41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center"/>
              <w:rPr/>
            </w:pPr>
            <w:r>
              <w:rPr/>
              <w:t>​</w:t>
            </w:r>
          </w:p>
        </w:tc>
        <w:tc>
          <w:tcPr>
            <w:tcW w:w="41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center"/>
              <w:rPr/>
            </w:pPr>
            <w:r>
              <w:rPr/>
              <w:t>​</w:t>
            </w:r>
          </w:p>
        </w:tc>
        <w:tc>
          <w:tcPr>
            <w:tcW w:w="58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w:t>
            </w:r>
          </w:p>
        </w:tc>
        <w:tc>
          <w:tcPr>
            <w:tcW w:w="206" w:type="dxa"/>
            <w:tcBorders/>
            <w:shd w:fill="CCEEFF" w:val="clear"/>
            <w:vAlign w:val="center"/>
          </w:tcPr>
          <w:p>
            <w:pPr>
              <w:pStyle w:val="TableContents"/>
              <w:bidi w:val="0"/>
              <w:spacing w:before="0" w:after="0"/>
              <w:ind w:left="0" w:right="0" w:hanging="0"/>
              <w:jc w:val="right"/>
              <w:rPr/>
            </w:pPr>
            <w:r>
              <w:rPr/>
              <w:t>​</w:t>
            </w:r>
          </w:p>
        </w:tc>
        <w:tc>
          <w:tcPr>
            <w:tcW w:w="224" w:type="dxa"/>
            <w:tcBorders/>
            <w:shd w:fill="CCEEFF" w:val="clear"/>
            <w:vAlign w:val="center"/>
          </w:tcPr>
          <w:p>
            <w:pPr>
              <w:pStyle w:val="TableContents"/>
              <w:bidi w:val="0"/>
              <w:spacing w:before="0" w:after="0"/>
              <w:ind w:left="0" w:right="0" w:hanging="0"/>
              <w:jc w:val="center"/>
              <w:rPr/>
            </w:pPr>
            <w:r>
              <w:rPr/>
              <w:t>​</w:t>
            </w:r>
          </w:p>
        </w:tc>
        <w:tc>
          <w:tcPr>
            <w:tcW w:w="692"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center"/>
              <w:rPr/>
            </w:pPr>
            <w:r>
              <w:rPr/>
              <w:t>​</w:t>
            </w:r>
          </w:p>
        </w:tc>
        <w:tc>
          <w:tcPr>
            <w:tcW w:w="794"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center"/>
              <w:rPr/>
            </w:pPr>
            <w:r>
              <w:rPr/>
              <w:t>​</w:t>
            </w:r>
          </w:p>
        </w:tc>
        <w:tc>
          <w:tcPr>
            <w:tcW w:w="747"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w:t>
            </w:r>
          </w:p>
        </w:tc>
      </w:tr>
      <w:tr>
        <w:trPr/>
        <w:tc>
          <w:tcPr>
            <w:tcW w:w="1902"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Foreign currency translation adjustments and revaluations, net of tax</w:t>
            </w:r>
          </w:p>
        </w:tc>
        <w:tc>
          <w:tcPr>
            <w:tcW w:w="206" w:type="dxa"/>
            <w:tcBorders/>
            <w:vAlign w:val="center"/>
          </w:tcPr>
          <w:p>
            <w:pPr>
              <w:pStyle w:val="TableContents"/>
              <w:bidi w:val="0"/>
              <w:spacing w:before="0" w:after="0"/>
              <w:ind w:left="0" w:right="0" w:hanging="0"/>
              <w:jc w:val="center"/>
              <w:rPr/>
            </w:pPr>
            <w:r>
              <w:rPr/>
              <w:t>​</w:t>
            </w:r>
          </w:p>
        </w:tc>
        <w:tc>
          <w:tcPr>
            <w:tcW w:w="85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center"/>
              <w:rPr/>
            </w:pPr>
            <w:r>
              <w:rPr/>
              <w:t>​</w:t>
            </w:r>
          </w:p>
        </w:tc>
        <w:tc>
          <w:tcPr>
            <w:tcW w:w="41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center"/>
              <w:rPr/>
            </w:pPr>
            <w:r>
              <w:rPr/>
              <w:t>​</w:t>
            </w:r>
          </w:p>
        </w:tc>
        <w:tc>
          <w:tcPr>
            <w:tcW w:w="41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center"/>
              <w:rPr/>
            </w:pPr>
            <w:r>
              <w:rPr/>
              <w:t>​</w:t>
            </w:r>
          </w:p>
        </w:tc>
        <w:tc>
          <w:tcPr>
            <w:tcW w:w="589"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right"/>
              <w:rPr/>
            </w:pPr>
            <w:r>
              <w:rPr/>
              <w:t>​</w:t>
            </w:r>
          </w:p>
        </w:tc>
        <w:tc>
          <w:tcPr>
            <w:tcW w:w="224" w:type="dxa"/>
            <w:tcBorders/>
            <w:vAlign w:val="center"/>
          </w:tcPr>
          <w:p>
            <w:pPr>
              <w:pStyle w:val="TableContents"/>
              <w:bidi w:val="0"/>
              <w:spacing w:before="0" w:after="0"/>
              <w:ind w:left="0" w:right="0" w:hanging="0"/>
              <w:jc w:val="center"/>
              <w:rPr/>
            </w:pPr>
            <w:r>
              <w:rPr/>
              <w:t>​</w:t>
            </w:r>
          </w:p>
        </w:tc>
        <w:tc>
          <w:tcPr>
            <w:tcW w:w="692"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center"/>
              <w:rPr/>
            </w:pPr>
            <w:r>
              <w:rPr/>
              <w:t>​</w:t>
            </w:r>
          </w:p>
        </w:tc>
        <w:tc>
          <w:tcPr>
            <w:tcW w:w="79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15,105</w:t>
            </w:r>
          </w:p>
        </w:tc>
        <w:tc>
          <w:tcPr>
            <w:tcW w:w="206"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center"/>
              <w:rPr/>
            </w:pPr>
            <w:r>
              <w:rPr/>
              <w:t>​</w:t>
            </w:r>
          </w:p>
        </w:tc>
        <w:tc>
          <w:tcPr>
            <w:tcW w:w="74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15,105</w:t>
            </w:r>
          </w:p>
        </w:tc>
      </w:tr>
      <w:tr>
        <w:trPr/>
        <w:tc>
          <w:tcPr>
            <w:tcW w:w="1902"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Unrealized loss from available-for-sale investments, net of tax</w:t>
            </w:r>
          </w:p>
        </w:tc>
        <w:tc>
          <w:tcPr>
            <w:tcW w:w="206" w:type="dxa"/>
            <w:tcBorders/>
            <w:shd w:fill="CCEEFF" w:val="clear"/>
            <w:vAlign w:val="center"/>
          </w:tcPr>
          <w:p>
            <w:pPr>
              <w:pStyle w:val="TableContents"/>
              <w:bidi w:val="0"/>
              <w:spacing w:before="0" w:after="0"/>
              <w:ind w:left="0" w:right="0" w:hanging="0"/>
              <w:jc w:val="center"/>
              <w:rPr/>
            </w:pPr>
            <w:r>
              <w:rPr/>
              <w:t>​</w:t>
            </w:r>
          </w:p>
        </w:tc>
        <w:tc>
          <w:tcPr>
            <w:tcW w:w="85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center"/>
              <w:rPr/>
            </w:pPr>
            <w:r>
              <w:rPr/>
              <w:t>​</w:t>
            </w:r>
          </w:p>
        </w:tc>
        <w:tc>
          <w:tcPr>
            <w:tcW w:w="41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center"/>
              <w:rPr/>
            </w:pPr>
            <w:r>
              <w:rPr/>
              <w:t>​</w:t>
            </w:r>
          </w:p>
        </w:tc>
        <w:tc>
          <w:tcPr>
            <w:tcW w:w="41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center"/>
              <w:rPr/>
            </w:pPr>
            <w:r>
              <w:rPr/>
              <w:t>​</w:t>
            </w:r>
          </w:p>
        </w:tc>
        <w:tc>
          <w:tcPr>
            <w:tcW w:w="589"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right"/>
              <w:rPr/>
            </w:pPr>
            <w:r>
              <w:rPr/>
              <w:t>​</w:t>
            </w:r>
          </w:p>
        </w:tc>
        <w:tc>
          <w:tcPr>
            <w:tcW w:w="224" w:type="dxa"/>
            <w:tcBorders/>
            <w:shd w:fill="CCEEFF" w:val="clear"/>
            <w:vAlign w:val="center"/>
          </w:tcPr>
          <w:p>
            <w:pPr>
              <w:pStyle w:val="TableContents"/>
              <w:bidi w:val="0"/>
              <w:spacing w:before="0" w:after="0"/>
              <w:ind w:left="0" w:right="0" w:hanging="0"/>
              <w:jc w:val="center"/>
              <w:rPr/>
            </w:pPr>
            <w:r>
              <w:rPr/>
              <w:t>​</w:t>
            </w:r>
          </w:p>
        </w:tc>
        <w:tc>
          <w:tcPr>
            <w:tcW w:w="692"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center"/>
              <w:rPr/>
            </w:pPr>
            <w:r>
              <w:rPr/>
              <w:t>​</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w:t>
            </w:r>
          </w:p>
        </w:tc>
        <w:tc>
          <w:tcPr>
            <w:tcW w:w="206"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center"/>
              <w:rPr/>
            </w:pPr>
            <w:r>
              <w:rPr/>
              <w:t>​</w:t>
            </w:r>
          </w:p>
        </w:tc>
        <w:tc>
          <w:tcPr>
            <w:tcW w:w="747"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w:t>
            </w:r>
          </w:p>
        </w:tc>
      </w:tr>
      <w:tr>
        <w:trPr/>
        <w:tc>
          <w:tcPr>
            <w:tcW w:w="1902"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income</w:t>
            </w:r>
          </w:p>
        </w:tc>
        <w:tc>
          <w:tcPr>
            <w:tcW w:w="206" w:type="dxa"/>
            <w:tcBorders/>
            <w:vAlign w:val="center"/>
          </w:tcPr>
          <w:p>
            <w:pPr>
              <w:pStyle w:val="TableContents"/>
              <w:bidi w:val="0"/>
              <w:spacing w:before="0" w:after="0"/>
              <w:ind w:left="0" w:right="0" w:hanging="0"/>
              <w:jc w:val="center"/>
              <w:rPr/>
            </w:pPr>
            <w:r>
              <w:rPr/>
              <w:t>​</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5"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41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5"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41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righ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58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right"/>
              <w:rPr/>
            </w:pPr>
            <w:r>
              <w:rPr/>
              <w:t>​</w:t>
            </w:r>
          </w:p>
        </w:tc>
        <w:tc>
          <w:tcPr>
            <w:tcW w:w="224"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9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11,130</w:t>
            </w:r>
          </w:p>
        </w:tc>
        <w:tc>
          <w:tcPr>
            <w:tcW w:w="206" w:type="dxa"/>
            <w:tcBorders/>
            <w:vAlign w:val="center"/>
          </w:tcPr>
          <w:p>
            <w:pPr>
              <w:pStyle w:val="TableContents"/>
              <w:bidi w:val="0"/>
              <w:spacing w:before="0" w:after="0"/>
              <w:ind w:left="0" w:right="0" w:hanging="0"/>
              <w:jc w:val="left"/>
              <w:rPr/>
            </w:pPr>
            <w:r>
              <w:rPr/>
              <w:t>​</w:t>
            </w:r>
          </w:p>
        </w:tc>
        <w:tc>
          <w:tcPr>
            <w:tcW w:w="257"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79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197"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74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11,130</w:t>
            </w:r>
          </w:p>
        </w:tc>
      </w:tr>
      <w:tr>
        <w:trPr/>
        <w:tc>
          <w:tcPr>
            <w:tcW w:w="1902"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Balance, March 31, 2025</w:t>
            </w:r>
          </w:p>
        </w:tc>
        <w:tc>
          <w:tcPr>
            <w:tcW w:w="206" w:type="dxa"/>
            <w:tcBorders/>
            <w:shd w:fill="CCEEFF" w:val="clear"/>
            <w:vAlign w:val="center"/>
          </w:tcPr>
          <w:p>
            <w:pPr>
              <w:pStyle w:val="TableContents"/>
              <w:bidi w:val="0"/>
              <w:spacing w:before="0" w:after="0"/>
              <w:ind w:left="0" w:right="0" w:hanging="0"/>
              <w:jc w:val="center"/>
              <w:rPr/>
            </w:pPr>
            <w:r>
              <w:rPr/>
              <w:t>​</w:t>
            </w:r>
          </w:p>
        </w:tc>
        <w:tc>
          <w:tcPr>
            <w:tcW w:w="85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71,907</w:t>
            </w:r>
          </w:p>
        </w:tc>
        <w:tc>
          <w:tcPr>
            <w:tcW w:w="206" w:type="dxa"/>
            <w:tcBorders/>
            <w:shd w:fill="CCEEFF" w:val="clear"/>
            <w:vAlign w:val="center"/>
          </w:tcPr>
          <w:p>
            <w:pPr>
              <w:pStyle w:val="TableContents"/>
              <w:bidi w:val="0"/>
              <w:spacing w:before="0" w:after="0"/>
              <w:ind w:left="0" w:right="0" w:hanging="0"/>
              <w:jc w:val="left"/>
              <w:rPr/>
            </w:pPr>
            <w:r>
              <w:rPr/>
              <w:t>​</w:t>
            </w:r>
          </w:p>
        </w:tc>
        <w:tc>
          <w:tcPr>
            <w:tcW w:w="215"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4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72</w:t>
            </w:r>
          </w:p>
        </w:tc>
        <w:tc>
          <w:tcPr>
            <w:tcW w:w="206" w:type="dxa"/>
            <w:tcBorders/>
            <w:shd w:fill="CCEEFF" w:val="clear"/>
            <w:vAlign w:val="center"/>
          </w:tcPr>
          <w:p>
            <w:pPr>
              <w:pStyle w:val="TableContents"/>
              <w:bidi w:val="0"/>
              <w:spacing w:before="0" w:after="0"/>
              <w:ind w:left="0" w:right="0" w:hanging="0"/>
              <w:jc w:val="left"/>
              <w:rPr/>
            </w:pPr>
            <w:r>
              <w:rPr/>
              <w:t>​</w:t>
            </w:r>
          </w:p>
        </w:tc>
        <w:tc>
          <w:tcPr>
            <w:tcW w:w="85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86,481</w:t>
            </w:r>
          </w:p>
        </w:tc>
        <w:tc>
          <w:tcPr>
            <w:tcW w:w="206" w:type="dxa"/>
            <w:tcBorders/>
            <w:shd w:fill="CCEEFF" w:val="clear"/>
            <w:vAlign w:val="center"/>
          </w:tcPr>
          <w:p>
            <w:pPr>
              <w:pStyle w:val="TableContents"/>
              <w:bidi w:val="0"/>
              <w:spacing w:before="0" w:after="0"/>
              <w:ind w:left="0" w:right="0" w:hanging="0"/>
              <w:jc w:val="right"/>
              <w:rPr/>
            </w:pPr>
            <w:r>
              <w:rPr/>
              <w:t>​</w:t>
            </w:r>
          </w:p>
        </w:tc>
        <w:tc>
          <w:tcPr>
            <w:tcW w:w="215"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4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86</w:t>
            </w:r>
          </w:p>
        </w:tc>
        <w:tc>
          <w:tcPr>
            <w:tcW w:w="206" w:type="dxa"/>
            <w:tcBorders/>
            <w:shd w:fill="CCEEFF" w:val="clear"/>
            <w:vAlign w:val="center"/>
          </w:tcPr>
          <w:p>
            <w:pPr>
              <w:pStyle w:val="TableContents"/>
              <w:bidi w:val="0"/>
              <w:spacing w:before="0" w:after="0"/>
              <w:ind w:left="0" w:right="0" w:hanging="0"/>
              <w:jc w:val="righ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58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273,300</w:t>
            </w:r>
          </w:p>
        </w:tc>
        <w:tc>
          <w:tcPr>
            <w:tcW w:w="206" w:type="dxa"/>
            <w:tcBorders/>
            <w:shd w:fill="CCEEFF" w:val="clear"/>
            <w:vAlign w:val="center"/>
          </w:tcPr>
          <w:p>
            <w:pPr>
              <w:pStyle w:val="TableContents"/>
              <w:bidi w:val="0"/>
              <w:spacing w:before="0" w:after="0"/>
              <w:ind w:left="0" w:right="0" w:hanging="0"/>
              <w:jc w:val="right"/>
              <w:rPr/>
            </w:pPr>
            <w:r>
              <w:rPr/>
              <w:t>​</w:t>
            </w:r>
          </w:p>
        </w:tc>
        <w:tc>
          <w:tcPr>
            <w:tcW w:w="224"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69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(42,185)</w:t>
            </w:r>
          </w:p>
        </w:tc>
        <w:tc>
          <w:tcPr>
            <w:tcW w:w="206" w:type="dxa"/>
            <w:tcBorders/>
            <w:shd w:fill="CCEEFF" w:val="clear"/>
            <w:vAlign w:val="center"/>
          </w:tcPr>
          <w:p>
            <w:pPr>
              <w:pStyle w:val="TableContents"/>
              <w:bidi w:val="0"/>
              <w:spacing w:before="0" w:after="0"/>
              <w:ind w:left="0" w:right="0" w:hanging="0"/>
              <w:jc w:val="left"/>
              <w:rPr/>
            </w:pPr>
            <w:r>
              <w:rPr/>
              <w:t>​</w:t>
            </w:r>
          </w:p>
        </w:tc>
        <w:tc>
          <w:tcPr>
            <w:tcW w:w="257"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79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(30,783)</w:t>
            </w:r>
          </w:p>
        </w:tc>
        <w:tc>
          <w:tcPr>
            <w:tcW w:w="206" w:type="dxa"/>
            <w:tcBorders/>
            <w:shd w:fill="CCEEFF" w:val="clear"/>
            <w:vAlign w:val="center"/>
          </w:tcPr>
          <w:p>
            <w:pPr>
              <w:pStyle w:val="TableContents"/>
              <w:bidi w:val="0"/>
              <w:spacing w:before="0" w:after="0"/>
              <w:ind w:left="0" w:right="0" w:hanging="0"/>
              <w:jc w:val="left"/>
              <w:rPr/>
            </w:pPr>
            <w:r>
              <w:rPr/>
              <w:t>​</w:t>
            </w:r>
          </w:p>
        </w:tc>
        <w:tc>
          <w:tcPr>
            <w:tcW w:w="197"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74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200,490</w:t>
            </w:r>
          </w:p>
        </w:tc>
      </w:tr>
      <w:tr>
        <w:trPr/>
        <w:tc>
          <w:tcPr>
            <w:tcW w:w="1902"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center"/>
              <w:rPr/>
            </w:pPr>
            <w:r>
              <w:rPr/>
              <w:t>​</w:t>
            </w:r>
          </w:p>
        </w:tc>
        <w:tc>
          <w:tcPr>
            <w:tcW w:w="85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center"/>
              <w:rPr/>
            </w:pPr>
            <w:r>
              <w:rPr/>
              <w:t>​</w:t>
            </w:r>
          </w:p>
        </w:tc>
        <w:tc>
          <w:tcPr>
            <w:tcW w:w="41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right"/>
              <w:rPr/>
            </w:pPr>
            <w:r>
              <w:rPr/>
              <w:t>​</w:t>
            </w:r>
          </w:p>
        </w:tc>
        <w:tc>
          <w:tcPr>
            <w:tcW w:w="215" w:type="dxa"/>
            <w:tcBorders/>
            <w:vAlign w:val="center"/>
          </w:tcPr>
          <w:p>
            <w:pPr>
              <w:pStyle w:val="TableContents"/>
              <w:bidi w:val="0"/>
              <w:spacing w:before="0" w:after="0"/>
              <w:ind w:left="0" w:right="0" w:hanging="0"/>
              <w:jc w:val="center"/>
              <w:rPr/>
            </w:pPr>
            <w:r>
              <w:rPr/>
              <w:t>​</w:t>
            </w:r>
          </w:p>
        </w:tc>
        <w:tc>
          <w:tcPr>
            <w:tcW w:w="41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center"/>
              <w:rPr/>
            </w:pPr>
            <w:r>
              <w:rPr/>
              <w:t>​</w:t>
            </w:r>
          </w:p>
        </w:tc>
        <w:tc>
          <w:tcPr>
            <w:tcW w:w="589"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right"/>
              <w:rPr/>
            </w:pPr>
            <w:r>
              <w:rPr/>
              <w:t>​</w:t>
            </w:r>
          </w:p>
        </w:tc>
        <w:tc>
          <w:tcPr>
            <w:tcW w:w="224" w:type="dxa"/>
            <w:tcBorders/>
            <w:vAlign w:val="center"/>
          </w:tcPr>
          <w:p>
            <w:pPr>
              <w:pStyle w:val="TableContents"/>
              <w:bidi w:val="0"/>
              <w:spacing w:before="0" w:after="0"/>
              <w:ind w:left="0" w:right="0" w:hanging="0"/>
              <w:jc w:val="center"/>
              <w:rPr/>
            </w:pPr>
            <w:r>
              <w:rPr/>
              <w:t>​</w:t>
            </w:r>
          </w:p>
        </w:tc>
        <w:tc>
          <w:tcPr>
            <w:tcW w:w="692"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center"/>
              <w:rPr/>
            </w:pPr>
            <w:r>
              <w:rPr/>
              <w:t>​</w:t>
            </w:r>
          </w:p>
        </w:tc>
        <w:tc>
          <w:tcPr>
            <w:tcW w:w="794"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right"/>
              <w:rPr/>
            </w:pPr>
            <w:r>
              <w:rPr/>
              <w:t>​</w:t>
            </w:r>
          </w:p>
        </w:tc>
        <w:tc>
          <w:tcPr>
            <w:tcW w:w="747" w:type="dxa"/>
            <w:tcBorders/>
            <w:vAlign w:val="center"/>
          </w:tcPr>
          <w:p>
            <w:pPr>
              <w:pStyle w:val="TableContents"/>
              <w:bidi w:val="0"/>
              <w:spacing w:before="0" w:after="0"/>
              <w:ind w:left="0" w:right="0" w:hanging="0"/>
              <w:jc w:val="right"/>
              <w:rPr/>
            </w:pPr>
            <w:r>
              <w:rPr/>
              <w:t>​</w:t>
            </w:r>
          </w:p>
        </w:tc>
      </w:tr>
      <w:tr>
        <w:trPr/>
        <w:tc>
          <w:tcPr>
            <w:tcW w:w="1902"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center"/>
              <w:rPr/>
            </w:pPr>
            <w:r>
              <w:rPr/>
              <w:t>​</w:t>
            </w:r>
          </w:p>
        </w:tc>
        <w:tc>
          <w:tcPr>
            <w:tcW w:w="41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right"/>
              <w:rPr/>
            </w:pPr>
            <w:r>
              <w:rPr/>
              <w:t>​</w:t>
            </w:r>
          </w:p>
        </w:tc>
        <w:tc>
          <w:tcPr>
            <w:tcW w:w="215" w:type="dxa"/>
            <w:tcBorders/>
            <w:vAlign w:val="center"/>
          </w:tcPr>
          <w:p>
            <w:pPr>
              <w:pStyle w:val="TableContents"/>
              <w:bidi w:val="0"/>
              <w:spacing w:before="0" w:after="0"/>
              <w:ind w:left="0" w:right="0" w:hanging="0"/>
              <w:jc w:val="center"/>
              <w:rPr/>
            </w:pPr>
            <w:r>
              <w:rPr/>
              <w:t>​</w:t>
            </w:r>
          </w:p>
        </w:tc>
        <w:tc>
          <w:tcPr>
            <w:tcW w:w="41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center"/>
              <w:rPr/>
            </w:pPr>
            <w:r>
              <w:rPr/>
              <w:t>​</w:t>
            </w:r>
          </w:p>
        </w:tc>
        <w:tc>
          <w:tcPr>
            <w:tcW w:w="589"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right"/>
              <w:rPr/>
            </w:pPr>
            <w:r>
              <w:rPr/>
              <w:t>​</w:t>
            </w:r>
          </w:p>
        </w:tc>
        <w:tc>
          <w:tcPr>
            <w:tcW w:w="91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Retained</w:t>
            </w:r>
          </w:p>
        </w:tc>
        <w:tc>
          <w:tcPr>
            <w:tcW w:w="206" w:type="dxa"/>
            <w:tcBorders/>
            <w:vAlign w:val="center"/>
          </w:tcPr>
          <w:p>
            <w:pPr>
              <w:pStyle w:val="TableContents"/>
              <w:bidi w:val="0"/>
              <w:spacing w:before="0" w:after="0"/>
              <w:ind w:left="0" w:right="0" w:hanging="0"/>
              <w:jc w:val="left"/>
              <w:rPr/>
            </w:pPr>
            <w:r>
              <w:rPr/>
              <w:t>​</w:t>
            </w:r>
          </w:p>
        </w:tc>
        <w:tc>
          <w:tcPr>
            <w:tcW w:w="105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206" w:type="dxa"/>
            <w:tcBorders/>
            <w:vAlign w:val="center"/>
          </w:tcPr>
          <w:p>
            <w:pPr>
              <w:pStyle w:val="TableContents"/>
              <w:bidi w:val="0"/>
              <w:spacing w:before="0" w:after="0"/>
              <w:ind w:left="0" w:right="0" w:hanging="0"/>
              <w:jc w:val="center"/>
              <w:rPr/>
            </w:pPr>
            <w:r>
              <w:rPr/>
              <w:t>​</w:t>
            </w:r>
          </w:p>
        </w:tc>
        <w:tc>
          <w:tcPr>
            <w:tcW w:w="197" w:type="dxa"/>
            <w:tcBorders/>
            <w:vAlign w:val="center"/>
          </w:tcPr>
          <w:p>
            <w:pPr>
              <w:pStyle w:val="TableContents"/>
              <w:bidi w:val="0"/>
              <w:spacing w:before="0" w:after="0"/>
              <w:ind w:left="0" w:right="0" w:hanging="0"/>
              <w:jc w:val="center"/>
              <w:rPr/>
            </w:pPr>
            <w:r>
              <w:rPr/>
              <w:t>​</w:t>
            </w:r>
          </w:p>
        </w:tc>
        <w:tc>
          <w:tcPr>
            <w:tcW w:w="747" w:type="dxa"/>
            <w:tcBorders/>
            <w:vAlign w:val="center"/>
          </w:tcPr>
          <w:p>
            <w:pPr>
              <w:pStyle w:val="TableContents"/>
              <w:bidi w:val="0"/>
              <w:spacing w:before="0" w:after="0"/>
              <w:ind w:left="0" w:right="0" w:hanging="0"/>
              <w:jc w:val="right"/>
              <w:rPr/>
            </w:pPr>
            <w:r>
              <w:rPr/>
              <w:t>​</w:t>
            </w:r>
          </w:p>
        </w:tc>
      </w:tr>
      <w:tr>
        <w:trPr/>
        <w:tc>
          <w:tcPr>
            <w:tcW w:w="1902"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Outstanding</w:t>
            </w:r>
          </w:p>
        </w:tc>
        <w:tc>
          <w:tcPr>
            <w:tcW w:w="206" w:type="dxa"/>
            <w:tcBorders/>
            <w:vAlign w:val="center"/>
          </w:tcPr>
          <w:p>
            <w:pPr>
              <w:pStyle w:val="TableContents"/>
              <w:bidi w:val="0"/>
              <w:spacing w:before="0" w:after="0"/>
              <w:ind w:left="0" w:right="0" w:hanging="0"/>
              <w:jc w:val="center"/>
              <w:rPr/>
            </w:pPr>
            <w:r>
              <w:rPr/>
              <w:t>​</w:t>
            </w:r>
          </w:p>
        </w:tc>
        <w:tc>
          <w:tcPr>
            <w:tcW w:w="63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Class A</w:t>
            </w:r>
          </w:p>
        </w:tc>
        <w:tc>
          <w:tcPr>
            <w:tcW w:w="206" w:type="dxa"/>
            <w:tcBorders/>
            <w:vAlign w:val="center"/>
          </w:tcPr>
          <w:p>
            <w:pPr>
              <w:pStyle w:val="TableContents"/>
              <w:bidi w:val="0"/>
              <w:spacing w:before="0" w:after="0"/>
              <w:ind w:left="0" w:right="0" w:hanging="0"/>
              <w:jc w:val="center"/>
              <w:rPr/>
            </w:pPr>
            <w:r>
              <w:rPr/>
              <w:t>​</w:t>
            </w:r>
          </w:p>
        </w:tc>
        <w:tc>
          <w:tcPr>
            <w:tcW w:w="85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Outstanding</w:t>
            </w:r>
          </w:p>
        </w:tc>
        <w:tc>
          <w:tcPr>
            <w:tcW w:w="206" w:type="dxa"/>
            <w:tcBorders/>
            <w:vAlign w:val="center"/>
          </w:tcPr>
          <w:p>
            <w:pPr>
              <w:pStyle w:val="TableContents"/>
              <w:bidi w:val="0"/>
              <w:spacing w:before="0" w:after="0"/>
              <w:ind w:left="0" w:right="0" w:hanging="0"/>
              <w:jc w:val="center"/>
              <w:rPr/>
            </w:pPr>
            <w:r>
              <w:rPr/>
              <w:t>​</w:t>
            </w:r>
          </w:p>
        </w:tc>
        <w:tc>
          <w:tcPr>
            <w:tcW w:w="63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Class B</w:t>
            </w:r>
          </w:p>
        </w:tc>
        <w:tc>
          <w:tcPr>
            <w:tcW w:w="206" w:type="dxa"/>
            <w:tcBorders/>
            <w:vAlign w:val="center"/>
          </w:tcPr>
          <w:p>
            <w:pPr>
              <w:pStyle w:val="TableContents"/>
              <w:bidi w:val="0"/>
              <w:spacing w:before="0" w:after="0"/>
              <w:ind w:left="0" w:right="0" w:hanging="0"/>
              <w:jc w:val="center"/>
              <w:rPr/>
            </w:pPr>
            <w:r>
              <w:rPr/>
              <w:t>​</w:t>
            </w:r>
          </w:p>
        </w:tc>
        <w:tc>
          <w:tcPr>
            <w:tcW w:w="770"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Additional</w:t>
            </w:r>
          </w:p>
        </w:tc>
        <w:tc>
          <w:tcPr>
            <w:tcW w:w="206" w:type="dxa"/>
            <w:tcBorders/>
            <w:vAlign w:val="center"/>
          </w:tcPr>
          <w:p>
            <w:pPr>
              <w:pStyle w:val="TableContents"/>
              <w:bidi w:val="0"/>
              <w:spacing w:before="0" w:after="0"/>
              <w:ind w:left="0" w:right="0" w:hanging="0"/>
              <w:jc w:val="center"/>
              <w:rPr/>
            </w:pPr>
            <w:r>
              <w:rPr/>
              <w:t>  </w:t>
            </w:r>
          </w:p>
        </w:tc>
        <w:tc>
          <w:tcPr>
            <w:tcW w:w="91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Earnings</w:t>
            </w:r>
          </w:p>
        </w:tc>
        <w:tc>
          <w:tcPr>
            <w:tcW w:w="206" w:type="dxa"/>
            <w:tcBorders/>
            <w:vAlign w:val="center"/>
          </w:tcPr>
          <w:p>
            <w:pPr>
              <w:pStyle w:val="TableContents"/>
              <w:bidi w:val="0"/>
              <w:spacing w:before="0" w:after="0"/>
              <w:ind w:left="0" w:right="0" w:hanging="0"/>
              <w:jc w:val="center"/>
              <w:rPr/>
            </w:pPr>
            <w:r>
              <w:rPr/>
              <w:t>  </w:t>
            </w:r>
          </w:p>
        </w:tc>
        <w:tc>
          <w:tcPr>
            <w:tcW w:w="105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Other </w:t>
            </w:r>
          </w:p>
        </w:tc>
        <w:tc>
          <w:tcPr>
            <w:tcW w:w="206" w:type="dxa"/>
            <w:tcBorders/>
            <w:vAlign w:val="center"/>
          </w:tcPr>
          <w:p>
            <w:pPr>
              <w:pStyle w:val="TableContents"/>
              <w:bidi w:val="0"/>
              <w:spacing w:before="0" w:after="0"/>
              <w:ind w:left="0" w:right="0" w:hanging="0"/>
              <w:jc w:val="center"/>
              <w:rPr/>
            </w:pPr>
            <w:r>
              <w:rPr/>
              <w:t>  </w:t>
            </w:r>
          </w:p>
        </w:tc>
        <w:tc>
          <w:tcPr>
            <w:tcW w:w="944"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Total</w:t>
            </w:r>
          </w:p>
        </w:tc>
      </w:tr>
      <w:tr>
        <w:trPr/>
        <w:tc>
          <w:tcPr>
            <w:tcW w:w="1902"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Class A</w:t>
            </w:r>
          </w:p>
        </w:tc>
        <w:tc>
          <w:tcPr>
            <w:tcW w:w="206" w:type="dxa"/>
            <w:tcBorders/>
            <w:vAlign w:val="center"/>
          </w:tcPr>
          <w:p>
            <w:pPr>
              <w:pStyle w:val="TableContents"/>
              <w:bidi w:val="0"/>
              <w:spacing w:before="0" w:after="0"/>
              <w:ind w:left="0" w:right="0" w:hanging="0"/>
              <w:jc w:val="center"/>
              <w:rPr/>
            </w:pPr>
            <w:r>
              <w:rPr/>
              <w:t>​</w:t>
            </w:r>
          </w:p>
        </w:tc>
        <w:tc>
          <w:tcPr>
            <w:tcW w:w="63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Common</w:t>
            </w:r>
          </w:p>
        </w:tc>
        <w:tc>
          <w:tcPr>
            <w:tcW w:w="206" w:type="dxa"/>
            <w:tcBorders/>
            <w:vAlign w:val="center"/>
          </w:tcPr>
          <w:p>
            <w:pPr>
              <w:pStyle w:val="TableContents"/>
              <w:bidi w:val="0"/>
              <w:spacing w:before="0" w:after="0"/>
              <w:ind w:left="0" w:right="0" w:hanging="0"/>
              <w:jc w:val="center"/>
              <w:rPr/>
            </w:pPr>
            <w:r>
              <w:rPr/>
              <w:t>​</w:t>
            </w:r>
          </w:p>
        </w:tc>
        <w:tc>
          <w:tcPr>
            <w:tcW w:w="85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Class B</w:t>
            </w:r>
          </w:p>
        </w:tc>
        <w:tc>
          <w:tcPr>
            <w:tcW w:w="206" w:type="dxa"/>
            <w:tcBorders/>
            <w:vAlign w:val="center"/>
          </w:tcPr>
          <w:p>
            <w:pPr>
              <w:pStyle w:val="TableContents"/>
              <w:bidi w:val="0"/>
              <w:spacing w:before="0" w:after="0"/>
              <w:ind w:left="0" w:right="0" w:hanging="0"/>
              <w:jc w:val="center"/>
              <w:rPr/>
            </w:pPr>
            <w:r>
              <w:rPr/>
              <w:t>​</w:t>
            </w:r>
          </w:p>
        </w:tc>
        <w:tc>
          <w:tcPr>
            <w:tcW w:w="63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Common</w:t>
            </w:r>
          </w:p>
        </w:tc>
        <w:tc>
          <w:tcPr>
            <w:tcW w:w="206" w:type="dxa"/>
            <w:tcBorders/>
            <w:vAlign w:val="center"/>
          </w:tcPr>
          <w:p>
            <w:pPr>
              <w:pStyle w:val="TableContents"/>
              <w:bidi w:val="0"/>
              <w:spacing w:before="0" w:after="0"/>
              <w:ind w:left="0" w:right="0" w:hanging="0"/>
              <w:jc w:val="center"/>
              <w:rPr/>
            </w:pPr>
            <w:r>
              <w:rPr/>
              <w:t>​</w:t>
            </w:r>
          </w:p>
        </w:tc>
        <w:tc>
          <w:tcPr>
            <w:tcW w:w="770"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Paid In</w:t>
            </w:r>
          </w:p>
        </w:tc>
        <w:tc>
          <w:tcPr>
            <w:tcW w:w="206" w:type="dxa"/>
            <w:tcBorders/>
            <w:vAlign w:val="center"/>
          </w:tcPr>
          <w:p>
            <w:pPr>
              <w:pStyle w:val="TableContents"/>
              <w:bidi w:val="0"/>
              <w:spacing w:before="0" w:after="0"/>
              <w:ind w:left="0" w:right="0" w:hanging="0"/>
              <w:jc w:val="center"/>
              <w:rPr/>
            </w:pPr>
            <w:r>
              <w:rPr/>
              <w:t>​</w:t>
            </w:r>
          </w:p>
        </w:tc>
        <w:tc>
          <w:tcPr>
            <w:tcW w:w="91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206" w:type="dxa"/>
            <w:tcBorders/>
            <w:vAlign w:val="center"/>
          </w:tcPr>
          <w:p>
            <w:pPr>
              <w:pStyle w:val="TableContents"/>
              <w:bidi w:val="0"/>
              <w:spacing w:before="0" w:after="0"/>
              <w:ind w:left="0" w:right="0" w:hanging="0"/>
              <w:jc w:val="center"/>
              <w:rPr/>
            </w:pPr>
            <w:r>
              <w:rPr/>
              <w:t>​</w:t>
            </w:r>
          </w:p>
        </w:tc>
        <w:tc>
          <w:tcPr>
            <w:tcW w:w="105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Comprehensive </w:t>
            </w:r>
          </w:p>
        </w:tc>
        <w:tc>
          <w:tcPr>
            <w:tcW w:w="206" w:type="dxa"/>
            <w:tcBorders/>
            <w:vAlign w:val="center"/>
          </w:tcPr>
          <w:p>
            <w:pPr>
              <w:pStyle w:val="TableContents"/>
              <w:bidi w:val="0"/>
              <w:spacing w:before="0" w:after="0"/>
              <w:ind w:left="0" w:right="0" w:hanging="0"/>
              <w:jc w:val="center"/>
              <w:rPr/>
            </w:pPr>
            <w:r>
              <w:rPr/>
              <w:t>​</w:t>
            </w:r>
          </w:p>
        </w:tc>
        <w:tc>
          <w:tcPr>
            <w:tcW w:w="944"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Stockholders'</w:t>
            </w:r>
          </w:p>
        </w:tc>
      </w:tr>
      <w:tr>
        <w:trPr/>
        <w:tc>
          <w:tcPr>
            <w:tcW w:w="1902"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206" w:type="dxa"/>
            <w:tcBorders/>
            <w:vAlign w:val="center"/>
          </w:tcPr>
          <w:p>
            <w:pPr>
              <w:pStyle w:val="TableContents"/>
              <w:bidi w:val="0"/>
              <w:spacing w:before="0" w:after="0"/>
              <w:ind w:left="0" w:right="0" w:hanging="0"/>
              <w:jc w:val="center"/>
              <w:rPr/>
            </w:pPr>
            <w:r>
              <w:rPr/>
              <w:t>  </w:t>
            </w:r>
          </w:p>
        </w:tc>
        <w:tc>
          <w:tcPr>
            <w:tcW w:w="631"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14"/>
              </w:rPr>
              <w:t>Stock</w:t>
            </w:r>
          </w:p>
        </w:tc>
        <w:tc>
          <w:tcPr>
            <w:tcW w:w="206" w:type="dxa"/>
            <w:tcBorders/>
            <w:vAlign w:val="center"/>
          </w:tcPr>
          <w:p>
            <w:pPr>
              <w:pStyle w:val="TableContents"/>
              <w:bidi w:val="0"/>
              <w:spacing w:before="0" w:after="0"/>
              <w:ind w:left="0" w:right="0" w:hanging="0"/>
              <w:jc w:val="center"/>
              <w:rPr/>
            </w:pPr>
            <w:r>
              <w:rPr/>
              <w:t>  </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206" w:type="dxa"/>
            <w:tcBorders/>
            <w:vAlign w:val="center"/>
          </w:tcPr>
          <w:p>
            <w:pPr>
              <w:pStyle w:val="TableContents"/>
              <w:bidi w:val="0"/>
              <w:spacing w:before="0" w:after="0"/>
              <w:ind w:left="0" w:right="0" w:hanging="0"/>
              <w:jc w:val="center"/>
              <w:rPr/>
            </w:pPr>
            <w:r>
              <w:rPr/>
              <w:t>  </w:t>
            </w:r>
          </w:p>
        </w:tc>
        <w:tc>
          <w:tcPr>
            <w:tcW w:w="6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Stock</w:t>
            </w:r>
          </w:p>
        </w:tc>
        <w:tc>
          <w:tcPr>
            <w:tcW w:w="206" w:type="dxa"/>
            <w:tcBorders/>
            <w:vAlign w:val="center"/>
          </w:tcPr>
          <w:p>
            <w:pPr>
              <w:pStyle w:val="TableContents"/>
              <w:bidi w:val="0"/>
              <w:spacing w:before="0" w:after="0"/>
              <w:ind w:left="0" w:right="0" w:hanging="0"/>
              <w:jc w:val="center"/>
              <w:rPr/>
            </w:pPr>
            <w:r>
              <w:rPr/>
              <w:t>  </w:t>
            </w:r>
          </w:p>
        </w:tc>
        <w:tc>
          <w:tcPr>
            <w:tcW w:w="7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Capital</w:t>
            </w:r>
          </w:p>
        </w:tc>
        <w:tc>
          <w:tcPr>
            <w:tcW w:w="206" w:type="dxa"/>
            <w:tcBorders/>
            <w:vAlign w:val="center"/>
          </w:tcPr>
          <w:p>
            <w:pPr>
              <w:pStyle w:val="TableContents"/>
              <w:bidi w:val="0"/>
              <w:spacing w:before="0" w:after="0"/>
              <w:ind w:left="0" w:right="0" w:hanging="0"/>
              <w:jc w:val="center"/>
              <w:rPr/>
            </w:pPr>
            <w:r>
              <w:rPr/>
              <w:t>  </w:t>
            </w:r>
          </w:p>
        </w:tc>
        <w:tc>
          <w:tcPr>
            <w:tcW w:w="9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Deficit)</w:t>
            </w:r>
          </w:p>
        </w:tc>
        <w:tc>
          <w:tcPr>
            <w:tcW w:w="206" w:type="dxa"/>
            <w:tcBorders/>
            <w:vAlign w:val="center"/>
          </w:tcPr>
          <w:p>
            <w:pPr>
              <w:pStyle w:val="TableContents"/>
              <w:bidi w:val="0"/>
              <w:spacing w:before="0" w:after="0"/>
              <w:ind w:left="0" w:right="0" w:hanging="0"/>
              <w:jc w:val="center"/>
              <w:rPr/>
            </w:pPr>
            <w:r>
              <w:rPr/>
              <w:t>  </w:t>
            </w:r>
          </w:p>
        </w:tc>
        <w:tc>
          <w:tcPr>
            <w:tcW w:w="10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Loss</w:t>
            </w:r>
          </w:p>
        </w:tc>
        <w:tc>
          <w:tcPr>
            <w:tcW w:w="206" w:type="dxa"/>
            <w:tcBorders/>
            <w:vAlign w:val="center"/>
          </w:tcPr>
          <w:p>
            <w:pPr>
              <w:pStyle w:val="TableContents"/>
              <w:bidi w:val="0"/>
              <w:spacing w:before="0" w:after="0"/>
              <w:ind w:left="0" w:right="0" w:hanging="0"/>
              <w:jc w:val="center"/>
              <w:rPr/>
            </w:pPr>
            <w:r>
              <w:rPr/>
              <w:t>  </w:t>
            </w:r>
          </w:p>
        </w:tc>
        <w:tc>
          <w:tcPr>
            <w:tcW w:w="9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Equity</w:t>
            </w:r>
          </w:p>
        </w:tc>
      </w:tr>
      <w:tr>
        <w:trPr/>
        <w:tc>
          <w:tcPr>
            <w:tcW w:w="1902"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Balance, January 1, 2024</w:t>
            </w:r>
          </w:p>
        </w:tc>
        <w:tc>
          <w:tcPr>
            <w:tcW w:w="20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60,989</w:t>
            </w:r>
          </w:p>
        </w:tc>
        <w:tc>
          <w:tcPr>
            <w:tcW w:w="20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w:t>
            </w:r>
          </w:p>
        </w:tc>
        <w:tc>
          <w:tcPr>
            <w:tcW w:w="41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61</w:t>
            </w:r>
          </w:p>
        </w:tc>
        <w:tc>
          <w:tcPr>
            <w:tcW w:w="20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92,661</w:t>
            </w:r>
          </w:p>
        </w:tc>
        <w:tc>
          <w:tcPr>
            <w:tcW w:w="20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w:t>
            </w:r>
          </w:p>
        </w:tc>
        <w:tc>
          <w:tcPr>
            <w:tcW w:w="41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93</w:t>
            </w:r>
          </w:p>
        </w:tc>
        <w:tc>
          <w:tcPr>
            <w:tcW w:w="20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w:t>
            </w:r>
          </w:p>
        </w:tc>
        <w:tc>
          <w:tcPr>
            <w:tcW w:w="58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275,155</w:t>
            </w:r>
          </w:p>
        </w:tc>
        <w:tc>
          <w:tcPr>
            <w:tcW w:w="206" w:type="dxa"/>
            <w:tcBorders/>
            <w:shd w:fill="CCEEFF" w:val="clear"/>
            <w:vAlign w:val="center"/>
          </w:tcPr>
          <w:p>
            <w:pPr>
              <w:pStyle w:val="TableContents"/>
              <w:bidi w:val="0"/>
              <w:spacing w:before="0" w:after="0"/>
              <w:ind w:left="0" w:right="0" w:hanging="0"/>
              <w:jc w:val="right"/>
              <w:rPr/>
            </w:pPr>
            <w:r>
              <w:rPr/>
              <w:t>​</w:t>
            </w:r>
          </w:p>
        </w:tc>
        <w:tc>
          <w:tcPr>
            <w:tcW w:w="224" w:type="dxa"/>
            <w:tcBorders/>
            <w:shd w:fill="CCEEFF" w:val="cle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w:t>
            </w:r>
          </w:p>
        </w:tc>
        <w:tc>
          <w:tcPr>
            <w:tcW w:w="692"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(586)</w:t>
            </w:r>
          </w:p>
        </w:tc>
        <w:tc>
          <w:tcPr>
            <w:tcW w:w="206"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(21,742)</w:t>
            </w:r>
          </w:p>
        </w:tc>
        <w:tc>
          <w:tcPr>
            <w:tcW w:w="206"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w:t>
            </w:r>
          </w:p>
        </w:tc>
        <w:tc>
          <w:tcPr>
            <w:tcW w:w="747"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252,981</w:t>
            </w:r>
          </w:p>
        </w:tc>
      </w:tr>
      <w:tr>
        <w:trPr/>
        <w:tc>
          <w:tcPr>
            <w:tcW w:w="1902"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Exercise of stock options, net</w:t>
            </w:r>
          </w:p>
        </w:tc>
        <w:tc>
          <w:tcPr>
            <w:tcW w:w="20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653</w:t>
            </w:r>
          </w:p>
        </w:tc>
        <w:tc>
          <w:tcPr>
            <w:tcW w:w="20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center"/>
              <w:rPr/>
            </w:pPr>
            <w:r>
              <w:rPr/>
              <w:t>​</w:t>
            </w:r>
          </w:p>
        </w:tc>
        <w:tc>
          <w:tcPr>
            <w:tcW w:w="41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center"/>
              <w:rPr/>
            </w:pPr>
            <w:r>
              <w:rPr/>
              <w:t>​</w:t>
            </w:r>
          </w:p>
        </w:tc>
        <w:tc>
          <w:tcPr>
            <w:tcW w:w="41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center"/>
              <w:rPr/>
            </w:pPr>
            <w:r>
              <w:rPr/>
              <w:t>​</w:t>
            </w:r>
          </w:p>
        </w:tc>
        <w:tc>
          <w:tcPr>
            <w:tcW w:w="58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(5,454)</w:t>
            </w:r>
          </w:p>
        </w:tc>
        <w:tc>
          <w:tcPr>
            <w:tcW w:w="206" w:type="dxa"/>
            <w:tcBorders/>
            <w:vAlign w:val="center"/>
          </w:tcPr>
          <w:p>
            <w:pPr>
              <w:pStyle w:val="TableContents"/>
              <w:bidi w:val="0"/>
              <w:spacing w:before="0" w:after="0"/>
              <w:ind w:left="0" w:right="0" w:hanging="0"/>
              <w:jc w:val="right"/>
              <w:rPr/>
            </w:pPr>
            <w:r>
              <w:rPr/>
              <w:t>​</w:t>
            </w:r>
          </w:p>
        </w:tc>
        <w:tc>
          <w:tcPr>
            <w:tcW w:w="224" w:type="dxa"/>
            <w:tcBorders/>
            <w:vAlign w:val="center"/>
          </w:tcPr>
          <w:p>
            <w:pPr>
              <w:pStyle w:val="TableContents"/>
              <w:bidi w:val="0"/>
              <w:spacing w:before="0" w:after="0"/>
              <w:ind w:left="0" w:right="0" w:hanging="0"/>
              <w:jc w:val="center"/>
              <w:rPr/>
            </w:pPr>
            <w:r>
              <w:rPr/>
              <w:t>​</w:t>
            </w:r>
          </w:p>
        </w:tc>
        <w:tc>
          <w:tcPr>
            <w:tcW w:w="692"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center"/>
              <w:rPr/>
            </w:pPr>
            <w:r>
              <w:rPr/>
              <w:t>​</w:t>
            </w:r>
          </w:p>
        </w:tc>
        <w:tc>
          <w:tcPr>
            <w:tcW w:w="794"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center"/>
              <w:rPr/>
            </w:pPr>
            <w:r>
              <w:rPr/>
              <w:t>​</w:t>
            </w:r>
          </w:p>
        </w:tc>
        <w:tc>
          <w:tcPr>
            <w:tcW w:w="74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(5,454)</w:t>
            </w:r>
          </w:p>
        </w:tc>
      </w:tr>
      <w:tr>
        <w:trPr/>
        <w:tc>
          <w:tcPr>
            <w:tcW w:w="1902"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Shares issued upon vesting of Restricted Stock Units, net</w:t>
            </w:r>
          </w:p>
        </w:tc>
        <w:tc>
          <w:tcPr>
            <w:tcW w:w="20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674</w:t>
            </w:r>
          </w:p>
        </w:tc>
        <w:tc>
          <w:tcPr>
            <w:tcW w:w="20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center"/>
              <w:rPr/>
            </w:pPr>
            <w:r>
              <w:rPr/>
              <w:t>​</w:t>
            </w:r>
          </w:p>
        </w:tc>
        <w:tc>
          <w:tcPr>
            <w:tcW w:w="41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w:t>
            </w:r>
          </w:p>
        </w:tc>
        <w:tc>
          <w:tcPr>
            <w:tcW w:w="20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center"/>
              <w:rPr/>
            </w:pPr>
            <w:r>
              <w:rPr/>
              <w:t>​</w:t>
            </w:r>
          </w:p>
        </w:tc>
        <w:tc>
          <w:tcPr>
            <w:tcW w:w="41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center"/>
              <w:rPr/>
            </w:pPr>
            <w:r>
              <w:rPr/>
              <w:t>​</w:t>
            </w:r>
          </w:p>
        </w:tc>
        <w:tc>
          <w:tcPr>
            <w:tcW w:w="58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(10,899)</w:t>
            </w:r>
          </w:p>
        </w:tc>
        <w:tc>
          <w:tcPr>
            <w:tcW w:w="206" w:type="dxa"/>
            <w:tcBorders/>
            <w:shd w:fill="CCEEFF" w:val="clear"/>
            <w:vAlign w:val="center"/>
          </w:tcPr>
          <w:p>
            <w:pPr>
              <w:pStyle w:val="TableContents"/>
              <w:bidi w:val="0"/>
              <w:spacing w:before="0" w:after="0"/>
              <w:ind w:left="0" w:right="0" w:hanging="0"/>
              <w:jc w:val="right"/>
              <w:rPr/>
            </w:pPr>
            <w:r>
              <w:rPr/>
              <w:t>​</w:t>
            </w:r>
          </w:p>
        </w:tc>
        <w:tc>
          <w:tcPr>
            <w:tcW w:w="224" w:type="dxa"/>
            <w:tcBorders/>
            <w:shd w:fill="CCEEFF" w:val="clear"/>
            <w:vAlign w:val="center"/>
          </w:tcPr>
          <w:p>
            <w:pPr>
              <w:pStyle w:val="TableContents"/>
              <w:bidi w:val="0"/>
              <w:spacing w:before="0" w:after="0"/>
              <w:ind w:left="0" w:right="0" w:hanging="0"/>
              <w:jc w:val="center"/>
              <w:rPr/>
            </w:pPr>
            <w:r>
              <w:rPr/>
              <w:t>​</w:t>
            </w:r>
          </w:p>
        </w:tc>
        <w:tc>
          <w:tcPr>
            <w:tcW w:w="692"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center"/>
              <w:rPr/>
            </w:pPr>
            <w:r>
              <w:rPr/>
              <w:t>​</w:t>
            </w:r>
          </w:p>
        </w:tc>
        <w:tc>
          <w:tcPr>
            <w:tcW w:w="794"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center"/>
              <w:rPr/>
            </w:pPr>
            <w:r>
              <w:rPr/>
              <w:t>​</w:t>
            </w:r>
          </w:p>
        </w:tc>
        <w:tc>
          <w:tcPr>
            <w:tcW w:w="747"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(10,898)</w:t>
            </w:r>
          </w:p>
        </w:tc>
      </w:tr>
      <w:tr>
        <w:trPr/>
        <w:tc>
          <w:tcPr>
            <w:tcW w:w="1902"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Stock-based compensation expense</w:t>
            </w:r>
          </w:p>
        </w:tc>
        <w:tc>
          <w:tcPr>
            <w:tcW w:w="20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center"/>
              <w:rPr/>
            </w:pPr>
            <w:r>
              <w:rPr/>
              <w:t>​</w:t>
            </w:r>
          </w:p>
        </w:tc>
        <w:tc>
          <w:tcPr>
            <w:tcW w:w="41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center"/>
              <w:rPr/>
            </w:pPr>
            <w:r>
              <w:rPr/>
              <w:t>​</w:t>
            </w:r>
          </w:p>
        </w:tc>
        <w:tc>
          <w:tcPr>
            <w:tcW w:w="41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center"/>
              <w:rPr/>
            </w:pPr>
            <w:r>
              <w:rPr/>
              <w:t>​</w:t>
            </w:r>
          </w:p>
        </w:tc>
        <w:tc>
          <w:tcPr>
            <w:tcW w:w="58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14,845</w:t>
            </w:r>
          </w:p>
        </w:tc>
        <w:tc>
          <w:tcPr>
            <w:tcW w:w="206" w:type="dxa"/>
            <w:tcBorders/>
            <w:vAlign w:val="center"/>
          </w:tcPr>
          <w:p>
            <w:pPr>
              <w:pStyle w:val="TableContents"/>
              <w:bidi w:val="0"/>
              <w:spacing w:before="0" w:after="0"/>
              <w:ind w:left="0" w:right="0" w:hanging="0"/>
              <w:jc w:val="right"/>
              <w:rPr/>
            </w:pPr>
            <w:r>
              <w:rPr/>
              <w:t>​</w:t>
            </w:r>
          </w:p>
        </w:tc>
        <w:tc>
          <w:tcPr>
            <w:tcW w:w="224" w:type="dxa"/>
            <w:tcBorders/>
            <w:vAlign w:val="center"/>
          </w:tcPr>
          <w:p>
            <w:pPr>
              <w:pStyle w:val="TableContents"/>
              <w:bidi w:val="0"/>
              <w:spacing w:before="0" w:after="0"/>
              <w:ind w:left="0" w:right="0" w:hanging="0"/>
              <w:jc w:val="center"/>
              <w:rPr/>
            </w:pPr>
            <w:r>
              <w:rPr/>
              <w:t>​</w:t>
            </w:r>
          </w:p>
        </w:tc>
        <w:tc>
          <w:tcPr>
            <w:tcW w:w="692"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center"/>
              <w:rPr/>
            </w:pPr>
            <w:r>
              <w:rPr/>
              <w:t>​</w:t>
            </w:r>
          </w:p>
        </w:tc>
        <w:tc>
          <w:tcPr>
            <w:tcW w:w="794"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center"/>
              <w:rPr/>
            </w:pPr>
            <w:r>
              <w:rPr/>
              <w:t>​</w:t>
            </w:r>
          </w:p>
        </w:tc>
        <w:tc>
          <w:tcPr>
            <w:tcW w:w="74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14,845</w:t>
            </w:r>
          </w:p>
        </w:tc>
      </w:tr>
      <w:tr>
        <w:trPr/>
        <w:tc>
          <w:tcPr>
            <w:tcW w:w="1902"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Foreign currency translation adjustments and revaluations, net of tax</w:t>
            </w:r>
          </w:p>
        </w:tc>
        <w:tc>
          <w:tcPr>
            <w:tcW w:w="20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center"/>
              <w:rPr/>
            </w:pPr>
            <w:r>
              <w:rPr/>
              <w:t>​</w:t>
            </w:r>
          </w:p>
        </w:tc>
        <w:tc>
          <w:tcPr>
            <w:tcW w:w="41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center"/>
              <w:rPr/>
            </w:pPr>
            <w:r>
              <w:rPr/>
              <w:t>​</w:t>
            </w:r>
          </w:p>
        </w:tc>
        <w:tc>
          <w:tcPr>
            <w:tcW w:w="41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center"/>
              <w:rPr/>
            </w:pPr>
            <w:r>
              <w:rPr/>
              <w:t>​</w:t>
            </w:r>
          </w:p>
        </w:tc>
        <w:tc>
          <w:tcPr>
            <w:tcW w:w="589"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right"/>
              <w:rPr/>
            </w:pPr>
            <w:r>
              <w:rPr/>
              <w:t>​</w:t>
            </w:r>
          </w:p>
        </w:tc>
        <w:tc>
          <w:tcPr>
            <w:tcW w:w="224" w:type="dxa"/>
            <w:tcBorders/>
            <w:shd w:fill="CCEEFF" w:val="clear"/>
            <w:vAlign w:val="center"/>
          </w:tcPr>
          <w:p>
            <w:pPr>
              <w:pStyle w:val="TableContents"/>
              <w:bidi w:val="0"/>
              <w:spacing w:before="0" w:after="0"/>
              <w:ind w:left="0" w:right="0" w:hanging="0"/>
              <w:jc w:val="center"/>
              <w:rPr/>
            </w:pPr>
            <w:r>
              <w:rPr/>
              <w:t>​</w:t>
            </w:r>
          </w:p>
        </w:tc>
        <w:tc>
          <w:tcPr>
            <w:tcW w:w="692"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center"/>
              <w:rPr/>
            </w:pPr>
            <w:r>
              <w:rPr/>
              <w:t>​</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(4,011)</w:t>
            </w:r>
          </w:p>
        </w:tc>
        <w:tc>
          <w:tcPr>
            <w:tcW w:w="206"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center"/>
              <w:rPr/>
            </w:pPr>
            <w:r>
              <w:rPr/>
              <w:t>​</w:t>
            </w:r>
          </w:p>
        </w:tc>
        <w:tc>
          <w:tcPr>
            <w:tcW w:w="747"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(4,011)</w:t>
            </w:r>
          </w:p>
        </w:tc>
      </w:tr>
      <w:tr>
        <w:trPr/>
        <w:tc>
          <w:tcPr>
            <w:tcW w:w="1902"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Unrealized loss from available-for-sale investments, net of tax</w:t>
            </w:r>
          </w:p>
        </w:tc>
        <w:tc>
          <w:tcPr>
            <w:tcW w:w="20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center"/>
              <w:rPr/>
            </w:pPr>
            <w:r>
              <w:rPr/>
              <w:t>​</w:t>
            </w:r>
          </w:p>
        </w:tc>
        <w:tc>
          <w:tcPr>
            <w:tcW w:w="41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center"/>
              <w:rPr/>
            </w:pPr>
            <w:r>
              <w:rPr/>
              <w:t>​</w:t>
            </w:r>
          </w:p>
        </w:tc>
        <w:tc>
          <w:tcPr>
            <w:tcW w:w="41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center"/>
              <w:rPr/>
            </w:pPr>
            <w:r>
              <w:rPr/>
              <w:t>​</w:t>
            </w:r>
          </w:p>
        </w:tc>
        <w:tc>
          <w:tcPr>
            <w:tcW w:w="589"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right"/>
              <w:rPr/>
            </w:pPr>
            <w:r>
              <w:rPr/>
              <w:t>​</w:t>
            </w:r>
          </w:p>
        </w:tc>
        <w:tc>
          <w:tcPr>
            <w:tcW w:w="224" w:type="dxa"/>
            <w:tcBorders/>
            <w:vAlign w:val="center"/>
          </w:tcPr>
          <w:p>
            <w:pPr>
              <w:pStyle w:val="TableContents"/>
              <w:bidi w:val="0"/>
              <w:spacing w:before="0" w:after="0"/>
              <w:ind w:left="0" w:right="0" w:hanging="0"/>
              <w:jc w:val="center"/>
              <w:rPr/>
            </w:pPr>
            <w:r>
              <w:rPr/>
              <w:t>​</w:t>
            </w:r>
          </w:p>
        </w:tc>
        <w:tc>
          <w:tcPr>
            <w:tcW w:w="692"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center"/>
              <w:rPr/>
            </w:pPr>
            <w:r>
              <w:rPr/>
              <w:t>​</w:t>
            </w:r>
          </w:p>
        </w:tc>
        <w:tc>
          <w:tcPr>
            <w:tcW w:w="79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w:t>
            </w:r>
          </w:p>
        </w:tc>
        <w:tc>
          <w:tcPr>
            <w:tcW w:w="206"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center"/>
              <w:rPr/>
            </w:pPr>
            <w:r>
              <w:rPr/>
              <w:t>​</w:t>
            </w:r>
          </w:p>
        </w:tc>
        <w:tc>
          <w:tcPr>
            <w:tcW w:w="74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w:t>
            </w:r>
          </w:p>
        </w:tc>
      </w:tr>
      <w:tr>
        <w:trPr/>
        <w:tc>
          <w:tcPr>
            <w:tcW w:w="1902"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income</w:t>
            </w:r>
          </w:p>
        </w:tc>
        <w:tc>
          <w:tcPr>
            <w:tcW w:w="206" w:type="dxa"/>
            <w:tcBorders/>
            <w:shd w:fill="CCEEFF" w:val="clear"/>
            <w:vAlign w:val="center"/>
          </w:tcPr>
          <w:p>
            <w:pPr>
              <w:pStyle w:val="TableContents"/>
              <w:bidi w:val="0"/>
              <w:spacing w:before="0" w:after="0"/>
              <w:ind w:left="0" w:right="0" w:hanging="0"/>
              <w:jc w:val="left"/>
              <w:rPr/>
            </w:pPr>
            <w:r>
              <w:rPr/>
              <w:t>​</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5"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 </w:t>
            </w:r>
          </w:p>
        </w:tc>
        <w:tc>
          <w:tcPr>
            <w:tcW w:w="4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5"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4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righ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5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right"/>
              <w:rPr/>
            </w:pPr>
            <w:r>
              <w:rPr/>
              <w:t>​</w:t>
            </w:r>
          </w:p>
        </w:tc>
        <w:tc>
          <w:tcPr>
            <w:tcW w:w="224"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6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2,684</w:t>
            </w:r>
          </w:p>
        </w:tc>
        <w:tc>
          <w:tcPr>
            <w:tcW w:w="206" w:type="dxa"/>
            <w:tcBorders/>
            <w:shd w:fill="CCEEFF" w:val="clear"/>
            <w:vAlign w:val="center"/>
          </w:tcPr>
          <w:p>
            <w:pPr>
              <w:pStyle w:val="TableContents"/>
              <w:bidi w:val="0"/>
              <w:spacing w:before="0" w:after="0"/>
              <w:ind w:left="0" w:right="0" w:hanging="0"/>
              <w:jc w:val="left"/>
              <w:rPr/>
            </w:pPr>
            <w:r>
              <w:rPr/>
              <w:t>​</w:t>
            </w:r>
          </w:p>
        </w:tc>
        <w:tc>
          <w:tcPr>
            <w:tcW w:w="257"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79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197"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7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2,684</w:t>
            </w:r>
          </w:p>
        </w:tc>
      </w:tr>
      <w:tr>
        <w:trPr/>
        <w:tc>
          <w:tcPr>
            <w:tcW w:w="1902"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Balance, March 31, 2024</w:t>
            </w:r>
          </w:p>
        </w:tc>
        <w:tc>
          <w:tcPr>
            <w:tcW w:w="206" w:type="dxa"/>
            <w:tcBorders/>
            <w:vAlign w:val="center"/>
          </w:tcPr>
          <w:p>
            <w:pPr>
              <w:pStyle w:val="TableContents"/>
              <w:bidi w:val="0"/>
              <w:spacing w:before="0" w:after="0"/>
              <w:ind w:left="0" w:right="0" w:hanging="0"/>
              <w:jc w:val="left"/>
              <w:rPr/>
            </w:pPr>
            <w:r>
              <w:rPr/>
              <w:t> </w:t>
            </w:r>
          </w:p>
        </w:tc>
        <w:tc>
          <w:tcPr>
            <w:tcW w:w="85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62,316</w:t>
            </w:r>
          </w:p>
        </w:tc>
        <w:tc>
          <w:tcPr>
            <w:tcW w:w="206" w:type="dxa"/>
            <w:tcBorders/>
            <w:vAlign w:val="center"/>
          </w:tcPr>
          <w:p>
            <w:pPr>
              <w:pStyle w:val="TableContents"/>
              <w:bidi w:val="0"/>
              <w:spacing w:before="0" w:after="0"/>
              <w:ind w:left="0" w:right="0" w:hanging="0"/>
              <w:jc w:val="left"/>
              <w:rPr/>
            </w:pPr>
            <w:r>
              <w:rPr/>
              <w:t>​</w:t>
            </w:r>
          </w:p>
        </w:tc>
        <w:tc>
          <w:tcPr>
            <w:tcW w:w="215" w:type="dxa"/>
            <w:tcBorders>
              <w:bottom w:val="double" w:sz="6" w:space="0" w:color="000000"/>
            </w:tcBorders>
            <w:tcMar>
              <w:bottom w:w="28" w:type="dxa"/>
            </w:tcMar>
            <w:vAlign w:val="center"/>
          </w:tcPr>
          <w:p>
            <w:pPr>
              <w:pStyle w:val="TableContents"/>
              <w:bidi w:val="0"/>
              <w:spacing w:before="0" w:after="0"/>
              <w:ind w:left="0" w:right="0" w:hanging="0"/>
              <w:jc w:val="center"/>
              <w:rPr/>
            </w:pPr>
            <w:r>
              <w:rPr/>
              <w:t>​</w:t>
            </w:r>
          </w:p>
        </w:tc>
        <w:tc>
          <w:tcPr>
            <w:tcW w:w="4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62</w:t>
            </w:r>
          </w:p>
        </w:tc>
        <w:tc>
          <w:tcPr>
            <w:tcW w:w="206" w:type="dxa"/>
            <w:tcBorders/>
            <w:vAlign w:val="center"/>
          </w:tcPr>
          <w:p>
            <w:pPr>
              <w:pStyle w:val="TableContents"/>
              <w:bidi w:val="0"/>
              <w:spacing w:before="0" w:after="0"/>
              <w:ind w:left="0" w:right="0" w:hanging="0"/>
              <w:jc w:val="left"/>
              <w:rPr/>
            </w:pPr>
            <w:r>
              <w:rPr/>
              <w:t>​</w:t>
            </w:r>
          </w:p>
        </w:tc>
        <w:tc>
          <w:tcPr>
            <w:tcW w:w="85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92,661</w:t>
            </w:r>
          </w:p>
        </w:tc>
        <w:tc>
          <w:tcPr>
            <w:tcW w:w="206" w:type="dxa"/>
            <w:tcBorders/>
            <w:vAlign w:val="center"/>
          </w:tcPr>
          <w:p>
            <w:pPr>
              <w:pStyle w:val="TableContents"/>
              <w:bidi w:val="0"/>
              <w:spacing w:before="0" w:after="0"/>
              <w:ind w:left="0" w:right="0" w:hanging="0"/>
              <w:jc w:val="right"/>
              <w:rPr/>
            </w:pPr>
            <w:r>
              <w:rPr/>
              <w:t>​</w:t>
            </w:r>
          </w:p>
        </w:tc>
        <w:tc>
          <w:tcPr>
            <w:tcW w:w="215"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w:t>
            </w:r>
          </w:p>
        </w:tc>
        <w:tc>
          <w:tcPr>
            <w:tcW w:w="4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93</w:t>
            </w:r>
          </w:p>
        </w:tc>
        <w:tc>
          <w:tcPr>
            <w:tcW w:w="206" w:type="dxa"/>
            <w:tcBorders/>
            <w:vAlign w:val="center"/>
          </w:tcPr>
          <w:p>
            <w:pPr>
              <w:pStyle w:val="TableContents"/>
              <w:bidi w:val="0"/>
              <w:spacing w:before="0" w:after="0"/>
              <w:ind w:left="0" w:right="0" w:hanging="0"/>
              <w:jc w:val="righ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w:t>
            </w:r>
          </w:p>
        </w:tc>
        <w:tc>
          <w:tcPr>
            <w:tcW w:w="58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273,647</w:t>
            </w:r>
          </w:p>
        </w:tc>
        <w:tc>
          <w:tcPr>
            <w:tcW w:w="206" w:type="dxa"/>
            <w:tcBorders/>
            <w:vAlign w:val="center"/>
          </w:tcPr>
          <w:p>
            <w:pPr>
              <w:pStyle w:val="TableContents"/>
              <w:bidi w:val="0"/>
              <w:spacing w:before="0" w:after="0"/>
              <w:ind w:left="0" w:right="0" w:hanging="0"/>
              <w:jc w:val="right"/>
              <w:rPr/>
            </w:pPr>
            <w:r>
              <w:rPr/>
              <w:t>​</w:t>
            </w:r>
          </w:p>
        </w:tc>
        <w:tc>
          <w:tcPr>
            <w:tcW w:w="224"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w:t>
            </w:r>
          </w:p>
        </w:tc>
        <w:tc>
          <w:tcPr>
            <w:tcW w:w="69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2,098</w:t>
            </w:r>
          </w:p>
        </w:tc>
        <w:tc>
          <w:tcPr>
            <w:tcW w:w="206" w:type="dxa"/>
            <w:tcBorders/>
            <w:vAlign w:val="center"/>
          </w:tcPr>
          <w:p>
            <w:pPr>
              <w:pStyle w:val="TableContents"/>
              <w:bidi w:val="0"/>
              <w:spacing w:before="0" w:after="0"/>
              <w:ind w:left="0" w:right="0" w:hanging="0"/>
              <w:jc w:val="left"/>
              <w:rPr/>
            </w:pPr>
            <w:r>
              <w:rPr/>
              <w:t>​</w:t>
            </w:r>
          </w:p>
        </w:tc>
        <w:tc>
          <w:tcPr>
            <w:tcW w:w="257"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w:t>
            </w:r>
          </w:p>
        </w:tc>
        <w:tc>
          <w:tcPr>
            <w:tcW w:w="79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(25,770)</w:t>
            </w:r>
          </w:p>
        </w:tc>
        <w:tc>
          <w:tcPr>
            <w:tcW w:w="206" w:type="dxa"/>
            <w:tcBorders/>
            <w:vAlign w:val="center"/>
          </w:tcPr>
          <w:p>
            <w:pPr>
              <w:pStyle w:val="TableContents"/>
              <w:bidi w:val="0"/>
              <w:spacing w:before="0" w:after="0"/>
              <w:ind w:left="0" w:right="0" w:hanging="0"/>
              <w:jc w:val="left"/>
              <w:rPr/>
            </w:pPr>
            <w:r>
              <w:rPr/>
              <w:t>​</w:t>
            </w:r>
          </w:p>
        </w:tc>
        <w:tc>
          <w:tcPr>
            <w:tcW w:w="197"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w:t>
            </w:r>
          </w:p>
        </w:tc>
        <w:tc>
          <w:tcPr>
            <w:tcW w:w="747" w:type="dxa"/>
            <w:tcBorders>
              <w:bottom w:val="double" w:sz="6" w:space="0" w:color="000000"/>
            </w:tcBorders>
            <w:tcMar>
              <w:bottom w:w="28" w:type="dxa"/>
            </w:tcMar>
            <w:vAlign w:val="center"/>
          </w:tcPr>
          <w:p>
            <w:pPr>
              <w:pStyle w:val="TableContents"/>
              <w:bidi w:val="0"/>
              <w:spacing w:before="0" w:after="0"/>
              <w:ind w:left="0" w:right="50" w:hanging="0"/>
              <w:jc w:val="right"/>
              <w:rPr>
                <w:rFonts w:ascii="Times New Roman;Times;serif" w:hAnsi="Times New Roman;Times;serif"/>
                <w:sz w:val="14"/>
              </w:rPr>
            </w:pPr>
            <w:r>
              <w:rPr>
                <w:rFonts w:ascii="Times New Roman;Times;serif" w:hAnsi="Times New Roman;Times;serif"/>
                <w:sz w:val="14"/>
              </w:rPr>
              <w:t>250,130</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16"/>
        </w:rPr>
      </w:pPr>
      <w:bookmarkStart w:id="601" w:name="_c7ededbd_8f56_43ba_8e04_1e9487bcbde8"/>
      <w:bookmarkEnd w:id="601"/>
      <w:r>
        <w:rPr>
          <w:rFonts w:ascii="Times New Roman;Times;serif" w:hAnsi="Times New Roman;Times;serif"/>
          <w:b/>
          <w:sz w:val="16"/>
        </w:rPr>
        <w:t>Vertex, Inc. and Subsidiaries</w:t>
      </w:r>
    </w:p>
    <w:p>
      <w:pPr>
        <w:pStyle w:val="TextBody"/>
        <w:bidi w:val="0"/>
        <w:spacing w:before="0" w:after="0"/>
        <w:ind w:left="0" w:right="0" w:hanging="0"/>
        <w:jc w:val="left"/>
        <w:rPr>
          <w:rFonts w:ascii="Times New Roman;Times;serif" w:hAnsi="Times New Roman;Times;serif"/>
          <w:b/>
          <w:sz w:val="16"/>
        </w:rPr>
      </w:pPr>
      <w:bookmarkStart w:id="602" w:name="CashFlows"/>
      <w:bookmarkEnd w:id="602"/>
      <w:r>
        <w:rPr>
          <w:rFonts w:ascii="Times New Roman;Times;serif" w:hAnsi="Times New Roman;Times;serif"/>
          <w:b/>
          <w:sz w:val="16"/>
        </w:rPr>
        <w:t>Condensed Consolidated Statements of Cash Flows</w:t>
      </w:r>
    </w:p>
    <w:p>
      <w:pPr>
        <w:pStyle w:val="TextBody"/>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For the three months ended March 31, 2025 and 2024 (unaudited)</w:t>
      </w:r>
    </w:p>
    <w:p>
      <w:pPr>
        <w:pStyle w:val="TextBody"/>
        <w:pBdr>
          <w:bottom w:val="single" w:sz="2" w:space="1" w:color="000000"/>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(Amounts in thousands)</w:t>
      </w:r>
    </w:p>
    <w:p>
      <w:pPr>
        <w:pStyle w:val="Normal"/>
        <w:bidi w:val="0"/>
        <w:spacing w:before="0" w:after="0"/>
        <w:jc w:val="left"/>
        <w:rPr>
          <w:sz w:val="4"/>
          <w:szCs w:val="4"/>
        </w:rPr>
      </w:pPr>
      <w:r>
        <w:rPr>
          <w:sz w:val="4"/>
          <w:szCs w:val="4"/>
        </w:rPr>
      </w:r>
      <w:bookmarkStart w:id="603" w:name="Tc_8NeXxqhh4k2ntjgu0TcwbQ_48_4"/>
      <w:bookmarkStart w:id="604" w:name="Tc_afUqZTL8nEK_OUdWhbKeIg_48_1"/>
      <w:bookmarkStart w:id="605" w:name="Tc_xwX88d0UIkaVLlztjGU9LQ_48_0"/>
      <w:bookmarkStart w:id="606" w:name="Tc_DGvWvfRSw0Oh9rUl4_ZWyw_47_0"/>
      <w:bookmarkStart w:id="607" w:name="Tc_lnE2tTdum0-WcZpyFwX4fA_46_4"/>
      <w:bookmarkStart w:id="608" w:name="Tc_hwB-C5y15kenBSeV-oNz4Q_46_1"/>
      <w:bookmarkStart w:id="609" w:name="Tc_NPJrVUNRXEivHOULsDo_2Q_46_0"/>
      <w:bookmarkStart w:id="610" w:name="Tc_hWXXxjsCKkuVCwhTB_0uUQ_45_0"/>
      <w:bookmarkStart w:id="611" w:name="Tc_tB-ZH3ZjWkqZArd31gY0jQ_44_4"/>
      <w:bookmarkStart w:id="612" w:name="Tc_GTPyIViFPkuWX1obPg6AdQ_44_1"/>
      <w:bookmarkStart w:id="613" w:name="Tc_w9tn3f9Wrkacd_3FNc7HGg_44_0"/>
      <w:bookmarkStart w:id="614" w:name="Tc_X61WplXFqkWopBTjvhbY2A_43_0"/>
      <w:bookmarkStart w:id="615" w:name="Tc_QkKBqQ1yJk-vEZPLvYbHRQ_42_0"/>
      <w:bookmarkStart w:id="616" w:name="Tc_2CS3xVv5tEauv_X_ZjLKpA_41_0"/>
      <w:bookmarkStart w:id="617" w:name="Tc_a6gEHL-BFUS4gwTprkXUyg_40_0"/>
      <w:bookmarkStart w:id="618" w:name="Tc_zhq20h4UUUefs3LJJ790Kw_39_0"/>
      <w:bookmarkStart w:id="619" w:name="Tc_bK4pKwd-KkqQRnr_SAfFsA_38_0"/>
      <w:bookmarkStart w:id="620" w:name="Tc_0LTXCcj1RUO4F8zkH7Q3vQ_37_0"/>
      <w:bookmarkStart w:id="621" w:name="Tc__myJqgD1l0i1Ppdc2Hg_ug_36_2"/>
      <w:bookmarkStart w:id="622" w:name="Tc_2lE5QQZzu0qhMHR1GtQvhw_36_0"/>
      <w:bookmarkStart w:id="623" w:name="Tc_8EKd2qJjUUG3ru9u40V3FA_35_2"/>
      <w:bookmarkStart w:id="624" w:name="Tc_MrZLPSpcl0Co8bRPJr47sg_35_0"/>
      <w:bookmarkStart w:id="625" w:name="Tc_0duqzl9QNUKVAp9pptS0sQ_34_0"/>
      <w:bookmarkStart w:id="626" w:name="Tc_oenA8VFUSk-X9_WtomyO8Q_33_0"/>
      <w:bookmarkStart w:id="627" w:name="Tc_h1th3AKLfU-flzJmX0fGiQ_32_0"/>
      <w:bookmarkStart w:id="628" w:name="Tc_RlAiVHBhukG59inHYKKWvA_31_0"/>
      <w:bookmarkStart w:id="629" w:name="Tc_L2Tur79Dy0GvYu9GcwW6Yg_30_0"/>
      <w:bookmarkStart w:id="630" w:name="Tc_lcSPmkhLmUeNr-f-zCA04g_29_0"/>
      <w:bookmarkStart w:id="631" w:name="Tc_FxoCcQOkN0mLSZ6KbjkS7Q_28_0"/>
      <w:bookmarkStart w:id="632" w:name="Tc_pb9vS7rgBECwKTsEh7oPEQ_27_0"/>
      <w:bookmarkStart w:id="633" w:name="Tc_NfQqQmOen0K9bcz9WtejOg_26_0"/>
      <w:bookmarkStart w:id="634" w:name="Tc_o-SWA9tXp0m8c_MXYyMRug_25_0"/>
      <w:bookmarkStart w:id="635" w:name="Tc_0rjxgT40p0uT6-uUOS77vg_24_0"/>
      <w:bookmarkStart w:id="636" w:name="Tc_3-orlA0QM0-56wn-hCsfAQ_23_0"/>
      <w:bookmarkStart w:id="637" w:name="Tc_IXhiJi3MRkKMakaiI4iB2g_22_0"/>
      <w:bookmarkStart w:id="638" w:name="Tc_KQbxzXQ93U2-pKnj71xD2Q_21_0"/>
      <w:bookmarkStart w:id="639" w:name="Tc_BeHri5EjVEKHKwrfXDfBqw_20_0"/>
      <w:bookmarkStart w:id="640" w:name="Tc_DWESSvk-LkSCRQ4_I9b37Q_19_0"/>
      <w:bookmarkStart w:id="641" w:name="Tc__Ms1DO-M3kmQkLuRgat2MQ_18_0"/>
      <w:bookmarkStart w:id="642" w:name="Tc_PddGNCIOrUemjgrWEjVYjw_17_0"/>
      <w:bookmarkStart w:id="643" w:name="Tc_CA25zYldt0mXJULyTa6LbQ_16_0"/>
      <w:bookmarkStart w:id="644" w:name="Tc_hjIiijg_GkueXhe3l7XS4A_15_0"/>
      <w:bookmarkStart w:id="645" w:name="Tc_9BJh5SjM9EOjax6htnhVJw_14_0"/>
      <w:bookmarkStart w:id="646" w:name="Tc_KQkowEOo-02tbp3N8fihZQ_13_0"/>
      <w:bookmarkStart w:id="647" w:name="Tc_z7fWDN5iDEyiq9-Sfk7_ug_12_0"/>
      <w:bookmarkStart w:id="648" w:name="Tc_IriFDGqPlEm3HMUqWzWfNA_11_0"/>
      <w:bookmarkStart w:id="649" w:name="Tc_SS_fb7aUlkS4MVOkEc_Fww_10_0"/>
      <w:bookmarkStart w:id="650" w:name="Tc_RzeE284NCkqCJRqngFFJZw_9_0"/>
      <w:bookmarkStart w:id="651" w:name="Tc_Gz_STP2VeUWKEQiVfiZwZA_8_0"/>
      <w:bookmarkStart w:id="652" w:name="Tc_mrxttbycTEikm5bW78uwJg_7_0"/>
      <w:bookmarkStart w:id="653" w:name="Tc_z0xTxMP610K-5EYDAfCEaQ_6_0"/>
      <w:bookmarkStart w:id="654" w:name="Tc_4FCH_JO0vkWu33atqQBswg_5_4"/>
      <w:bookmarkStart w:id="655" w:name="Tc_t4u8iuNNYE6I6FgUp5hEcQ_5_1"/>
      <w:bookmarkStart w:id="656" w:name="Tc_6LCe184GWUS6wAqZrtNcxA_5_0"/>
      <w:bookmarkStart w:id="657" w:name="Tc_HxE91qC3YkuMhDXTcN68NQ_4_0"/>
      <w:bookmarkStart w:id="658" w:name="Tc___B7xoqyNkaScT5MDVVDog_3_1"/>
      <w:bookmarkStart w:id="659" w:name="Tc_N80B5cm1rEGQdOPStzzDmA_2_5"/>
      <w:bookmarkStart w:id="660" w:name="Tc_Masxq97uLkGcgrPFRvpOVA_2_1"/>
      <w:bookmarkStart w:id="661" w:name="Tc_yvcmpysHbkuTq1eKkJTuOQ_1_1"/>
      <w:bookmarkStart w:id="662" w:name="_d23708cc_07e8_43bc_9d98_00249e25ce80"/>
      <w:bookmarkStart w:id="663" w:name="Tc_8NeXxqhh4k2ntjgu0TcwbQ_48_4"/>
      <w:bookmarkStart w:id="664" w:name="Tc_afUqZTL8nEK_OUdWhbKeIg_48_1"/>
      <w:bookmarkStart w:id="665" w:name="Tc_xwX88d0UIkaVLlztjGU9LQ_48_0"/>
      <w:bookmarkStart w:id="666" w:name="Tc_DGvWvfRSw0Oh9rUl4_ZWyw_47_0"/>
      <w:bookmarkStart w:id="667" w:name="Tc_lnE2tTdum0-WcZpyFwX4fA_46_4"/>
      <w:bookmarkStart w:id="668" w:name="Tc_hwB-C5y15kenBSeV-oNz4Q_46_1"/>
      <w:bookmarkStart w:id="669" w:name="Tc_NPJrVUNRXEivHOULsDo_2Q_46_0"/>
      <w:bookmarkStart w:id="670" w:name="Tc_hWXXxjsCKkuVCwhTB_0uUQ_45_0"/>
      <w:bookmarkStart w:id="671" w:name="Tc_tB-ZH3ZjWkqZArd31gY0jQ_44_4"/>
      <w:bookmarkStart w:id="672" w:name="Tc_GTPyIViFPkuWX1obPg6AdQ_44_1"/>
      <w:bookmarkStart w:id="673" w:name="Tc_w9tn3f9Wrkacd_3FNc7HGg_44_0"/>
      <w:bookmarkStart w:id="674" w:name="Tc_X61WplXFqkWopBTjvhbY2A_43_0"/>
      <w:bookmarkStart w:id="675" w:name="Tc_QkKBqQ1yJk-vEZPLvYbHRQ_42_0"/>
      <w:bookmarkStart w:id="676" w:name="Tc_2CS3xVv5tEauv_X_ZjLKpA_41_0"/>
      <w:bookmarkStart w:id="677" w:name="Tc_a6gEHL-BFUS4gwTprkXUyg_40_0"/>
      <w:bookmarkStart w:id="678" w:name="Tc_zhq20h4UUUefs3LJJ790Kw_39_0"/>
      <w:bookmarkStart w:id="679" w:name="Tc_bK4pKwd-KkqQRnr_SAfFsA_38_0"/>
      <w:bookmarkStart w:id="680" w:name="Tc_0LTXCcj1RUO4F8zkH7Q3vQ_37_0"/>
      <w:bookmarkStart w:id="681" w:name="Tc__myJqgD1l0i1Ppdc2Hg_ug_36_2"/>
      <w:bookmarkStart w:id="682" w:name="Tc_2lE5QQZzu0qhMHR1GtQvhw_36_0"/>
      <w:bookmarkStart w:id="683" w:name="Tc_8EKd2qJjUUG3ru9u40V3FA_35_2"/>
      <w:bookmarkStart w:id="684" w:name="Tc_MrZLPSpcl0Co8bRPJr47sg_35_0"/>
      <w:bookmarkStart w:id="685" w:name="Tc_0duqzl9QNUKVAp9pptS0sQ_34_0"/>
      <w:bookmarkStart w:id="686" w:name="Tc_oenA8VFUSk-X9_WtomyO8Q_33_0"/>
      <w:bookmarkStart w:id="687" w:name="Tc_h1th3AKLfU-flzJmX0fGiQ_32_0"/>
      <w:bookmarkStart w:id="688" w:name="Tc_RlAiVHBhukG59inHYKKWvA_31_0"/>
      <w:bookmarkStart w:id="689" w:name="Tc_L2Tur79Dy0GvYu9GcwW6Yg_30_0"/>
      <w:bookmarkStart w:id="690" w:name="Tc_lcSPmkhLmUeNr-f-zCA04g_29_0"/>
      <w:bookmarkStart w:id="691" w:name="Tc_FxoCcQOkN0mLSZ6KbjkS7Q_28_0"/>
      <w:bookmarkStart w:id="692" w:name="Tc_pb9vS7rgBECwKTsEh7oPEQ_27_0"/>
      <w:bookmarkStart w:id="693" w:name="Tc_NfQqQmOen0K9bcz9WtejOg_26_0"/>
      <w:bookmarkStart w:id="694" w:name="Tc_o-SWA9tXp0m8c_MXYyMRug_25_0"/>
      <w:bookmarkStart w:id="695" w:name="Tc_0rjxgT40p0uT6-uUOS77vg_24_0"/>
      <w:bookmarkStart w:id="696" w:name="Tc_3-orlA0QM0-56wn-hCsfAQ_23_0"/>
      <w:bookmarkStart w:id="697" w:name="Tc_IXhiJi3MRkKMakaiI4iB2g_22_0"/>
      <w:bookmarkStart w:id="698" w:name="Tc_KQbxzXQ93U2-pKnj71xD2Q_21_0"/>
      <w:bookmarkStart w:id="699" w:name="Tc_BeHri5EjVEKHKwrfXDfBqw_20_0"/>
      <w:bookmarkStart w:id="700" w:name="Tc_DWESSvk-LkSCRQ4_I9b37Q_19_0"/>
      <w:bookmarkStart w:id="701" w:name="Tc__Ms1DO-M3kmQkLuRgat2MQ_18_0"/>
      <w:bookmarkStart w:id="702" w:name="Tc_PddGNCIOrUemjgrWEjVYjw_17_0"/>
      <w:bookmarkStart w:id="703" w:name="Tc_CA25zYldt0mXJULyTa6LbQ_16_0"/>
      <w:bookmarkStart w:id="704" w:name="Tc_hjIiijg_GkueXhe3l7XS4A_15_0"/>
      <w:bookmarkStart w:id="705" w:name="Tc_9BJh5SjM9EOjax6htnhVJw_14_0"/>
      <w:bookmarkStart w:id="706" w:name="Tc_KQkowEOo-02tbp3N8fihZQ_13_0"/>
      <w:bookmarkStart w:id="707" w:name="Tc_z7fWDN5iDEyiq9-Sfk7_ug_12_0"/>
      <w:bookmarkStart w:id="708" w:name="Tc_IriFDGqPlEm3HMUqWzWfNA_11_0"/>
      <w:bookmarkStart w:id="709" w:name="Tc_SS_fb7aUlkS4MVOkEc_Fww_10_0"/>
      <w:bookmarkStart w:id="710" w:name="Tc_RzeE284NCkqCJRqngFFJZw_9_0"/>
      <w:bookmarkStart w:id="711" w:name="Tc_Gz_STP2VeUWKEQiVfiZwZA_8_0"/>
      <w:bookmarkStart w:id="712" w:name="Tc_mrxttbycTEikm5bW78uwJg_7_0"/>
      <w:bookmarkStart w:id="713" w:name="Tc_z0xTxMP610K-5EYDAfCEaQ_6_0"/>
      <w:bookmarkStart w:id="714" w:name="Tc_4FCH_JO0vkWu33atqQBswg_5_4"/>
      <w:bookmarkStart w:id="715" w:name="Tc_t4u8iuNNYE6I6FgUp5hEcQ_5_1"/>
      <w:bookmarkStart w:id="716" w:name="Tc_6LCe184GWUS6wAqZrtNcxA_5_0"/>
      <w:bookmarkStart w:id="717" w:name="Tc_HxE91qC3YkuMhDXTcN68NQ_4_0"/>
      <w:bookmarkStart w:id="718" w:name="Tc___B7xoqyNkaScT5MDVVDog_3_1"/>
      <w:bookmarkStart w:id="719" w:name="Tc_N80B5cm1rEGQdOPStzzDmA_2_5"/>
      <w:bookmarkStart w:id="720" w:name="Tc_Masxq97uLkGcgrPFRvpOVA_2_1"/>
      <w:bookmarkStart w:id="721" w:name="Tc_yvcmpysHbkuTq1eKkJTuOQ_1_1"/>
      <w:bookmarkStart w:id="722" w:name="_d23708cc_07e8_43bc_9d98_00249e25ce80"/>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p>
    <w:tbl>
      <w:tblPr>
        <w:tblW w:w="10205" w:type="dxa"/>
        <w:jc w:val="left"/>
        <w:tblInd w:w="0" w:type="dxa"/>
        <w:tblLayout w:type="fixed"/>
        <w:tblCellMar>
          <w:top w:w="0" w:type="dxa"/>
          <w:left w:w="0" w:type="dxa"/>
          <w:bottom w:w="0" w:type="dxa"/>
          <w:right w:w="0" w:type="dxa"/>
        </w:tblCellMar>
      </w:tblPr>
      <w:tblGrid>
        <w:gridCol w:w="7638"/>
        <w:gridCol w:w="209"/>
        <w:gridCol w:w="767"/>
        <w:gridCol w:w="349"/>
        <w:gridCol w:w="209"/>
        <w:gridCol w:w="762"/>
        <w:gridCol w:w="271"/>
      </w:tblGrid>
      <w:tr>
        <w:trPr/>
        <w:tc>
          <w:tcPr>
            <w:tcW w:w="76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4850130" cy="175260"/>
                      <wp:effectExtent l="0" t="0" r="0" b="0"/>
                      <wp:wrapNone/>
                      <wp:docPr id="36" name="Frame36"/>
                      <a:graphic xmlns:a="http://schemas.openxmlformats.org/drawingml/2006/main">
                        <a:graphicData uri="http://schemas.microsoft.com/office/word/2010/wordprocessingShape">
                          <wps:wsp>
                            <wps:cNvSpPr txBox="1"/>
                            <wps:spPr>
                              <a:xfrm>
                                <a:off x="0" y="0"/>
                                <a:ext cx="48501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132715" cy="175260"/>
                      <wp:effectExtent l="0" t="0" r="0" b="0"/>
                      <wp:wrapNone/>
                      <wp:docPr id="37" name="Frame37"/>
                      <a:graphic xmlns:a="http://schemas.openxmlformats.org/drawingml/2006/main">
                        <a:graphicData uri="http://schemas.microsoft.com/office/word/2010/wordprocessingShape">
                          <wps:wsp>
                            <wps:cNvSpPr txBox="1"/>
                            <wps:spPr>
                              <a:xfrm>
                                <a:off x="0" y="0"/>
                                <a:ext cx="1327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487045" cy="175260"/>
                      <wp:effectExtent l="0" t="0" r="0" b="0"/>
                      <wp:wrapNone/>
                      <wp:docPr id="38" name="Frame38"/>
                      <a:graphic xmlns:a="http://schemas.openxmlformats.org/drawingml/2006/main">
                        <a:graphicData uri="http://schemas.microsoft.com/office/word/2010/wordprocessingShape">
                          <wps:wsp>
                            <wps:cNvSpPr txBox="1"/>
                            <wps:spPr>
                              <a:xfrm>
                                <a:off x="0" y="0"/>
                                <a:ext cx="4870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221615" cy="175260"/>
                      <wp:effectExtent l="0" t="0" r="0" b="0"/>
                      <wp:wrapNone/>
                      <wp:docPr id="39" name="Frame39"/>
                      <a:graphic xmlns:a="http://schemas.openxmlformats.org/drawingml/2006/main">
                        <a:graphicData uri="http://schemas.microsoft.com/office/word/2010/wordprocessingShape">
                          <wps:wsp>
                            <wps:cNvSpPr txBox="1"/>
                            <wps:spPr>
                              <a:xfrm>
                                <a:off x="0" y="0"/>
                                <a:ext cx="2216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132715" cy="175260"/>
                      <wp:effectExtent l="0" t="0" r="0" b="0"/>
                      <wp:wrapNone/>
                      <wp:docPr id="40" name="Frame40"/>
                      <a:graphic xmlns:a="http://schemas.openxmlformats.org/drawingml/2006/main">
                        <a:graphicData uri="http://schemas.microsoft.com/office/word/2010/wordprocessingShape">
                          <wps:wsp>
                            <wps:cNvSpPr txBox="1"/>
                            <wps:spPr>
                              <a:xfrm>
                                <a:off x="0" y="0"/>
                                <a:ext cx="1327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483870" cy="175260"/>
                      <wp:effectExtent l="0" t="0" r="0" b="0"/>
                      <wp:wrapNone/>
                      <wp:docPr id="41" name="Frame41"/>
                      <a:graphic xmlns:a="http://schemas.openxmlformats.org/drawingml/2006/main">
                        <a:graphicData uri="http://schemas.microsoft.com/office/word/2010/wordprocessingShape">
                          <wps:wsp>
                            <wps:cNvSpPr txBox="1"/>
                            <wps:spPr>
                              <a:xfrm>
                                <a:off x="0" y="0"/>
                                <a:ext cx="4838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172085" cy="175260"/>
                      <wp:effectExtent l="0" t="0" r="0" b="0"/>
                      <wp:wrapNone/>
                      <wp:docPr id="42" name="Frame42"/>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638" w:type="dxa"/>
            <w:tcBorders/>
            <w:vAlign w:val="center"/>
          </w:tcPr>
          <w:p>
            <w:pPr>
              <w:pStyle w:val="TableContents"/>
              <w:bidi w:val="0"/>
              <w:spacing w:before="0" w:after="1"/>
              <w:ind w:left="0" w:right="0" w:hanging="0"/>
              <w:jc w:val="left"/>
              <w:rPr/>
            </w:pPr>
            <w:r>
              <w:rPr/>
              <w:t>​</w:t>
            </w:r>
          </w:p>
        </w:tc>
        <w:tc>
          <w:tcPr>
            <w:tcW w:w="2567" w:type="dxa"/>
            <w:gridSpan w:val="6"/>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Three months ended March 31, </w:t>
            </w:r>
          </w:p>
        </w:tc>
      </w:tr>
      <w:tr>
        <w:trPr/>
        <w:tc>
          <w:tcPr>
            <w:tcW w:w="7638" w:type="dxa"/>
            <w:tcBorders/>
            <w:vAlign w:val="center"/>
          </w:tcPr>
          <w:p>
            <w:pPr>
              <w:pStyle w:val="TableContents"/>
              <w:bidi w:val="0"/>
              <w:spacing w:before="0" w:after="1"/>
              <w:ind w:left="0" w:right="0" w:hanging="0"/>
              <w:jc w:val="left"/>
              <w:rPr/>
            </w:pPr>
            <w:r>
              <w:rPr/>
              <w:t>​</w:t>
            </w:r>
          </w:p>
        </w:tc>
        <w:tc>
          <w:tcPr>
            <w:tcW w:w="97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49" w:type="dxa"/>
            <w:tcBorders/>
            <w:vAlign w:val="center"/>
          </w:tcPr>
          <w:p>
            <w:pPr>
              <w:pStyle w:val="TableContents"/>
              <w:bidi w:val="0"/>
              <w:spacing w:before="0" w:after="1"/>
              <w:ind w:left="0" w:right="0" w:hanging="0"/>
              <w:jc w:val="left"/>
              <w:rPr/>
            </w:pPr>
            <w:r>
              <w:rPr/>
              <w:t>    </w:t>
            </w:r>
          </w:p>
        </w:tc>
        <w:tc>
          <w:tcPr>
            <w:tcW w:w="209"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762"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2024</w:t>
            </w:r>
          </w:p>
        </w:tc>
        <w:tc>
          <w:tcPr>
            <w:tcW w:w="271" w:type="dxa"/>
            <w:tcBorders/>
            <w:vAlign w:val="center"/>
          </w:tcPr>
          <w:p>
            <w:pPr>
              <w:pStyle w:val="TableContents"/>
              <w:bidi w:val="0"/>
              <w:spacing w:before="0" w:after="1"/>
              <w:ind w:left="0" w:right="0" w:hanging="0"/>
              <w:jc w:val="center"/>
              <w:rPr/>
            </w:pPr>
            <w:r>
              <w:rPr/>
              <w:t>​</w:t>
            </w:r>
          </w:p>
        </w:tc>
      </w:tr>
      <w:tr>
        <w:trPr/>
        <w:tc>
          <w:tcPr>
            <w:tcW w:w="10205"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7638" w:type="dxa"/>
            <w:tcBorders/>
            <w:vAlign w:val="center"/>
          </w:tcPr>
          <w:p>
            <w:pPr>
              <w:pStyle w:val="TableContents"/>
              <w:bidi w:val="0"/>
              <w:spacing w:before="0" w:after="1"/>
              <w:ind w:left="0" w:right="0" w:hanging="0"/>
              <w:jc w:val="left"/>
              <w:rPr/>
            </w:pPr>
            <w:r>
              <w:rPr/>
              <w:t>​</w:t>
            </w:r>
          </w:p>
        </w:tc>
        <w:tc>
          <w:tcPr>
            <w:tcW w:w="2567" w:type="dxa"/>
            <w:gridSpan w:val="6"/>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(unaudited)</w:t>
            </w:r>
          </w:p>
        </w:tc>
      </w:tr>
      <w:tr>
        <w:trPr/>
        <w:tc>
          <w:tcPr>
            <w:tcW w:w="7638" w:type="dxa"/>
            <w:tcBorders/>
            <w:shd w:fill="CCEEFF" w:val="clear"/>
            <w:vAlign w:val="center"/>
          </w:tcPr>
          <w:p>
            <w:pPr>
              <w:pStyle w:val="TableContents"/>
              <w:bidi w:val="0"/>
              <w:spacing w:before="0" w:after="1"/>
              <w:ind w:left="0" w:right="0" w:hanging="0"/>
              <w:jc w:val="both"/>
              <w:rPr>
                <w:rFonts w:ascii="Times New Roman;Times;serif" w:hAnsi="Times New Roman;Times;serif"/>
                <w:sz w:val="18"/>
              </w:rPr>
            </w:pPr>
            <w:r>
              <w:rPr>
                <w:rFonts w:ascii="Times New Roman;Times;serif" w:hAnsi="Times New Roman;Times;serif"/>
                <w:sz w:val="18"/>
              </w:rPr>
              <w:t>Cash flows from operating activities:</w:t>
            </w:r>
          </w:p>
        </w:tc>
        <w:tc>
          <w:tcPr>
            <w:tcW w:w="209" w:type="dxa"/>
            <w:tcBorders/>
            <w:shd w:fill="CCEEFF" w:val="clear"/>
            <w:vAlign w:val="center"/>
          </w:tcPr>
          <w:p>
            <w:pPr>
              <w:pStyle w:val="TableContents"/>
              <w:bidi w:val="0"/>
              <w:spacing w:before="0" w:after="1"/>
              <w:ind w:left="0" w:right="0" w:hanging="0"/>
              <w:jc w:val="left"/>
              <w:rPr/>
            </w:pPr>
            <w:r>
              <w:rPr/>
              <w:t>​</w:t>
            </w:r>
          </w:p>
        </w:tc>
        <w:tc>
          <w:tcPr>
            <w:tcW w:w="767" w:type="dxa"/>
            <w:tcBorders/>
            <w:shd w:fill="CCEEFF" w:val="clear"/>
            <w:vAlign w:val="center"/>
          </w:tcPr>
          <w:p>
            <w:pPr>
              <w:pStyle w:val="TableContents"/>
              <w:bidi w:val="0"/>
              <w:spacing w:before="0" w:after="1"/>
              <w:ind w:left="0" w:right="0" w:hanging="0"/>
              <w:jc w:val="right"/>
              <w:rPr/>
            </w:pPr>
            <w:r>
              <w:rPr/>
              <w:t>  </w:t>
            </w:r>
          </w:p>
        </w:tc>
        <w:tc>
          <w:tcPr>
            <w:tcW w:w="349" w:type="dxa"/>
            <w:tcBorders/>
            <w:shd w:fill="CCEEFF" w:val="clear"/>
            <w:vAlign w:val="center"/>
          </w:tcPr>
          <w:p>
            <w:pPr>
              <w:pStyle w:val="TableContents"/>
              <w:bidi w:val="0"/>
              <w:spacing w:before="0" w:after="1"/>
              <w:ind w:left="0" w:right="0" w:hanging="0"/>
              <w:jc w:val="left"/>
              <w:rPr/>
            </w:pPr>
            <w:r>
              <w:rPr/>
              <w:t> </w:t>
            </w:r>
          </w:p>
        </w:tc>
        <w:tc>
          <w:tcPr>
            <w:tcW w:w="209" w:type="dxa"/>
            <w:tcBorders/>
            <w:shd w:fill="CCEEFF" w:val="clear"/>
            <w:vAlign w:val="center"/>
          </w:tcPr>
          <w:p>
            <w:pPr>
              <w:pStyle w:val="TableContents"/>
              <w:bidi w:val="0"/>
              <w:spacing w:before="0" w:after="1"/>
              <w:ind w:left="0" w:right="0" w:hanging="0"/>
              <w:jc w:val="left"/>
              <w:rPr/>
            </w:pPr>
            <w:r>
              <w:rPr/>
              <w:t>​</w:t>
            </w:r>
          </w:p>
        </w:tc>
        <w:tc>
          <w:tcPr>
            <w:tcW w:w="762" w:type="dxa"/>
            <w:tcBorders/>
            <w:shd w:fill="CCEEFF" w:val="clear"/>
            <w:vAlign w:val="center"/>
          </w:tcPr>
          <w:p>
            <w:pPr>
              <w:pStyle w:val="TableContents"/>
              <w:bidi w:val="0"/>
              <w:spacing w:before="0" w:after="1"/>
              <w:ind w:left="0" w:right="0" w:hanging="0"/>
              <w:jc w:val="left"/>
              <w:rPr/>
            </w:pPr>
            <w:r>
              <w:rPr/>
              <w:t>​</w:t>
            </w:r>
          </w:p>
        </w:tc>
        <w:tc>
          <w:tcPr>
            <w:tcW w:w="271" w:type="dxa"/>
            <w:tcBorders/>
            <w:shd w:fill="CCEEFF" w:val="clear"/>
            <w:vAlign w:val="center"/>
          </w:tcPr>
          <w:p>
            <w:pPr>
              <w:pStyle w:val="TableContents"/>
              <w:bidi w:val="0"/>
              <w:spacing w:before="0" w:after="1"/>
              <w:ind w:left="0" w:right="0" w:hanging="0"/>
              <w:jc w:val="right"/>
              <w:rPr/>
            </w:pPr>
            <w:r>
              <w:rPr/>
              <w:t>  </w:t>
            </w:r>
          </w:p>
        </w:tc>
      </w:tr>
      <w:tr>
        <w:trPr/>
        <w:tc>
          <w:tcPr>
            <w:tcW w:w="7638"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income</w:t>
            </w:r>
          </w:p>
        </w:tc>
        <w:tc>
          <w:tcPr>
            <w:tcW w:w="209"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6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11,130</w:t>
            </w:r>
          </w:p>
        </w:tc>
        <w:tc>
          <w:tcPr>
            <w:tcW w:w="349" w:type="dxa"/>
            <w:tcBorders/>
            <w:vAlign w:val="center"/>
          </w:tcPr>
          <w:p>
            <w:pPr>
              <w:pStyle w:val="TableContents"/>
              <w:bidi w:val="0"/>
              <w:spacing w:before="0" w:after="1"/>
              <w:ind w:left="0" w:right="0" w:hanging="0"/>
              <w:jc w:val="left"/>
              <w:rPr/>
            </w:pPr>
            <w:r>
              <w:rPr/>
              <w:t>​</w:t>
            </w:r>
          </w:p>
        </w:tc>
        <w:tc>
          <w:tcPr>
            <w:tcW w:w="209"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6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2,684</w:t>
            </w:r>
          </w:p>
        </w:tc>
        <w:tc>
          <w:tcPr>
            <w:tcW w:w="271" w:type="dxa"/>
            <w:tcBorders/>
            <w:vAlign w:val="center"/>
          </w:tcPr>
          <w:p>
            <w:pPr>
              <w:pStyle w:val="TableContents"/>
              <w:bidi w:val="0"/>
              <w:spacing w:before="0" w:after="1"/>
              <w:ind w:left="0" w:right="0" w:hanging="0"/>
              <w:jc w:val="left"/>
              <w:rPr/>
            </w:pPr>
            <w:r>
              <w:rPr/>
              <w:t>​</w:t>
            </w:r>
          </w:p>
        </w:tc>
      </w:tr>
      <w:tr>
        <w:trPr/>
        <w:tc>
          <w:tcPr>
            <w:tcW w:w="7638"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Adjustments to reconcile net income to net cash provided by operating activities:</w:t>
            </w:r>
          </w:p>
        </w:tc>
        <w:tc>
          <w:tcPr>
            <w:tcW w:w="209" w:type="dxa"/>
            <w:tcBorders/>
            <w:shd w:fill="CCEEFF" w:val="clear"/>
            <w:vAlign w:val="center"/>
          </w:tcPr>
          <w:p>
            <w:pPr>
              <w:pStyle w:val="TableContents"/>
              <w:bidi w:val="0"/>
              <w:spacing w:before="0" w:after="1"/>
              <w:ind w:left="0" w:right="0" w:hanging="0"/>
              <w:jc w:val="left"/>
              <w:rPr/>
            </w:pPr>
            <w:r>
              <w:rPr/>
              <w:t> </w:t>
            </w:r>
          </w:p>
        </w:tc>
        <w:tc>
          <w:tcPr>
            <w:tcW w:w="767" w:type="dxa"/>
            <w:tcBorders/>
            <w:shd w:fill="CCEEFF" w:val="clear"/>
            <w:vAlign w:val="center"/>
          </w:tcPr>
          <w:p>
            <w:pPr>
              <w:pStyle w:val="TableContents"/>
              <w:bidi w:val="0"/>
              <w:spacing w:before="0" w:after="1"/>
              <w:ind w:left="0" w:right="0" w:hanging="0"/>
              <w:jc w:val="right"/>
              <w:rPr/>
            </w:pPr>
            <w:r>
              <w:rPr/>
              <w:t>​</w:t>
            </w:r>
          </w:p>
        </w:tc>
        <w:tc>
          <w:tcPr>
            <w:tcW w:w="349" w:type="dxa"/>
            <w:tcBorders/>
            <w:shd w:fill="CCEEFF" w:val="clear"/>
            <w:vAlign w:val="center"/>
          </w:tcPr>
          <w:p>
            <w:pPr>
              <w:pStyle w:val="TableContents"/>
              <w:bidi w:val="0"/>
              <w:spacing w:before="0" w:after="1"/>
              <w:ind w:left="0" w:right="0" w:hanging="0"/>
              <w:jc w:val="left"/>
              <w:rPr/>
            </w:pPr>
            <w:r>
              <w:rPr/>
              <w:t>​</w:t>
            </w:r>
          </w:p>
        </w:tc>
        <w:tc>
          <w:tcPr>
            <w:tcW w:w="209" w:type="dxa"/>
            <w:tcBorders/>
            <w:shd w:fill="CCEEFF" w:val="clear"/>
            <w:vAlign w:val="center"/>
          </w:tcPr>
          <w:p>
            <w:pPr>
              <w:pStyle w:val="TableContents"/>
              <w:bidi w:val="0"/>
              <w:spacing w:before="0" w:after="1"/>
              <w:ind w:left="0" w:right="0" w:hanging="0"/>
              <w:jc w:val="left"/>
              <w:rPr/>
            </w:pPr>
            <w:r>
              <w:rPr/>
              <w:t> </w:t>
            </w:r>
          </w:p>
        </w:tc>
        <w:tc>
          <w:tcPr>
            <w:tcW w:w="762" w:type="dxa"/>
            <w:tcBorders/>
            <w:shd w:fill="CCEEFF" w:val="clear"/>
            <w:vAlign w:val="center"/>
          </w:tcPr>
          <w:p>
            <w:pPr>
              <w:pStyle w:val="TableContents"/>
              <w:bidi w:val="0"/>
              <w:spacing w:before="0" w:after="1"/>
              <w:ind w:left="0" w:right="0" w:hanging="0"/>
              <w:jc w:val="right"/>
              <w:rPr/>
            </w:pPr>
            <w:r>
              <w:rPr/>
              <w:t>​</w:t>
            </w:r>
          </w:p>
        </w:tc>
        <w:tc>
          <w:tcPr>
            <w:tcW w:w="271" w:type="dxa"/>
            <w:tcBorders/>
            <w:shd w:fill="CCEEFF" w:val="clear"/>
            <w:vAlign w:val="center"/>
          </w:tcPr>
          <w:p>
            <w:pPr>
              <w:pStyle w:val="TableContents"/>
              <w:bidi w:val="0"/>
              <w:spacing w:before="0" w:after="1"/>
              <w:ind w:left="0" w:right="0" w:hanging="0"/>
              <w:jc w:val="left"/>
              <w:rPr/>
            </w:pPr>
            <w:r>
              <w:rPr/>
              <w:t>​</w:t>
            </w:r>
          </w:p>
        </w:tc>
      </w:tr>
      <w:tr>
        <w:trPr/>
        <w:tc>
          <w:tcPr>
            <w:tcW w:w="7638"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Depreciation and amortization</w:t>
            </w:r>
          </w:p>
        </w:tc>
        <w:tc>
          <w:tcPr>
            <w:tcW w:w="209" w:type="dxa"/>
            <w:tcBorders/>
            <w:vAlign w:val="center"/>
          </w:tcPr>
          <w:p>
            <w:pPr>
              <w:pStyle w:val="TableContents"/>
              <w:bidi w:val="0"/>
              <w:spacing w:before="0" w:after="1"/>
              <w:ind w:left="0" w:right="0" w:hanging="0"/>
              <w:jc w:val="left"/>
              <w:rPr/>
            </w:pPr>
            <w:r>
              <w:rPr/>
              <w:t> </w:t>
            </w:r>
          </w:p>
        </w:tc>
        <w:tc>
          <w:tcPr>
            <w:tcW w:w="76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22,266</w:t>
            </w:r>
          </w:p>
        </w:tc>
        <w:tc>
          <w:tcPr>
            <w:tcW w:w="349" w:type="dxa"/>
            <w:tcBorders/>
            <w:vAlign w:val="center"/>
          </w:tcPr>
          <w:p>
            <w:pPr>
              <w:pStyle w:val="TableContents"/>
              <w:bidi w:val="0"/>
              <w:spacing w:before="0" w:after="1"/>
              <w:ind w:left="0" w:right="0" w:hanging="0"/>
              <w:jc w:val="left"/>
              <w:rPr/>
            </w:pPr>
            <w:r>
              <w:rPr/>
              <w:t>​</w:t>
            </w:r>
          </w:p>
        </w:tc>
        <w:tc>
          <w:tcPr>
            <w:tcW w:w="209" w:type="dxa"/>
            <w:tcBorders/>
            <w:vAlign w:val="center"/>
          </w:tcPr>
          <w:p>
            <w:pPr>
              <w:pStyle w:val="TableContents"/>
              <w:bidi w:val="0"/>
              <w:spacing w:before="0" w:after="1"/>
              <w:ind w:left="0" w:right="0" w:hanging="0"/>
              <w:jc w:val="left"/>
              <w:rPr/>
            </w:pPr>
            <w:r>
              <w:rPr/>
              <w:t> </w:t>
            </w:r>
          </w:p>
        </w:tc>
        <w:tc>
          <w:tcPr>
            <w:tcW w:w="76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20,948</w:t>
            </w:r>
          </w:p>
        </w:tc>
        <w:tc>
          <w:tcPr>
            <w:tcW w:w="271" w:type="dxa"/>
            <w:tcBorders/>
            <w:vAlign w:val="center"/>
          </w:tcPr>
          <w:p>
            <w:pPr>
              <w:pStyle w:val="TableContents"/>
              <w:bidi w:val="0"/>
              <w:spacing w:before="0" w:after="1"/>
              <w:ind w:left="0" w:right="0" w:hanging="0"/>
              <w:jc w:val="left"/>
              <w:rPr/>
            </w:pPr>
            <w:r>
              <w:rPr/>
              <w:t>​</w:t>
            </w:r>
          </w:p>
        </w:tc>
      </w:tr>
      <w:tr>
        <w:trPr/>
        <w:tc>
          <w:tcPr>
            <w:tcW w:w="7638"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Amortization of cloud computing implementation costs</w:t>
            </w:r>
          </w:p>
        </w:tc>
        <w:tc>
          <w:tcPr>
            <w:tcW w:w="209" w:type="dxa"/>
            <w:tcBorders/>
            <w:shd w:fill="CCEEFF" w:val="clear"/>
            <w:vAlign w:val="center"/>
          </w:tcPr>
          <w:p>
            <w:pPr>
              <w:pStyle w:val="TableContents"/>
              <w:bidi w:val="0"/>
              <w:spacing w:before="0" w:after="1"/>
              <w:ind w:left="0" w:right="0" w:hanging="0"/>
              <w:jc w:val="left"/>
              <w:rPr/>
            </w:pPr>
            <w:r>
              <w:rPr/>
              <w:t>​</w:t>
            </w:r>
          </w:p>
        </w:tc>
        <w:tc>
          <w:tcPr>
            <w:tcW w:w="76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1,006</w:t>
            </w:r>
          </w:p>
        </w:tc>
        <w:tc>
          <w:tcPr>
            <w:tcW w:w="349" w:type="dxa"/>
            <w:tcBorders/>
            <w:shd w:fill="CCEEFF" w:val="clear"/>
            <w:vAlign w:val="center"/>
          </w:tcPr>
          <w:p>
            <w:pPr>
              <w:pStyle w:val="TableContents"/>
              <w:bidi w:val="0"/>
              <w:spacing w:before="0" w:after="1"/>
              <w:ind w:left="0" w:right="0" w:hanging="0"/>
              <w:jc w:val="left"/>
              <w:rPr/>
            </w:pPr>
            <w:r>
              <w:rPr/>
              <w:t>​</w:t>
            </w:r>
          </w:p>
        </w:tc>
        <w:tc>
          <w:tcPr>
            <w:tcW w:w="209" w:type="dxa"/>
            <w:tcBorders/>
            <w:shd w:fill="CCEEFF" w:val="clear"/>
            <w:vAlign w:val="center"/>
          </w:tcPr>
          <w:p>
            <w:pPr>
              <w:pStyle w:val="TableContents"/>
              <w:bidi w:val="0"/>
              <w:spacing w:before="0" w:after="1"/>
              <w:ind w:left="0" w:right="0" w:hanging="0"/>
              <w:jc w:val="left"/>
              <w:rPr/>
            </w:pPr>
            <w:r>
              <w:rPr/>
              <w:t>​</w:t>
            </w:r>
          </w:p>
        </w:tc>
        <w:tc>
          <w:tcPr>
            <w:tcW w:w="76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994</w:t>
            </w:r>
          </w:p>
        </w:tc>
        <w:tc>
          <w:tcPr>
            <w:tcW w:w="271" w:type="dxa"/>
            <w:tcBorders/>
            <w:shd w:fill="CCEEFF" w:val="clear"/>
            <w:vAlign w:val="center"/>
          </w:tcPr>
          <w:p>
            <w:pPr>
              <w:pStyle w:val="TableContents"/>
              <w:bidi w:val="0"/>
              <w:spacing w:before="0" w:after="1"/>
              <w:ind w:left="0" w:right="0" w:hanging="0"/>
              <w:jc w:val="left"/>
              <w:rPr/>
            </w:pPr>
            <w:r>
              <w:rPr/>
              <w:t>​</w:t>
            </w:r>
          </w:p>
        </w:tc>
      </w:tr>
      <w:tr>
        <w:trPr/>
        <w:tc>
          <w:tcPr>
            <w:tcW w:w="7638"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Provision for subscription cancellations and non-renewals</w:t>
            </w:r>
          </w:p>
        </w:tc>
        <w:tc>
          <w:tcPr>
            <w:tcW w:w="209" w:type="dxa"/>
            <w:tcBorders/>
            <w:vAlign w:val="center"/>
          </w:tcPr>
          <w:p>
            <w:pPr>
              <w:pStyle w:val="TableContents"/>
              <w:bidi w:val="0"/>
              <w:spacing w:before="0" w:after="1"/>
              <w:ind w:left="0" w:right="0" w:hanging="0"/>
              <w:jc w:val="left"/>
              <w:rPr/>
            </w:pPr>
            <w:r>
              <w:rPr/>
              <w:t> </w:t>
            </w:r>
          </w:p>
        </w:tc>
        <w:tc>
          <w:tcPr>
            <w:tcW w:w="76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192</w:t>
            </w:r>
          </w:p>
        </w:tc>
        <w:tc>
          <w:tcPr>
            <w:tcW w:w="349" w:type="dxa"/>
            <w:tcBorders/>
            <w:vAlign w:val="center"/>
          </w:tcPr>
          <w:p>
            <w:pPr>
              <w:pStyle w:val="TableContents"/>
              <w:bidi w:val="0"/>
              <w:spacing w:before="0" w:after="1"/>
              <w:ind w:left="0" w:right="0" w:hanging="0"/>
              <w:jc w:val="left"/>
              <w:rPr/>
            </w:pPr>
            <w:r>
              <w:rPr/>
              <w:t>​</w:t>
            </w:r>
          </w:p>
        </w:tc>
        <w:tc>
          <w:tcPr>
            <w:tcW w:w="209" w:type="dxa"/>
            <w:tcBorders/>
            <w:vAlign w:val="center"/>
          </w:tcPr>
          <w:p>
            <w:pPr>
              <w:pStyle w:val="TableContents"/>
              <w:bidi w:val="0"/>
              <w:spacing w:before="0" w:after="1"/>
              <w:ind w:left="0" w:right="0" w:hanging="0"/>
              <w:jc w:val="left"/>
              <w:rPr/>
            </w:pPr>
            <w:r>
              <w:rPr/>
              <w:t> </w:t>
            </w:r>
          </w:p>
        </w:tc>
        <w:tc>
          <w:tcPr>
            <w:tcW w:w="76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1,082</w:t>
            </w:r>
          </w:p>
        </w:tc>
        <w:tc>
          <w:tcPr>
            <w:tcW w:w="271" w:type="dxa"/>
            <w:tcBorders/>
            <w:vAlign w:val="center"/>
          </w:tcPr>
          <w:p>
            <w:pPr>
              <w:pStyle w:val="TableContents"/>
              <w:bidi w:val="0"/>
              <w:spacing w:before="0" w:after="1"/>
              <w:ind w:left="0" w:right="0" w:hanging="0"/>
              <w:jc w:val="left"/>
              <w:rPr/>
            </w:pPr>
            <w:r>
              <w:rPr/>
              <w:t>​</w:t>
            </w:r>
          </w:p>
        </w:tc>
      </w:tr>
      <w:tr>
        <w:trPr/>
        <w:tc>
          <w:tcPr>
            <w:tcW w:w="7638"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Amortization of deferred financing costs</w:t>
            </w:r>
          </w:p>
        </w:tc>
        <w:tc>
          <w:tcPr>
            <w:tcW w:w="209" w:type="dxa"/>
            <w:tcBorders/>
            <w:shd w:fill="CCEEFF" w:val="clear"/>
            <w:vAlign w:val="center"/>
          </w:tcPr>
          <w:p>
            <w:pPr>
              <w:pStyle w:val="TableContents"/>
              <w:bidi w:val="0"/>
              <w:spacing w:before="0" w:after="1"/>
              <w:ind w:left="0" w:right="0" w:hanging="0"/>
              <w:jc w:val="left"/>
              <w:rPr/>
            </w:pPr>
            <w:r>
              <w:rPr/>
              <w:t> </w:t>
            </w:r>
          </w:p>
        </w:tc>
        <w:tc>
          <w:tcPr>
            <w:tcW w:w="76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680</w:t>
            </w:r>
          </w:p>
        </w:tc>
        <w:tc>
          <w:tcPr>
            <w:tcW w:w="349" w:type="dxa"/>
            <w:tcBorders/>
            <w:shd w:fill="CCEEFF" w:val="clear"/>
            <w:vAlign w:val="center"/>
          </w:tcPr>
          <w:p>
            <w:pPr>
              <w:pStyle w:val="TableContents"/>
              <w:bidi w:val="0"/>
              <w:spacing w:before="0" w:after="1"/>
              <w:ind w:left="0" w:right="0" w:hanging="0"/>
              <w:jc w:val="left"/>
              <w:rPr/>
            </w:pPr>
            <w:r>
              <w:rPr/>
              <w:t>​</w:t>
            </w:r>
          </w:p>
        </w:tc>
        <w:tc>
          <w:tcPr>
            <w:tcW w:w="209" w:type="dxa"/>
            <w:tcBorders/>
            <w:shd w:fill="CCEEFF" w:val="clear"/>
            <w:vAlign w:val="center"/>
          </w:tcPr>
          <w:p>
            <w:pPr>
              <w:pStyle w:val="TableContents"/>
              <w:bidi w:val="0"/>
              <w:spacing w:before="0" w:after="1"/>
              <w:ind w:left="0" w:right="0" w:hanging="0"/>
              <w:jc w:val="left"/>
              <w:rPr/>
            </w:pPr>
            <w:r>
              <w:rPr/>
              <w:t> </w:t>
            </w:r>
          </w:p>
        </w:tc>
        <w:tc>
          <w:tcPr>
            <w:tcW w:w="76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146</w:t>
            </w:r>
          </w:p>
        </w:tc>
        <w:tc>
          <w:tcPr>
            <w:tcW w:w="271" w:type="dxa"/>
            <w:tcBorders/>
            <w:shd w:fill="CCEEFF" w:val="clear"/>
            <w:vAlign w:val="center"/>
          </w:tcPr>
          <w:p>
            <w:pPr>
              <w:pStyle w:val="TableContents"/>
              <w:bidi w:val="0"/>
              <w:spacing w:before="0" w:after="1"/>
              <w:ind w:left="0" w:right="0" w:hanging="0"/>
              <w:jc w:val="left"/>
              <w:rPr/>
            </w:pPr>
            <w:r>
              <w:rPr/>
              <w:t>​</w:t>
            </w:r>
          </w:p>
        </w:tc>
      </w:tr>
      <w:tr>
        <w:trPr/>
        <w:tc>
          <w:tcPr>
            <w:tcW w:w="7638"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Change in fair value of contingent consideration liabilities</w:t>
            </w:r>
          </w:p>
        </w:tc>
        <w:tc>
          <w:tcPr>
            <w:tcW w:w="209" w:type="dxa"/>
            <w:tcBorders/>
            <w:vAlign w:val="center"/>
          </w:tcPr>
          <w:p>
            <w:pPr>
              <w:pStyle w:val="TableContents"/>
              <w:bidi w:val="0"/>
              <w:spacing w:before="0" w:after="1"/>
              <w:ind w:left="0" w:right="0" w:hanging="0"/>
              <w:jc w:val="left"/>
              <w:rPr/>
            </w:pPr>
            <w:r>
              <w:rPr/>
              <w:t>​</w:t>
            </w:r>
          </w:p>
        </w:tc>
        <w:tc>
          <w:tcPr>
            <w:tcW w:w="76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(14,700)</w:t>
            </w:r>
          </w:p>
        </w:tc>
        <w:tc>
          <w:tcPr>
            <w:tcW w:w="349" w:type="dxa"/>
            <w:tcBorders/>
            <w:vAlign w:val="center"/>
          </w:tcPr>
          <w:p>
            <w:pPr>
              <w:pStyle w:val="TableContents"/>
              <w:bidi w:val="0"/>
              <w:spacing w:before="0" w:after="1"/>
              <w:ind w:left="0" w:right="0" w:hanging="0"/>
              <w:jc w:val="left"/>
              <w:rPr/>
            </w:pPr>
            <w:r>
              <w:rPr/>
              <w:t>​</w:t>
            </w:r>
          </w:p>
        </w:tc>
        <w:tc>
          <w:tcPr>
            <w:tcW w:w="209" w:type="dxa"/>
            <w:tcBorders/>
            <w:vAlign w:val="center"/>
          </w:tcPr>
          <w:p>
            <w:pPr>
              <w:pStyle w:val="TableContents"/>
              <w:bidi w:val="0"/>
              <w:spacing w:before="0" w:after="1"/>
              <w:ind w:left="0" w:right="0" w:hanging="0"/>
              <w:jc w:val="left"/>
              <w:rPr/>
            </w:pPr>
            <w:r>
              <w:rPr/>
              <w:t>​</w:t>
            </w:r>
          </w:p>
        </w:tc>
        <w:tc>
          <w:tcPr>
            <w:tcW w:w="76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(800)</w:t>
            </w:r>
          </w:p>
        </w:tc>
        <w:tc>
          <w:tcPr>
            <w:tcW w:w="271" w:type="dxa"/>
            <w:tcBorders/>
            <w:vAlign w:val="center"/>
          </w:tcPr>
          <w:p>
            <w:pPr>
              <w:pStyle w:val="TableContents"/>
              <w:bidi w:val="0"/>
              <w:spacing w:before="0" w:after="1"/>
              <w:ind w:left="0" w:right="0" w:hanging="0"/>
              <w:jc w:val="left"/>
              <w:rPr/>
            </w:pPr>
            <w:r>
              <w:rPr/>
              <w:t>​</w:t>
            </w:r>
          </w:p>
        </w:tc>
      </w:tr>
      <w:tr>
        <w:trPr/>
        <w:tc>
          <w:tcPr>
            <w:tcW w:w="7638"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Stock-based compensation expense</w:t>
            </w:r>
          </w:p>
        </w:tc>
        <w:tc>
          <w:tcPr>
            <w:tcW w:w="209" w:type="dxa"/>
            <w:tcBorders/>
            <w:shd w:fill="CCEEFF" w:val="clear"/>
            <w:vAlign w:val="center"/>
          </w:tcPr>
          <w:p>
            <w:pPr>
              <w:pStyle w:val="TableContents"/>
              <w:bidi w:val="0"/>
              <w:spacing w:before="0" w:after="1"/>
              <w:ind w:left="0" w:right="0" w:hanging="0"/>
              <w:jc w:val="left"/>
              <w:rPr/>
            </w:pPr>
            <w:r>
              <w:rPr/>
              <w:t> </w:t>
            </w:r>
          </w:p>
        </w:tc>
        <w:tc>
          <w:tcPr>
            <w:tcW w:w="76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21,044</w:t>
            </w:r>
          </w:p>
        </w:tc>
        <w:tc>
          <w:tcPr>
            <w:tcW w:w="349" w:type="dxa"/>
            <w:tcBorders/>
            <w:shd w:fill="CCEEFF" w:val="clear"/>
            <w:vAlign w:val="center"/>
          </w:tcPr>
          <w:p>
            <w:pPr>
              <w:pStyle w:val="TableContents"/>
              <w:bidi w:val="0"/>
              <w:spacing w:before="0" w:after="1"/>
              <w:ind w:left="0" w:right="0" w:hanging="0"/>
              <w:jc w:val="left"/>
              <w:rPr/>
            </w:pPr>
            <w:r>
              <w:rPr/>
              <w:t>​</w:t>
            </w:r>
          </w:p>
        </w:tc>
        <w:tc>
          <w:tcPr>
            <w:tcW w:w="209" w:type="dxa"/>
            <w:tcBorders/>
            <w:shd w:fill="CCEEFF" w:val="clear"/>
            <w:vAlign w:val="center"/>
          </w:tcPr>
          <w:p>
            <w:pPr>
              <w:pStyle w:val="TableContents"/>
              <w:bidi w:val="0"/>
              <w:spacing w:before="0" w:after="1"/>
              <w:ind w:left="0" w:right="0" w:hanging="0"/>
              <w:jc w:val="left"/>
              <w:rPr/>
            </w:pPr>
            <w:r>
              <w:rPr/>
              <w:t> </w:t>
            </w:r>
          </w:p>
        </w:tc>
        <w:tc>
          <w:tcPr>
            <w:tcW w:w="76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16,324</w:t>
            </w:r>
          </w:p>
        </w:tc>
        <w:tc>
          <w:tcPr>
            <w:tcW w:w="271" w:type="dxa"/>
            <w:tcBorders/>
            <w:shd w:fill="CCEEFF" w:val="clear"/>
            <w:vAlign w:val="center"/>
          </w:tcPr>
          <w:p>
            <w:pPr>
              <w:pStyle w:val="TableContents"/>
              <w:bidi w:val="0"/>
              <w:spacing w:before="0" w:after="1"/>
              <w:ind w:left="0" w:right="0" w:hanging="0"/>
              <w:jc w:val="left"/>
              <w:rPr/>
            </w:pPr>
            <w:r>
              <w:rPr/>
              <w:t>​</w:t>
            </w:r>
          </w:p>
        </w:tc>
      </w:tr>
      <w:tr>
        <w:trPr/>
        <w:tc>
          <w:tcPr>
            <w:tcW w:w="7638"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Deferred income taxes</w:t>
            </w:r>
          </w:p>
        </w:tc>
        <w:tc>
          <w:tcPr>
            <w:tcW w:w="209" w:type="dxa"/>
            <w:tcBorders/>
            <w:vAlign w:val="center"/>
          </w:tcPr>
          <w:p>
            <w:pPr>
              <w:pStyle w:val="TableContents"/>
              <w:bidi w:val="0"/>
              <w:spacing w:before="0" w:after="1"/>
              <w:ind w:left="0" w:right="0" w:hanging="0"/>
              <w:jc w:val="left"/>
              <w:rPr/>
            </w:pPr>
            <w:r>
              <w:rPr/>
              <w:t>​</w:t>
            </w:r>
          </w:p>
        </w:tc>
        <w:tc>
          <w:tcPr>
            <w:tcW w:w="76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(929)</w:t>
            </w:r>
          </w:p>
        </w:tc>
        <w:tc>
          <w:tcPr>
            <w:tcW w:w="349" w:type="dxa"/>
            <w:tcBorders/>
            <w:vAlign w:val="center"/>
          </w:tcPr>
          <w:p>
            <w:pPr>
              <w:pStyle w:val="TableContents"/>
              <w:bidi w:val="0"/>
              <w:spacing w:before="0" w:after="1"/>
              <w:ind w:left="0" w:right="0" w:hanging="0"/>
              <w:jc w:val="left"/>
              <w:rPr/>
            </w:pPr>
            <w:r>
              <w:rPr/>
              <w:t>​</w:t>
            </w:r>
          </w:p>
        </w:tc>
        <w:tc>
          <w:tcPr>
            <w:tcW w:w="209" w:type="dxa"/>
            <w:tcBorders/>
            <w:vAlign w:val="center"/>
          </w:tcPr>
          <w:p>
            <w:pPr>
              <w:pStyle w:val="TableContents"/>
              <w:bidi w:val="0"/>
              <w:spacing w:before="0" w:after="1"/>
              <w:ind w:left="0" w:right="0" w:hanging="0"/>
              <w:jc w:val="left"/>
              <w:rPr/>
            </w:pPr>
            <w:r>
              <w:rPr/>
              <w:t>​</w:t>
            </w:r>
          </w:p>
        </w:tc>
        <w:tc>
          <w:tcPr>
            <w:tcW w:w="76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(2,588)</w:t>
            </w:r>
          </w:p>
        </w:tc>
        <w:tc>
          <w:tcPr>
            <w:tcW w:w="271" w:type="dxa"/>
            <w:tcBorders/>
            <w:vAlign w:val="center"/>
          </w:tcPr>
          <w:p>
            <w:pPr>
              <w:pStyle w:val="TableContents"/>
              <w:bidi w:val="0"/>
              <w:spacing w:before="0" w:after="1"/>
              <w:ind w:left="0" w:right="0" w:hanging="0"/>
              <w:jc w:val="left"/>
              <w:rPr/>
            </w:pPr>
            <w:r>
              <w:rPr/>
              <w:t>​</w:t>
            </w:r>
          </w:p>
        </w:tc>
      </w:tr>
      <w:tr>
        <w:trPr/>
        <w:tc>
          <w:tcPr>
            <w:tcW w:w="7638"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Non-cash operating lease costs</w:t>
            </w:r>
          </w:p>
        </w:tc>
        <w:tc>
          <w:tcPr>
            <w:tcW w:w="209" w:type="dxa"/>
            <w:tcBorders/>
            <w:shd w:fill="CCEEFF" w:val="clear"/>
            <w:vAlign w:val="center"/>
          </w:tcPr>
          <w:p>
            <w:pPr>
              <w:pStyle w:val="TableContents"/>
              <w:bidi w:val="0"/>
              <w:spacing w:before="0" w:after="1"/>
              <w:ind w:left="0" w:right="0" w:hanging="0"/>
              <w:jc w:val="left"/>
              <w:rPr/>
            </w:pPr>
            <w:r>
              <w:rPr/>
              <w:t>​</w:t>
            </w:r>
          </w:p>
        </w:tc>
        <w:tc>
          <w:tcPr>
            <w:tcW w:w="76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779</w:t>
            </w:r>
          </w:p>
        </w:tc>
        <w:tc>
          <w:tcPr>
            <w:tcW w:w="349" w:type="dxa"/>
            <w:tcBorders/>
            <w:shd w:fill="CCEEFF" w:val="clear"/>
            <w:vAlign w:val="center"/>
          </w:tcPr>
          <w:p>
            <w:pPr>
              <w:pStyle w:val="TableContents"/>
              <w:bidi w:val="0"/>
              <w:spacing w:before="0" w:after="1"/>
              <w:ind w:left="0" w:right="0" w:hanging="0"/>
              <w:jc w:val="left"/>
              <w:rPr/>
            </w:pPr>
            <w:r>
              <w:rPr/>
              <w:t>​</w:t>
            </w:r>
          </w:p>
        </w:tc>
        <w:tc>
          <w:tcPr>
            <w:tcW w:w="209" w:type="dxa"/>
            <w:tcBorders/>
            <w:shd w:fill="CCEEFF" w:val="clear"/>
            <w:vAlign w:val="center"/>
          </w:tcPr>
          <w:p>
            <w:pPr>
              <w:pStyle w:val="TableContents"/>
              <w:bidi w:val="0"/>
              <w:spacing w:before="0" w:after="1"/>
              <w:ind w:left="0" w:right="0" w:hanging="0"/>
              <w:jc w:val="left"/>
              <w:rPr/>
            </w:pPr>
            <w:r>
              <w:rPr/>
              <w:t>​</w:t>
            </w:r>
          </w:p>
        </w:tc>
        <w:tc>
          <w:tcPr>
            <w:tcW w:w="76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828</w:t>
            </w:r>
          </w:p>
        </w:tc>
        <w:tc>
          <w:tcPr>
            <w:tcW w:w="271" w:type="dxa"/>
            <w:tcBorders/>
            <w:shd w:fill="CCEEFF" w:val="clear"/>
            <w:vAlign w:val="center"/>
          </w:tcPr>
          <w:p>
            <w:pPr>
              <w:pStyle w:val="TableContents"/>
              <w:bidi w:val="0"/>
              <w:spacing w:before="0" w:after="1"/>
              <w:ind w:left="0" w:right="0" w:hanging="0"/>
              <w:jc w:val="left"/>
              <w:rPr/>
            </w:pPr>
            <w:r>
              <w:rPr/>
              <w:t>​</w:t>
            </w:r>
          </w:p>
        </w:tc>
      </w:tr>
      <w:tr>
        <w:trPr/>
        <w:tc>
          <w:tcPr>
            <w:tcW w:w="7638"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w:t>
            </w:r>
          </w:p>
        </w:tc>
        <w:tc>
          <w:tcPr>
            <w:tcW w:w="209" w:type="dxa"/>
            <w:tcBorders/>
            <w:vAlign w:val="center"/>
          </w:tcPr>
          <w:p>
            <w:pPr>
              <w:pStyle w:val="TableContents"/>
              <w:bidi w:val="0"/>
              <w:spacing w:before="0" w:after="1"/>
              <w:ind w:left="0" w:right="0" w:hanging="0"/>
              <w:jc w:val="left"/>
              <w:rPr/>
            </w:pPr>
            <w:r>
              <w:rPr/>
              <w:t> </w:t>
            </w:r>
          </w:p>
        </w:tc>
        <w:tc>
          <w:tcPr>
            <w:tcW w:w="76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w:t>
            </w:r>
          </w:p>
        </w:tc>
        <w:tc>
          <w:tcPr>
            <w:tcW w:w="349" w:type="dxa"/>
            <w:tcBorders/>
            <w:vAlign w:val="center"/>
          </w:tcPr>
          <w:p>
            <w:pPr>
              <w:pStyle w:val="TableContents"/>
              <w:bidi w:val="0"/>
              <w:spacing w:before="0" w:after="1"/>
              <w:ind w:left="0" w:right="0" w:hanging="0"/>
              <w:jc w:val="left"/>
              <w:rPr/>
            </w:pPr>
            <w:r>
              <w:rPr/>
              <w:t>​</w:t>
            </w:r>
          </w:p>
        </w:tc>
        <w:tc>
          <w:tcPr>
            <w:tcW w:w="209" w:type="dxa"/>
            <w:tcBorders/>
            <w:vAlign w:val="center"/>
          </w:tcPr>
          <w:p>
            <w:pPr>
              <w:pStyle w:val="TableContents"/>
              <w:bidi w:val="0"/>
              <w:spacing w:before="0" w:after="1"/>
              <w:ind w:left="0" w:right="0" w:hanging="0"/>
              <w:jc w:val="left"/>
              <w:rPr/>
            </w:pPr>
            <w:r>
              <w:rPr/>
              <w:t> </w:t>
            </w:r>
          </w:p>
        </w:tc>
        <w:tc>
          <w:tcPr>
            <w:tcW w:w="76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(106)</w:t>
            </w:r>
          </w:p>
        </w:tc>
        <w:tc>
          <w:tcPr>
            <w:tcW w:w="271" w:type="dxa"/>
            <w:tcBorders/>
            <w:vAlign w:val="center"/>
          </w:tcPr>
          <w:p>
            <w:pPr>
              <w:pStyle w:val="TableContents"/>
              <w:bidi w:val="0"/>
              <w:spacing w:before="0" w:after="1"/>
              <w:ind w:left="0" w:right="0" w:hanging="0"/>
              <w:jc w:val="left"/>
              <w:rPr/>
            </w:pPr>
            <w:r>
              <w:rPr/>
              <w:t>​</w:t>
            </w:r>
          </w:p>
        </w:tc>
      </w:tr>
      <w:tr>
        <w:trPr/>
        <w:tc>
          <w:tcPr>
            <w:tcW w:w="7638"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Changes in operating assets and liabilities:</w:t>
            </w:r>
          </w:p>
        </w:tc>
        <w:tc>
          <w:tcPr>
            <w:tcW w:w="209" w:type="dxa"/>
            <w:tcBorders/>
            <w:shd w:fill="CCEEFF" w:val="clear"/>
            <w:vAlign w:val="center"/>
          </w:tcPr>
          <w:p>
            <w:pPr>
              <w:pStyle w:val="TableContents"/>
              <w:bidi w:val="0"/>
              <w:spacing w:before="0" w:after="1"/>
              <w:ind w:left="0" w:right="0" w:hanging="0"/>
              <w:jc w:val="left"/>
              <w:rPr/>
            </w:pPr>
            <w:r>
              <w:rPr/>
              <w:t> </w:t>
            </w:r>
          </w:p>
        </w:tc>
        <w:tc>
          <w:tcPr>
            <w:tcW w:w="767" w:type="dxa"/>
            <w:tcBorders/>
            <w:shd w:fill="CCEEFF" w:val="clear"/>
            <w:vAlign w:val="center"/>
          </w:tcPr>
          <w:p>
            <w:pPr>
              <w:pStyle w:val="TableContents"/>
              <w:bidi w:val="0"/>
              <w:spacing w:before="0" w:after="1"/>
              <w:ind w:left="0" w:right="0" w:hanging="0"/>
              <w:jc w:val="right"/>
              <w:rPr/>
            </w:pPr>
            <w:r>
              <w:rPr/>
              <w:t>​</w:t>
            </w:r>
          </w:p>
        </w:tc>
        <w:tc>
          <w:tcPr>
            <w:tcW w:w="349" w:type="dxa"/>
            <w:tcBorders/>
            <w:shd w:fill="CCEEFF" w:val="clear"/>
            <w:vAlign w:val="center"/>
          </w:tcPr>
          <w:p>
            <w:pPr>
              <w:pStyle w:val="TableContents"/>
              <w:bidi w:val="0"/>
              <w:spacing w:before="0" w:after="1"/>
              <w:ind w:left="0" w:right="0" w:hanging="0"/>
              <w:jc w:val="left"/>
              <w:rPr/>
            </w:pPr>
            <w:r>
              <w:rPr/>
              <w:t>​</w:t>
            </w:r>
          </w:p>
        </w:tc>
        <w:tc>
          <w:tcPr>
            <w:tcW w:w="209" w:type="dxa"/>
            <w:tcBorders/>
            <w:shd w:fill="CCEEFF" w:val="clear"/>
            <w:vAlign w:val="center"/>
          </w:tcPr>
          <w:p>
            <w:pPr>
              <w:pStyle w:val="TableContents"/>
              <w:bidi w:val="0"/>
              <w:spacing w:before="0" w:after="1"/>
              <w:ind w:left="0" w:right="0" w:hanging="0"/>
              <w:jc w:val="left"/>
              <w:rPr/>
            </w:pPr>
            <w:r>
              <w:rPr/>
              <w:t> </w:t>
            </w:r>
          </w:p>
        </w:tc>
        <w:tc>
          <w:tcPr>
            <w:tcW w:w="762" w:type="dxa"/>
            <w:tcBorders/>
            <w:shd w:fill="CCEEFF" w:val="clear"/>
            <w:vAlign w:val="center"/>
          </w:tcPr>
          <w:p>
            <w:pPr>
              <w:pStyle w:val="TableContents"/>
              <w:bidi w:val="0"/>
              <w:spacing w:before="0" w:after="1"/>
              <w:ind w:left="0" w:right="0" w:hanging="0"/>
              <w:jc w:val="right"/>
              <w:rPr/>
            </w:pPr>
            <w:r>
              <w:rPr/>
              <w:t>​</w:t>
            </w:r>
          </w:p>
        </w:tc>
        <w:tc>
          <w:tcPr>
            <w:tcW w:w="271" w:type="dxa"/>
            <w:tcBorders/>
            <w:shd w:fill="CCEEFF" w:val="clear"/>
            <w:vAlign w:val="center"/>
          </w:tcPr>
          <w:p>
            <w:pPr>
              <w:pStyle w:val="TableContents"/>
              <w:bidi w:val="0"/>
              <w:spacing w:before="0" w:after="1"/>
              <w:ind w:left="0" w:right="0" w:hanging="0"/>
              <w:jc w:val="left"/>
              <w:rPr/>
            </w:pPr>
            <w:r>
              <w:rPr/>
              <w:t>​</w:t>
            </w:r>
          </w:p>
        </w:tc>
      </w:tr>
      <w:tr>
        <w:trPr/>
        <w:tc>
          <w:tcPr>
            <w:tcW w:w="7638"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Accounts receivable</w:t>
            </w:r>
          </w:p>
        </w:tc>
        <w:tc>
          <w:tcPr>
            <w:tcW w:w="209" w:type="dxa"/>
            <w:tcBorders/>
            <w:vAlign w:val="center"/>
          </w:tcPr>
          <w:p>
            <w:pPr>
              <w:pStyle w:val="TableContents"/>
              <w:bidi w:val="0"/>
              <w:spacing w:before="0" w:after="1"/>
              <w:ind w:left="0" w:right="0" w:hanging="0"/>
              <w:jc w:val="left"/>
              <w:rPr/>
            </w:pPr>
            <w:r>
              <w:rPr/>
              <w:t> </w:t>
            </w:r>
          </w:p>
        </w:tc>
        <w:tc>
          <w:tcPr>
            <w:tcW w:w="76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11,772</w:t>
            </w:r>
          </w:p>
        </w:tc>
        <w:tc>
          <w:tcPr>
            <w:tcW w:w="349" w:type="dxa"/>
            <w:tcBorders/>
            <w:vAlign w:val="center"/>
          </w:tcPr>
          <w:p>
            <w:pPr>
              <w:pStyle w:val="TableContents"/>
              <w:bidi w:val="0"/>
              <w:spacing w:before="0" w:after="1"/>
              <w:ind w:left="0" w:right="0" w:hanging="0"/>
              <w:jc w:val="left"/>
              <w:rPr/>
            </w:pPr>
            <w:r>
              <w:rPr/>
              <w:t>​</w:t>
            </w:r>
          </w:p>
        </w:tc>
        <w:tc>
          <w:tcPr>
            <w:tcW w:w="209" w:type="dxa"/>
            <w:tcBorders/>
            <w:vAlign w:val="center"/>
          </w:tcPr>
          <w:p>
            <w:pPr>
              <w:pStyle w:val="TableContents"/>
              <w:bidi w:val="0"/>
              <w:spacing w:before="0" w:after="1"/>
              <w:ind w:left="0" w:right="0" w:hanging="0"/>
              <w:jc w:val="left"/>
              <w:rPr/>
            </w:pPr>
            <w:r>
              <w:rPr/>
              <w:t> </w:t>
            </w:r>
          </w:p>
        </w:tc>
        <w:tc>
          <w:tcPr>
            <w:tcW w:w="76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4,478</w:t>
            </w:r>
          </w:p>
        </w:tc>
        <w:tc>
          <w:tcPr>
            <w:tcW w:w="271" w:type="dxa"/>
            <w:tcBorders/>
            <w:vAlign w:val="center"/>
          </w:tcPr>
          <w:p>
            <w:pPr>
              <w:pStyle w:val="TableContents"/>
              <w:bidi w:val="0"/>
              <w:spacing w:before="0" w:after="1"/>
              <w:ind w:left="0" w:right="0" w:hanging="0"/>
              <w:jc w:val="left"/>
              <w:rPr/>
            </w:pPr>
            <w:r>
              <w:rPr/>
              <w:t>​</w:t>
            </w:r>
          </w:p>
        </w:tc>
      </w:tr>
      <w:tr>
        <w:trPr/>
        <w:tc>
          <w:tcPr>
            <w:tcW w:w="7638"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Prepaid expenses and other current assets</w:t>
            </w:r>
          </w:p>
        </w:tc>
        <w:tc>
          <w:tcPr>
            <w:tcW w:w="209" w:type="dxa"/>
            <w:tcBorders/>
            <w:shd w:fill="CCEEFF" w:val="clear"/>
            <w:vAlign w:val="center"/>
          </w:tcPr>
          <w:p>
            <w:pPr>
              <w:pStyle w:val="TableContents"/>
              <w:bidi w:val="0"/>
              <w:spacing w:before="0" w:after="1"/>
              <w:ind w:left="0" w:right="0" w:hanging="0"/>
              <w:jc w:val="left"/>
              <w:rPr/>
            </w:pPr>
            <w:r>
              <w:rPr/>
              <w:t> </w:t>
            </w:r>
          </w:p>
        </w:tc>
        <w:tc>
          <w:tcPr>
            <w:tcW w:w="76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(13,169)</w:t>
            </w:r>
          </w:p>
        </w:tc>
        <w:tc>
          <w:tcPr>
            <w:tcW w:w="349" w:type="dxa"/>
            <w:tcBorders/>
            <w:shd w:fill="CCEEFF" w:val="clear"/>
            <w:vAlign w:val="center"/>
          </w:tcPr>
          <w:p>
            <w:pPr>
              <w:pStyle w:val="TableContents"/>
              <w:bidi w:val="0"/>
              <w:spacing w:before="0" w:after="1"/>
              <w:ind w:left="0" w:right="0" w:hanging="0"/>
              <w:jc w:val="left"/>
              <w:rPr/>
            </w:pPr>
            <w:r>
              <w:rPr/>
              <w:t>​</w:t>
            </w:r>
          </w:p>
        </w:tc>
        <w:tc>
          <w:tcPr>
            <w:tcW w:w="209" w:type="dxa"/>
            <w:tcBorders/>
            <w:shd w:fill="CCEEFF" w:val="clear"/>
            <w:vAlign w:val="center"/>
          </w:tcPr>
          <w:p>
            <w:pPr>
              <w:pStyle w:val="TableContents"/>
              <w:bidi w:val="0"/>
              <w:spacing w:before="0" w:after="1"/>
              <w:ind w:left="0" w:right="0" w:hanging="0"/>
              <w:jc w:val="left"/>
              <w:rPr/>
            </w:pPr>
            <w:r>
              <w:rPr/>
              <w:t> </w:t>
            </w:r>
          </w:p>
        </w:tc>
        <w:tc>
          <w:tcPr>
            <w:tcW w:w="76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(7,335)</w:t>
            </w:r>
          </w:p>
        </w:tc>
        <w:tc>
          <w:tcPr>
            <w:tcW w:w="271" w:type="dxa"/>
            <w:tcBorders/>
            <w:shd w:fill="CCEEFF" w:val="clear"/>
            <w:vAlign w:val="center"/>
          </w:tcPr>
          <w:p>
            <w:pPr>
              <w:pStyle w:val="TableContents"/>
              <w:bidi w:val="0"/>
              <w:spacing w:before="0" w:after="1"/>
              <w:ind w:left="0" w:right="0" w:hanging="0"/>
              <w:jc w:val="left"/>
              <w:rPr/>
            </w:pPr>
            <w:r>
              <w:rPr/>
              <w:t>​</w:t>
            </w:r>
          </w:p>
        </w:tc>
      </w:tr>
      <w:tr>
        <w:trPr/>
        <w:tc>
          <w:tcPr>
            <w:tcW w:w="7638"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Deferred commissions</w:t>
            </w:r>
          </w:p>
        </w:tc>
        <w:tc>
          <w:tcPr>
            <w:tcW w:w="209" w:type="dxa"/>
            <w:tcBorders/>
            <w:vAlign w:val="center"/>
          </w:tcPr>
          <w:p>
            <w:pPr>
              <w:pStyle w:val="TableContents"/>
              <w:bidi w:val="0"/>
              <w:spacing w:before="0" w:after="1"/>
              <w:ind w:left="0" w:right="0" w:hanging="0"/>
              <w:jc w:val="left"/>
              <w:rPr/>
            </w:pPr>
            <w:r>
              <w:rPr/>
              <w:t> </w:t>
            </w:r>
          </w:p>
        </w:tc>
        <w:tc>
          <w:tcPr>
            <w:tcW w:w="76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(56)</w:t>
            </w:r>
          </w:p>
        </w:tc>
        <w:tc>
          <w:tcPr>
            <w:tcW w:w="349" w:type="dxa"/>
            <w:tcBorders/>
            <w:vAlign w:val="center"/>
          </w:tcPr>
          <w:p>
            <w:pPr>
              <w:pStyle w:val="TableContents"/>
              <w:bidi w:val="0"/>
              <w:spacing w:before="0" w:after="1"/>
              <w:ind w:left="0" w:right="0" w:hanging="0"/>
              <w:jc w:val="left"/>
              <w:rPr/>
            </w:pPr>
            <w:r>
              <w:rPr/>
              <w:t>​</w:t>
            </w:r>
          </w:p>
        </w:tc>
        <w:tc>
          <w:tcPr>
            <w:tcW w:w="209" w:type="dxa"/>
            <w:tcBorders/>
            <w:vAlign w:val="center"/>
          </w:tcPr>
          <w:p>
            <w:pPr>
              <w:pStyle w:val="TableContents"/>
              <w:bidi w:val="0"/>
              <w:spacing w:before="0" w:after="1"/>
              <w:ind w:left="0" w:right="0" w:hanging="0"/>
              <w:jc w:val="left"/>
              <w:rPr/>
            </w:pPr>
            <w:r>
              <w:rPr/>
              <w:t> </w:t>
            </w:r>
          </w:p>
        </w:tc>
        <w:tc>
          <w:tcPr>
            <w:tcW w:w="76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(64)</w:t>
            </w:r>
          </w:p>
        </w:tc>
        <w:tc>
          <w:tcPr>
            <w:tcW w:w="271" w:type="dxa"/>
            <w:tcBorders/>
            <w:vAlign w:val="center"/>
          </w:tcPr>
          <w:p>
            <w:pPr>
              <w:pStyle w:val="TableContents"/>
              <w:bidi w:val="0"/>
              <w:spacing w:before="0" w:after="1"/>
              <w:ind w:left="0" w:right="0" w:hanging="0"/>
              <w:jc w:val="left"/>
              <w:rPr/>
            </w:pPr>
            <w:r>
              <w:rPr/>
              <w:t>​</w:t>
            </w:r>
          </w:p>
        </w:tc>
      </w:tr>
      <w:tr>
        <w:trPr/>
        <w:tc>
          <w:tcPr>
            <w:tcW w:w="7638"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Accounts payable</w:t>
            </w:r>
          </w:p>
        </w:tc>
        <w:tc>
          <w:tcPr>
            <w:tcW w:w="209" w:type="dxa"/>
            <w:tcBorders/>
            <w:shd w:fill="CCEEFF" w:val="clear"/>
            <w:vAlign w:val="center"/>
          </w:tcPr>
          <w:p>
            <w:pPr>
              <w:pStyle w:val="TableContents"/>
              <w:bidi w:val="0"/>
              <w:spacing w:before="0" w:after="1"/>
              <w:ind w:left="0" w:right="0" w:hanging="0"/>
              <w:jc w:val="left"/>
              <w:rPr/>
            </w:pPr>
            <w:r>
              <w:rPr/>
              <w:t> </w:t>
            </w:r>
          </w:p>
        </w:tc>
        <w:tc>
          <w:tcPr>
            <w:tcW w:w="76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(11,279)</w:t>
            </w:r>
          </w:p>
        </w:tc>
        <w:tc>
          <w:tcPr>
            <w:tcW w:w="349" w:type="dxa"/>
            <w:tcBorders/>
            <w:shd w:fill="CCEEFF" w:val="clear"/>
            <w:vAlign w:val="center"/>
          </w:tcPr>
          <w:p>
            <w:pPr>
              <w:pStyle w:val="TableContents"/>
              <w:bidi w:val="0"/>
              <w:spacing w:before="0" w:after="1"/>
              <w:ind w:left="0" w:right="0" w:hanging="0"/>
              <w:jc w:val="left"/>
              <w:rPr/>
            </w:pPr>
            <w:r>
              <w:rPr/>
              <w:t>​</w:t>
            </w:r>
          </w:p>
        </w:tc>
        <w:tc>
          <w:tcPr>
            <w:tcW w:w="209" w:type="dxa"/>
            <w:tcBorders/>
            <w:shd w:fill="CCEEFF" w:val="clear"/>
            <w:vAlign w:val="center"/>
          </w:tcPr>
          <w:p>
            <w:pPr>
              <w:pStyle w:val="TableContents"/>
              <w:bidi w:val="0"/>
              <w:spacing w:before="0" w:after="1"/>
              <w:ind w:left="0" w:right="0" w:hanging="0"/>
              <w:jc w:val="left"/>
              <w:rPr/>
            </w:pPr>
            <w:r>
              <w:rPr/>
              <w:t> </w:t>
            </w:r>
          </w:p>
        </w:tc>
        <w:tc>
          <w:tcPr>
            <w:tcW w:w="76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(1,153)</w:t>
            </w:r>
          </w:p>
        </w:tc>
        <w:tc>
          <w:tcPr>
            <w:tcW w:w="271" w:type="dxa"/>
            <w:tcBorders/>
            <w:shd w:fill="CCEEFF" w:val="clear"/>
            <w:vAlign w:val="center"/>
          </w:tcPr>
          <w:p>
            <w:pPr>
              <w:pStyle w:val="TableContents"/>
              <w:bidi w:val="0"/>
              <w:spacing w:before="0" w:after="1"/>
              <w:ind w:left="0" w:right="0" w:hanging="0"/>
              <w:jc w:val="left"/>
              <w:rPr/>
            </w:pPr>
            <w:r>
              <w:rPr/>
              <w:t>​</w:t>
            </w:r>
          </w:p>
        </w:tc>
      </w:tr>
      <w:tr>
        <w:trPr/>
        <w:tc>
          <w:tcPr>
            <w:tcW w:w="7638"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Accrued expenses</w:t>
            </w:r>
          </w:p>
        </w:tc>
        <w:tc>
          <w:tcPr>
            <w:tcW w:w="209" w:type="dxa"/>
            <w:tcBorders/>
            <w:vAlign w:val="center"/>
          </w:tcPr>
          <w:p>
            <w:pPr>
              <w:pStyle w:val="TableContents"/>
              <w:bidi w:val="0"/>
              <w:spacing w:before="0" w:after="1"/>
              <w:ind w:left="0" w:right="0" w:hanging="0"/>
              <w:jc w:val="left"/>
              <w:rPr/>
            </w:pPr>
            <w:r>
              <w:rPr/>
              <w:t> </w:t>
            </w:r>
          </w:p>
        </w:tc>
        <w:tc>
          <w:tcPr>
            <w:tcW w:w="76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2,956</w:t>
            </w:r>
          </w:p>
        </w:tc>
        <w:tc>
          <w:tcPr>
            <w:tcW w:w="349" w:type="dxa"/>
            <w:tcBorders/>
            <w:vAlign w:val="center"/>
          </w:tcPr>
          <w:p>
            <w:pPr>
              <w:pStyle w:val="TableContents"/>
              <w:bidi w:val="0"/>
              <w:spacing w:before="0" w:after="1"/>
              <w:ind w:left="0" w:right="0" w:hanging="0"/>
              <w:jc w:val="left"/>
              <w:rPr/>
            </w:pPr>
            <w:r>
              <w:rPr/>
              <w:t>​</w:t>
            </w:r>
          </w:p>
        </w:tc>
        <w:tc>
          <w:tcPr>
            <w:tcW w:w="209" w:type="dxa"/>
            <w:tcBorders/>
            <w:vAlign w:val="center"/>
          </w:tcPr>
          <w:p>
            <w:pPr>
              <w:pStyle w:val="TableContents"/>
              <w:bidi w:val="0"/>
              <w:spacing w:before="0" w:after="1"/>
              <w:ind w:left="0" w:right="0" w:hanging="0"/>
              <w:jc w:val="left"/>
              <w:rPr/>
            </w:pPr>
            <w:r>
              <w:rPr/>
              <w:t> </w:t>
            </w:r>
          </w:p>
        </w:tc>
        <w:tc>
          <w:tcPr>
            <w:tcW w:w="76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(8,486)</w:t>
            </w:r>
          </w:p>
        </w:tc>
        <w:tc>
          <w:tcPr>
            <w:tcW w:w="271" w:type="dxa"/>
            <w:tcBorders/>
            <w:vAlign w:val="center"/>
          </w:tcPr>
          <w:p>
            <w:pPr>
              <w:pStyle w:val="TableContents"/>
              <w:bidi w:val="0"/>
              <w:spacing w:before="0" w:after="1"/>
              <w:ind w:left="0" w:right="0" w:hanging="0"/>
              <w:jc w:val="left"/>
              <w:rPr/>
            </w:pPr>
            <w:r>
              <w:rPr/>
              <w:t>​</w:t>
            </w:r>
          </w:p>
        </w:tc>
      </w:tr>
      <w:tr>
        <w:trPr/>
        <w:tc>
          <w:tcPr>
            <w:tcW w:w="7638"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Accrued and deferred compensation</w:t>
            </w:r>
          </w:p>
        </w:tc>
        <w:tc>
          <w:tcPr>
            <w:tcW w:w="209" w:type="dxa"/>
            <w:tcBorders/>
            <w:shd w:fill="CCEEFF" w:val="clear"/>
            <w:vAlign w:val="center"/>
          </w:tcPr>
          <w:p>
            <w:pPr>
              <w:pStyle w:val="TableContents"/>
              <w:bidi w:val="0"/>
              <w:spacing w:before="0" w:after="1"/>
              <w:ind w:left="0" w:right="0" w:hanging="0"/>
              <w:jc w:val="left"/>
              <w:rPr/>
            </w:pPr>
            <w:r>
              <w:rPr/>
              <w:t> </w:t>
            </w:r>
          </w:p>
        </w:tc>
        <w:tc>
          <w:tcPr>
            <w:tcW w:w="76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(26,785)</w:t>
            </w:r>
          </w:p>
        </w:tc>
        <w:tc>
          <w:tcPr>
            <w:tcW w:w="349" w:type="dxa"/>
            <w:tcBorders/>
            <w:shd w:fill="CCEEFF" w:val="clear"/>
            <w:vAlign w:val="center"/>
          </w:tcPr>
          <w:p>
            <w:pPr>
              <w:pStyle w:val="TableContents"/>
              <w:bidi w:val="0"/>
              <w:spacing w:before="0" w:after="1"/>
              <w:ind w:left="0" w:right="0" w:hanging="0"/>
              <w:jc w:val="left"/>
              <w:rPr/>
            </w:pPr>
            <w:r>
              <w:rPr/>
              <w:t>​</w:t>
            </w:r>
          </w:p>
        </w:tc>
        <w:tc>
          <w:tcPr>
            <w:tcW w:w="209" w:type="dxa"/>
            <w:tcBorders/>
            <w:shd w:fill="CCEEFF" w:val="clear"/>
            <w:vAlign w:val="center"/>
          </w:tcPr>
          <w:p>
            <w:pPr>
              <w:pStyle w:val="TableContents"/>
              <w:bidi w:val="0"/>
              <w:spacing w:before="0" w:after="1"/>
              <w:ind w:left="0" w:right="0" w:hanging="0"/>
              <w:jc w:val="left"/>
              <w:rPr/>
            </w:pPr>
            <w:r>
              <w:rPr/>
              <w:t> </w:t>
            </w:r>
          </w:p>
        </w:tc>
        <w:tc>
          <w:tcPr>
            <w:tcW w:w="76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(14,515)</w:t>
            </w:r>
          </w:p>
        </w:tc>
        <w:tc>
          <w:tcPr>
            <w:tcW w:w="271" w:type="dxa"/>
            <w:tcBorders/>
            <w:shd w:fill="CCEEFF" w:val="clear"/>
            <w:vAlign w:val="center"/>
          </w:tcPr>
          <w:p>
            <w:pPr>
              <w:pStyle w:val="TableContents"/>
              <w:bidi w:val="0"/>
              <w:spacing w:before="0" w:after="1"/>
              <w:ind w:left="0" w:right="0" w:hanging="0"/>
              <w:jc w:val="left"/>
              <w:rPr/>
            </w:pPr>
            <w:r>
              <w:rPr/>
              <w:t>​</w:t>
            </w:r>
          </w:p>
        </w:tc>
      </w:tr>
      <w:tr>
        <w:trPr/>
        <w:tc>
          <w:tcPr>
            <w:tcW w:w="7638"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Deferred revenue</w:t>
            </w:r>
          </w:p>
        </w:tc>
        <w:tc>
          <w:tcPr>
            <w:tcW w:w="209" w:type="dxa"/>
            <w:tcBorders/>
            <w:vAlign w:val="center"/>
          </w:tcPr>
          <w:p>
            <w:pPr>
              <w:pStyle w:val="TableContents"/>
              <w:bidi w:val="0"/>
              <w:spacing w:before="0" w:after="1"/>
              <w:ind w:left="0" w:right="0" w:hanging="0"/>
              <w:jc w:val="left"/>
              <w:rPr/>
            </w:pPr>
            <w:r>
              <w:rPr/>
              <w:t> </w:t>
            </w:r>
          </w:p>
        </w:tc>
        <w:tc>
          <w:tcPr>
            <w:tcW w:w="76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11,156</w:t>
            </w:r>
          </w:p>
        </w:tc>
        <w:tc>
          <w:tcPr>
            <w:tcW w:w="349" w:type="dxa"/>
            <w:tcBorders/>
            <w:vAlign w:val="center"/>
          </w:tcPr>
          <w:p>
            <w:pPr>
              <w:pStyle w:val="TableContents"/>
              <w:bidi w:val="0"/>
              <w:spacing w:before="0" w:after="1"/>
              <w:ind w:left="0" w:right="0" w:hanging="0"/>
              <w:jc w:val="left"/>
              <w:rPr/>
            </w:pPr>
            <w:r>
              <w:rPr/>
              <w:t>​</w:t>
            </w:r>
          </w:p>
        </w:tc>
        <w:tc>
          <w:tcPr>
            <w:tcW w:w="209" w:type="dxa"/>
            <w:tcBorders/>
            <w:vAlign w:val="center"/>
          </w:tcPr>
          <w:p>
            <w:pPr>
              <w:pStyle w:val="TableContents"/>
              <w:bidi w:val="0"/>
              <w:spacing w:before="0" w:after="1"/>
              <w:ind w:left="0" w:right="0" w:hanging="0"/>
              <w:jc w:val="left"/>
              <w:rPr/>
            </w:pPr>
            <w:r>
              <w:rPr/>
              <w:t> </w:t>
            </w:r>
          </w:p>
        </w:tc>
        <w:tc>
          <w:tcPr>
            <w:tcW w:w="76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11,177</w:t>
            </w:r>
          </w:p>
        </w:tc>
        <w:tc>
          <w:tcPr>
            <w:tcW w:w="271" w:type="dxa"/>
            <w:tcBorders/>
            <w:vAlign w:val="center"/>
          </w:tcPr>
          <w:p>
            <w:pPr>
              <w:pStyle w:val="TableContents"/>
              <w:bidi w:val="0"/>
              <w:spacing w:before="0" w:after="1"/>
              <w:ind w:left="0" w:right="0" w:hanging="0"/>
              <w:jc w:val="left"/>
              <w:rPr/>
            </w:pPr>
            <w:r>
              <w:rPr/>
              <w:t>​</w:t>
            </w:r>
          </w:p>
        </w:tc>
      </w:tr>
      <w:tr>
        <w:trPr/>
        <w:tc>
          <w:tcPr>
            <w:tcW w:w="7638"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Operating lease liabilities</w:t>
            </w:r>
          </w:p>
        </w:tc>
        <w:tc>
          <w:tcPr>
            <w:tcW w:w="209" w:type="dxa"/>
            <w:tcBorders/>
            <w:shd w:fill="CCEEFF" w:val="clear"/>
            <w:vAlign w:val="center"/>
          </w:tcPr>
          <w:p>
            <w:pPr>
              <w:pStyle w:val="TableContents"/>
              <w:bidi w:val="0"/>
              <w:spacing w:before="0" w:after="1"/>
              <w:ind w:left="0" w:right="0" w:hanging="0"/>
              <w:jc w:val="left"/>
              <w:rPr/>
            </w:pPr>
            <w:r>
              <w:rPr/>
              <w:t>​</w:t>
            </w:r>
          </w:p>
        </w:tc>
        <w:tc>
          <w:tcPr>
            <w:tcW w:w="76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(1,068)</w:t>
            </w:r>
          </w:p>
        </w:tc>
        <w:tc>
          <w:tcPr>
            <w:tcW w:w="349" w:type="dxa"/>
            <w:tcBorders/>
            <w:shd w:fill="CCEEFF" w:val="clear"/>
            <w:vAlign w:val="center"/>
          </w:tcPr>
          <w:p>
            <w:pPr>
              <w:pStyle w:val="TableContents"/>
              <w:bidi w:val="0"/>
              <w:spacing w:before="0" w:after="1"/>
              <w:ind w:left="0" w:right="0" w:hanging="0"/>
              <w:jc w:val="left"/>
              <w:rPr/>
            </w:pPr>
            <w:r>
              <w:rPr/>
              <w:t>​</w:t>
            </w:r>
          </w:p>
        </w:tc>
        <w:tc>
          <w:tcPr>
            <w:tcW w:w="209" w:type="dxa"/>
            <w:tcBorders/>
            <w:shd w:fill="CCEEFF" w:val="clear"/>
            <w:vAlign w:val="center"/>
          </w:tcPr>
          <w:p>
            <w:pPr>
              <w:pStyle w:val="TableContents"/>
              <w:bidi w:val="0"/>
              <w:spacing w:before="0" w:after="1"/>
              <w:ind w:left="0" w:right="0" w:hanging="0"/>
              <w:jc w:val="left"/>
              <w:rPr/>
            </w:pPr>
            <w:r>
              <w:rPr/>
              <w:t>​</w:t>
            </w:r>
          </w:p>
        </w:tc>
        <w:tc>
          <w:tcPr>
            <w:tcW w:w="76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(1,125)</w:t>
            </w:r>
          </w:p>
        </w:tc>
        <w:tc>
          <w:tcPr>
            <w:tcW w:w="271" w:type="dxa"/>
            <w:tcBorders/>
            <w:shd w:fill="CCEEFF" w:val="clear"/>
            <w:vAlign w:val="center"/>
          </w:tcPr>
          <w:p>
            <w:pPr>
              <w:pStyle w:val="TableContents"/>
              <w:bidi w:val="0"/>
              <w:spacing w:before="0" w:after="1"/>
              <w:ind w:left="0" w:right="0" w:hanging="0"/>
              <w:jc w:val="left"/>
              <w:rPr/>
            </w:pPr>
            <w:r>
              <w:rPr/>
              <w:t>​</w:t>
            </w:r>
          </w:p>
        </w:tc>
      </w:tr>
      <w:tr>
        <w:trPr/>
        <w:tc>
          <w:tcPr>
            <w:tcW w:w="7638"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w:t>
            </w:r>
          </w:p>
        </w:tc>
        <w:tc>
          <w:tcPr>
            <w:tcW w:w="20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6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(183)</w:t>
            </w:r>
          </w:p>
        </w:tc>
        <w:tc>
          <w:tcPr>
            <w:tcW w:w="349" w:type="dxa"/>
            <w:tcBorders/>
            <w:vAlign w:val="center"/>
          </w:tcPr>
          <w:p>
            <w:pPr>
              <w:pStyle w:val="TableContents"/>
              <w:bidi w:val="0"/>
              <w:spacing w:before="0" w:after="1"/>
              <w:ind w:left="0" w:right="0" w:hanging="0"/>
              <w:jc w:val="left"/>
              <w:rPr/>
            </w:pPr>
            <w:r>
              <w:rPr/>
              <w:t>​</w:t>
            </w:r>
          </w:p>
        </w:tc>
        <w:tc>
          <w:tcPr>
            <w:tcW w:w="20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6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2,077</w:t>
            </w:r>
          </w:p>
        </w:tc>
        <w:tc>
          <w:tcPr>
            <w:tcW w:w="271" w:type="dxa"/>
            <w:tcBorders/>
            <w:vAlign w:val="center"/>
          </w:tcPr>
          <w:p>
            <w:pPr>
              <w:pStyle w:val="TableContents"/>
              <w:bidi w:val="0"/>
              <w:spacing w:before="0" w:after="1"/>
              <w:ind w:left="0" w:right="0" w:hanging="0"/>
              <w:jc w:val="left"/>
              <w:rPr/>
            </w:pPr>
            <w:r>
              <w:rPr/>
              <w:t>​</w:t>
            </w:r>
          </w:p>
        </w:tc>
      </w:tr>
      <w:tr>
        <w:trPr/>
        <w:tc>
          <w:tcPr>
            <w:tcW w:w="7638"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cash provided by operating activities</w:t>
            </w:r>
          </w:p>
        </w:tc>
        <w:tc>
          <w:tcPr>
            <w:tcW w:w="20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6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14,805</w:t>
            </w:r>
          </w:p>
        </w:tc>
        <w:tc>
          <w:tcPr>
            <w:tcW w:w="349" w:type="dxa"/>
            <w:tcBorders/>
            <w:shd w:fill="CCEEFF" w:val="clear"/>
            <w:vAlign w:val="center"/>
          </w:tcPr>
          <w:p>
            <w:pPr>
              <w:pStyle w:val="TableContents"/>
              <w:bidi w:val="0"/>
              <w:spacing w:before="0" w:after="1"/>
              <w:ind w:left="0" w:right="0" w:hanging="0"/>
              <w:jc w:val="left"/>
              <w:rPr/>
            </w:pPr>
            <w:r>
              <w:rPr/>
              <w:t>​</w:t>
            </w:r>
          </w:p>
        </w:tc>
        <w:tc>
          <w:tcPr>
            <w:tcW w:w="20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6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24,566</w:t>
            </w:r>
          </w:p>
        </w:tc>
        <w:tc>
          <w:tcPr>
            <w:tcW w:w="271" w:type="dxa"/>
            <w:tcBorders/>
            <w:shd w:fill="CCEEFF" w:val="clear"/>
            <w:vAlign w:val="center"/>
          </w:tcPr>
          <w:p>
            <w:pPr>
              <w:pStyle w:val="TableContents"/>
              <w:bidi w:val="0"/>
              <w:spacing w:before="0" w:after="1"/>
              <w:ind w:left="0" w:right="0" w:hanging="0"/>
              <w:jc w:val="left"/>
              <w:rPr/>
            </w:pPr>
            <w:r>
              <w:rPr/>
              <w:t>​</w:t>
            </w:r>
          </w:p>
        </w:tc>
      </w:tr>
      <w:tr>
        <w:trPr/>
        <w:tc>
          <w:tcPr>
            <w:tcW w:w="7638" w:type="dxa"/>
            <w:tcBorders/>
            <w:vAlign w:val="center"/>
          </w:tcPr>
          <w:p>
            <w:pPr>
              <w:pStyle w:val="TableContents"/>
              <w:bidi w:val="0"/>
              <w:spacing w:before="0" w:after="1"/>
              <w:ind w:left="0" w:right="0" w:hanging="0"/>
              <w:jc w:val="both"/>
              <w:rPr>
                <w:rFonts w:ascii="Times New Roman;Times;serif" w:hAnsi="Times New Roman;Times;serif"/>
                <w:sz w:val="18"/>
              </w:rPr>
            </w:pPr>
            <w:r>
              <w:rPr>
                <w:rFonts w:ascii="Times New Roman;Times;serif" w:hAnsi="Times New Roman;Times;serif"/>
                <w:sz w:val="18"/>
              </w:rPr>
              <w:t>Cash flows from investing activities:</w:t>
            </w:r>
          </w:p>
        </w:tc>
        <w:tc>
          <w:tcPr>
            <w:tcW w:w="209" w:type="dxa"/>
            <w:tcBorders/>
            <w:vAlign w:val="center"/>
          </w:tcPr>
          <w:p>
            <w:pPr>
              <w:pStyle w:val="TableContents"/>
              <w:bidi w:val="0"/>
              <w:spacing w:before="0" w:after="1"/>
              <w:ind w:left="0" w:right="0" w:hanging="0"/>
              <w:jc w:val="left"/>
              <w:rPr/>
            </w:pPr>
            <w:r>
              <w:rPr/>
              <w:t> </w:t>
            </w:r>
          </w:p>
        </w:tc>
        <w:tc>
          <w:tcPr>
            <w:tcW w:w="767" w:type="dxa"/>
            <w:tcBorders/>
            <w:vAlign w:val="center"/>
          </w:tcPr>
          <w:p>
            <w:pPr>
              <w:pStyle w:val="TableContents"/>
              <w:bidi w:val="0"/>
              <w:spacing w:before="0" w:after="1"/>
              <w:ind w:left="0" w:right="0" w:hanging="0"/>
              <w:jc w:val="right"/>
              <w:rPr/>
            </w:pPr>
            <w:r>
              <w:rPr/>
              <w:t>  </w:t>
            </w:r>
          </w:p>
        </w:tc>
        <w:tc>
          <w:tcPr>
            <w:tcW w:w="349" w:type="dxa"/>
            <w:tcBorders/>
            <w:vAlign w:val="center"/>
          </w:tcPr>
          <w:p>
            <w:pPr>
              <w:pStyle w:val="TableContents"/>
              <w:bidi w:val="0"/>
              <w:spacing w:before="0" w:after="1"/>
              <w:ind w:left="0" w:right="0" w:hanging="0"/>
              <w:jc w:val="left"/>
              <w:rPr/>
            </w:pPr>
            <w:r>
              <w:rPr/>
              <w:t>​</w:t>
            </w:r>
          </w:p>
        </w:tc>
        <w:tc>
          <w:tcPr>
            <w:tcW w:w="209" w:type="dxa"/>
            <w:tcBorders/>
            <w:vAlign w:val="center"/>
          </w:tcPr>
          <w:p>
            <w:pPr>
              <w:pStyle w:val="TableContents"/>
              <w:bidi w:val="0"/>
              <w:spacing w:before="0" w:after="1"/>
              <w:ind w:left="0" w:right="0" w:hanging="0"/>
              <w:jc w:val="left"/>
              <w:rPr/>
            </w:pPr>
            <w:r>
              <w:rPr/>
              <w:t> </w:t>
            </w:r>
          </w:p>
        </w:tc>
        <w:tc>
          <w:tcPr>
            <w:tcW w:w="762" w:type="dxa"/>
            <w:tcBorders/>
            <w:vAlign w:val="center"/>
          </w:tcPr>
          <w:p>
            <w:pPr>
              <w:pStyle w:val="TableContents"/>
              <w:bidi w:val="0"/>
              <w:spacing w:before="0" w:after="1"/>
              <w:ind w:left="0" w:right="0" w:hanging="0"/>
              <w:jc w:val="right"/>
              <w:rPr/>
            </w:pPr>
            <w:r>
              <w:rPr/>
              <w:t>  </w:t>
            </w:r>
          </w:p>
        </w:tc>
        <w:tc>
          <w:tcPr>
            <w:tcW w:w="271" w:type="dxa"/>
            <w:tcBorders/>
            <w:vAlign w:val="center"/>
          </w:tcPr>
          <w:p>
            <w:pPr>
              <w:pStyle w:val="TableContents"/>
              <w:bidi w:val="0"/>
              <w:spacing w:before="0" w:after="1"/>
              <w:ind w:left="0" w:right="0" w:hanging="0"/>
              <w:jc w:val="left"/>
              <w:rPr/>
            </w:pPr>
            <w:r>
              <w:rPr/>
              <w:t>​</w:t>
            </w:r>
          </w:p>
        </w:tc>
      </w:tr>
      <w:tr>
        <w:trPr/>
        <w:tc>
          <w:tcPr>
            <w:tcW w:w="7638"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Property and equipment additions</w:t>
            </w:r>
          </w:p>
        </w:tc>
        <w:tc>
          <w:tcPr>
            <w:tcW w:w="209" w:type="dxa"/>
            <w:tcBorders/>
            <w:shd w:fill="CCEEFF" w:val="clear"/>
            <w:vAlign w:val="center"/>
          </w:tcPr>
          <w:p>
            <w:pPr>
              <w:pStyle w:val="TableContents"/>
              <w:bidi w:val="0"/>
              <w:spacing w:before="0" w:after="1"/>
              <w:ind w:left="0" w:right="0" w:hanging="0"/>
              <w:jc w:val="left"/>
              <w:rPr/>
            </w:pPr>
            <w:r>
              <w:rPr/>
              <w:t> </w:t>
            </w:r>
          </w:p>
        </w:tc>
        <w:tc>
          <w:tcPr>
            <w:tcW w:w="76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(21,394)</w:t>
            </w:r>
          </w:p>
        </w:tc>
        <w:tc>
          <w:tcPr>
            <w:tcW w:w="349" w:type="dxa"/>
            <w:tcBorders/>
            <w:shd w:fill="CCEEFF" w:val="clear"/>
            <w:vAlign w:val="center"/>
          </w:tcPr>
          <w:p>
            <w:pPr>
              <w:pStyle w:val="TableContents"/>
              <w:bidi w:val="0"/>
              <w:spacing w:before="0" w:after="1"/>
              <w:ind w:left="0" w:right="0" w:hanging="0"/>
              <w:jc w:val="left"/>
              <w:rPr/>
            </w:pPr>
            <w:r>
              <w:rPr/>
              <w:t>​</w:t>
            </w:r>
          </w:p>
        </w:tc>
        <w:tc>
          <w:tcPr>
            <w:tcW w:w="209" w:type="dxa"/>
            <w:tcBorders/>
            <w:shd w:fill="CCEEFF" w:val="clear"/>
            <w:vAlign w:val="center"/>
          </w:tcPr>
          <w:p>
            <w:pPr>
              <w:pStyle w:val="TableContents"/>
              <w:bidi w:val="0"/>
              <w:spacing w:before="0" w:after="1"/>
              <w:ind w:left="0" w:right="0" w:hanging="0"/>
              <w:jc w:val="left"/>
              <w:rPr/>
            </w:pPr>
            <w:r>
              <w:rPr/>
              <w:t> </w:t>
            </w:r>
          </w:p>
        </w:tc>
        <w:tc>
          <w:tcPr>
            <w:tcW w:w="76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(14,449)</w:t>
            </w:r>
          </w:p>
        </w:tc>
        <w:tc>
          <w:tcPr>
            <w:tcW w:w="271" w:type="dxa"/>
            <w:tcBorders/>
            <w:shd w:fill="CCEEFF" w:val="clear"/>
            <w:vAlign w:val="center"/>
          </w:tcPr>
          <w:p>
            <w:pPr>
              <w:pStyle w:val="TableContents"/>
              <w:bidi w:val="0"/>
              <w:spacing w:before="0" w:after="1"/>
              <w:ind w:left="0" w:right="0" w:hanging="0"/>
              <w:jc w:val="left"/>
              <w:rPr/>
            </w:pPr>
            <w:r>
              <w:rPr/>
              <w:t>​</w:t>
            </w:r>
          </w:p>
        </w:tc>
      </w:tr>
      <w:tr>
        <w:trPr/>
        <w:tc>
          <w:tcPr>
            <w:tcW w:w="7638"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Capitalized software additions</w:t>
            </w:r>
          </w:p>
        </w:tc>
        <w:tc>
          <w:tcPr>
            <w:tcW w:w="209" w:type="dxa"/>
            <w:tcBorders/>
            <w:vAlign w:val="center"/>
          </w:tcPr>
          <w:p>
            <w:pPr>
              <w:pStyle w:val="TableContents"/>
              <w:bidi w:val="0"/>
              <w:spacing w:before="0" w:after="1"/>
              <w:ind w:left="0" w:right="0" w:hanging="0"/>
              <w:jc w:val="left"/>
              <w:rPr/>
            </w:pPr>
            <w:r>
              <w:rPr/>
              <w:t> </w:t>
            </w:r>
          </w:p>
        </w:tc>
        <w:tc>
          <w:tcPr>
            <w:tcW w:w="76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(5,661)</w:t>
            </w:r>
          </w:p>
        </w:tc>
        <w:tc>
          <w:tcPr>
            <w:tcW w:w="349" w:type="dxa"/>
            <w:tcBorders/>
            <w:vAlign w:val="center"/>
          </w:tcPr>
          <w:p>
            <w:pPr>
              <w:pStyle w:val="TableContents"/>
              <w:bidi w:val="0"/>
              <w:spacing w:before="0" w:after="1"/>
              <w:ind w:left="0" w:right="0" w:hanging="0"/>
              <w:jc w:val="left"/>
              <w:rPr/>
            </w:pPr>
            <w:r>
              <w:rPr/>
              <w:t>​</w:t>
            </w:r>
          </w:p>
        </w:tc>
        <w:tc>
          <w:tcPr>
            <w:tcW w:w="209" w:type="dxa"/>
            <w:tcBorders/>
            <w:vAlign w:val="center"/>
          </w:tcPr>
          <w:p>
            <w:pPr>
              <w:pStyle w:val="TableContents"/>
              <w:bidi w:val="0"/>
              <w:spacing w:before="0" w:after="1"/>
              <w:ind w:left="0" w:right="0" w:hanging="0"/>
              <w:jc w:val="left"/>
              <w:rPr/>
            </w:pPr>
            <w:r>
              <w:rPr/>
              <w:t> </w:t>
            </w:r>
          </w:p>
        </w:tc>
        <w:tc>
          <w:tcPr>
            <w:tcW w:w="76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(5,615)</w:t>
            </w:r>
          </w:p>
        </w:tc>
        <w:tc>
          <w:tcPr>
            <w:tcW w:w="271" w:type="dxa"/>
            <w:tcBorders/>
            <w:vAlign w:val="center"/>
          </w:tcPr>
          <w:p>
            <w:pPr>
              <w:pStyle w:val="TableContents"/>
              <w:bidi w:val="0"/>
              <w:spacing w:before="0" w:after="1"/>
              <w:ind w:left="0" w:right="0" w:hanging="0"/>
              <w:jc w:val="left"/>
              <w:rPr/>
            </w:pPr>
            <w:r>
              <w:rPr/>
              <w:t>​</w:t>
            </w:r>
          </w:p>
        </w:tc>
      </w:tr>
      <w:tr>
        <w:trPr/>
        <w:tc>
          <w:tcPr>
            <w:tcW w:w="7638"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Purchase of investment securities, available-for-sale</w:t>
            </w:r>
          </w:p>
        </w:tc>
        <w:tc>
          <w:tcPr>
            <w:tcW w:w="209" w:type="dxa"/>
            <w:tcBorders/>
            <w:shd w:fill="CCEEFF" w:val="clear"/>
            <w:vAlign w:val="center"/>
          </w:tcPr>
          <w:p>
            <w:pPr>
              <w:pStyle w:val="TableContents"/>
              <w:bidi w:val="0"/>
              <w:spacing w:before="0" w:after="1"/>
              <w:ind w:left="0" w:right="0" w:hanging="0"/>
              <w:jc w:val="left"/>
              <w:rPr/>
            </w:pPr>
            <w:r>
              <w:rPr/>
              <w:t>​</w:t>
            </w:r>
          </w:p>
        </w:tc>
        <w:tc>
          <w:tcPr>
            <w:tcW w:w="76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(2,398)</w:t>
            </w:r>
          </w:p>
        </w:tc>
        <w:tc>
          <w:tcPr>
            <w:tcW w:w="349" w:type="dxa"/>
            <w:tcBorders/>
            <w:shd w:fill="CCEEFF" w:val="clear"/>
            <w:vAlign w:val="center"/>
          </w:tcPr>
          <w:p>
            <w:pPr>
              <w:pStyle w:val="TableContents"/>
              <w:bidi w:val="0"/>
              <w:spacing w:before="0" w:after="1"/>
              <w:ind w:left="0" w:right="0" w:hanging="0"/>
              <w:jc w:val="left"/>
              <w:rPr/>
            </w:pPr>
            <w:r>
              <w:rPr/>
              <w:t>​</w:t>
            </w:r>
          </w:p>
        </w:tc>
        <w:tc>
          <w:tcPr>
            <w:tcW w:w="209" w:type="dxa"/>
            <w:tcBorders/>
            <w:shd w:fill="CCEEFF" w:val="clear"/>
            <w:vAlign w:val="center"/>
          </w:tcPr>
          <w:p>
            <w:pPr>
              <w:pStyle w:val="TableContents"/>
              <w:bidi w:val="0"/>
              <w:spacing w:before="0" w:after="1"/>
              <w:ind w:left="0" w:right="0" w:hanging="0"/>
              <w:jc w:val="left"/>
              <w:rPr/>
            </w:pPr>
            <w:r>
              <w:rPr/>
              <w:t>​</w:t>
            </w:r>
          </w:p>
        </w:tc>
        <w:tc>
          <w:tcPr>
            <w:tcW w:w="76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(4,271)</w:t>
            </w:r>
          </w:p>
        </w:tc>
        <w:tc>
          <w:tcPr>
            <w:tcW w:w="271" w:type="dxa"/>
            <w:tcBorders/>
            <w:shd w:fill="CCEEFF" w:val="clear"/>
            <w:vAlign w:val="center"/>
          </w:tcPr>
          <w:p>
            <w:pPr>
              <w:pStyle w:val="TableContents"/>
              <w:bidi w:val="0"/>
              <w:spacing w:before="0" w:after="1"/>
              <w:ind w:left="0" w:right="0" w:hanging="0"/>
              <w:jc w:val="left"/>
              <w:rPr/>
            </w:pPr>
            <w:r>
              <w:rPr/>
              <w:t>​</w:t>
            </w:r>
          </w:p>
        </w:tc>
      </w:tr>
      <w:tr>
        <w:trPr/>
        <w:tc>
          <w:tcPr>
            <w:tcW w:w="7638"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Proceeds from sales and maturities of investment securities, available-for-sale</w:t>
            </w:r>
          </w:p>
        </w:tc>
        <w:tc>
          <w:tcPr>
            <w:tcW w:w="20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6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11,607</w:t>
            </w:r>
          </w:p>
        </w:tc>
        <w:tc>
          <w:tcPr>
            <w:tcW w:w="349" w:type="dxa"/>
            <w:tcBorders/>
            <w:vAlign w:val="center"/>
          </w:tcPr>
          <w:p>
            <w:pPr>
              <w:pStyle w:val="TableContents"/>
              <w:bidi w:val="0"/>
              <w:spacing w:before="0" w:after="1"/>
              <w:ind w:left="0" w:right="0" w:hanging="0"/>
              <w:jc w:val="left"/>
              <w:rPr/>
            </w:pPr>
            <w:r>
              <w:rPr/>
              <w:t>​</w:t>
            </w:r>
          </w:p>
        </w:tc>
        <w:tc>
          <w:tcPr>
            <w:tcW w:w="20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6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4,800</w:t>
            </w:r>
          </w:p>
        </w:tc>
        <w:tc>
          <w:tcPr>
            <w:tcW w:w="271" w:type="dxa"/>
            <w:tcBorders/>
            <w:vAlign w:val="center"/>
          </w:tcPr>
          <w:p>
            <w:pPr>
              <w:pStyle w:val="TableContents"/>
              <w:bidi w:val="0"/>
              <w:spacing w:before="0" w:after="1"/>
              <w:ind w:left="0" w:right="0" w:hanging="0"/>
              <w:jc w:val="left"/>
              <w:rPr/>
            </w:pPr>
            <w:r>
              <w:rPr/>
              <w:t>​</w:t>
            </w:r>
          </w:p>
        </w:tc>
      </w:tr>
      <w:tr>
        <w:trPr/>
        <w:tc>
          <w:tcPr>
            <w:tcW w:w="7638"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cash used in investing activities</w:t>
            </w:r>
          </w:p>
        </w:tc>
        <w:tc>
          <w:tcPr>
            <w:tcW w:w="20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6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(17,846)</w:t>
            </w:r>
          </w:p>
        </w:tc>
        <w:tc>
          <w:tcPr>
            <w:tcW w:w="349" w:type="dxa"/>
            <w:tcBorders/>
            <w:shd w:fill="CCEEFF" w:val="clear"/>
            <w:vAlign w:val="center"/>
          </w:tcPr>
          <w:p>
            <w:pPr>
              <w:pStyle w:val="TableContents"/>
              <w:bidi w:val="0"/>
              <w:spacing w:before="0" w:after="1"/>
              <w:ind w:left="0" w:right="0" w:hanging="0"/>
              <w:jc w:val="left"/>
              <w:rPr/>
            </w:pPr>
            <w:r>
              <w:rPr/>
              <w:t>​</w:t>
            </w:r>
          </w:p>
        </w:tc>
        <w:tc>
          <w:tcPr>
            <w:tcW w:w="20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6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(19,535)</w:t>
            </w:r>
          </w:p>
        </w:tc>
        <w:tc>
          <w:tcPr>
            <w:tcW w:w="271" w:type="dxa"/>
            <w:tcBorders/>
            <w:shd w:fill="CCEEFF" w:val="clear"/>
            <w:vAlign w:val="center"/>
          </w:tcPr>
          <w:p>
            <w:pPr>
              <w:pStyle w:val="TableContents"/>
              <w:bidi w:val="0"/>
              <w:spacing w:before="0" w:after="1"/>
              <w:ind w:left="0" w:right="0" w:hanging="0"/>
              <w:jc w:val="left"/>
              <w:rPr/>
            </w:pPr>
            <w:r>
              <w:rPr/>
              <w:t>​</w:t>
            </w:r>
          </w:p>
        </w:tc>
      </w:tr>
      <w:tr>
        <w:trPr/>
        <w:tc>
          <w:tcPr>
            <w:tcW w:w="7638"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flows from financing activities:</w:t>
            </w:r>
          </w:p>
        </w:tc>
        <w:tc>
          <w:tcPr>
            <w:tcW w:w="209" w:type="dxa"/>
            <w:tcBorders/>
            <w:vAlign w:val="center"/>
          </w:tcPr>
          <w:p>
            <w:pPr>
              <w:pStyle w:val="TableContents"/>
              <w:bidi w:val="0"/>
              <w:spacing w:before="0" w:after="1"/>
              <w:ind w:left="0" w:right="0" w:hanging="0"/>
              <w:jc w:val="left"/>
              <w:rPr/>
            </w:pPr>
            <w:r>
              <w:rPr/>
              <w:t> </w:t>
            </w:r>
          </w:p>
        </w:tc>
        <w:tc>
          <w:tcPr>
            <w:tcW w:w="767" w:type="dxa"/>
            <w:tcBorders/>
            <w:vAlign w:val="center"/>
          </w:tcPr>
          <w:p>
            <w:pPr>
              <w:pStyle w:val="TableContents"/>
              <w:bidi w:val="0"/>
              <w:spacing w:before="0" w:after="1"/>
              <w:ind w:left="0" w:right="0" w:hanging="0"/>
              <w:jc w:val="right"/>
              <w:rPr/>
            </w:pPr>
            <w:r>
              <w:rPr/>
              <w:t>  </w:t>
            </w:r>
          </w:p>
        </w:tc>
        <w:tc>
          <w:tcPr>
            <w:tcW w:w="349" w:type="dxa"/>
            <w:tcBorders/>
            <w:vAlign w:val="center"/>
          </w:tcPr>
          <w:p>
            <w:pPr>
              <w:pStyle w:val="TableContents"/>
              <w:bidi w:val="0"/>
              <w:spacing w:before="0" w:after="1"/>
              <w:ind w:left="0" w:right="0" w:hanging="0"/>
              <w:jc w:val="left"/>
              <w:rPr/>
            </w:pPr>
            <w:r>
              <w:rPr/>
              <w:t>​</w:t>
            </w:r>
          </w:p>
        </w:tc>
        <w:tc>
          <w:tcPr>
            <w:tcW w:w="209" w:type="dxa"/>
            <w:tcBorders/>
            <w:vAlign w:val="center"/>
          </w:tcPr>
          <w:p>
            <w:pPr>
              <w:pStyle w:val="TableContents"/>
              <w:bidi w:val="0"/>
              <w:spacing w:before="0" w:after="1"/>
              <w:ind w:left="0" w:right="0" w:hanging="0"/>
              <w:jc w:val="left"/>
              <w:rPr/>
            </w:pPr>
            <w:r>
              <w:rPr/>
              <w:t> </w:t>
            </w:r>
          </w:p>
        </w:tc>
        <w:tc>
          <w:tcPr>
            <w:tcW w:w="762" w:type="dxa"/>
            <w:tcBorders/>
            <w:vAlign w:val="center"/>
          </w:tcPr>
          <w:p>
            <w:pPr>
              <w:pStyle w:val="TableContents"/>
              <w:bidi w:val="0"/>
              <w:spacing w:before="0" w:after="1"/>
              <w:ind w:left="0" w:right="0" w:hanging="0"/>
              <w:jc w:val="right"/>
              <w:rPr/>
            </w:pPr>
            <w:r>
              <w:rPr/>
              <w:t>  </w:t>
            </w:r>
          </w:p>
        </w:tc>
        <w:tc>
          <w:tcPr>
            <w:tcW w:w="271" w:type="dxa"/>
            <w:tcBorders/>
            <w:vAlign w:val="center"/>
          </w:tcPr>
          <w:p>
            <w:pPr>
              <w:pStyle w:val="TableContents"/>
              <w:bidi w:val="0"/>
              <w:spacing w:before="0" w:after="1"/>
              <w:ind w:left="0" w:right="0" w:hanging="0"/>
              <w:jc w:val="left"/>
              <w:rPr/>
            </w:pPr>
            <w:r>
              <w:rPr/>
              <w:t>​</w:t>
            </w:r>
          </w:p>
        </w:tc>
      </w:tr>
      <w:tr>
        <w:trPr/>
        <w:tc>
          <w:tcPr>
            <w:tcW w:w="7638"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increase in customer funds obligations</w:t>
            </w:r>
          </w:p>
        </w:tc>
        <w:tc>
          <w:tcPr>
            <w:tcW w:w="209" w:type="dxa"/>
            <w:tcBorders/>
            <w:shd w:fill="CCEEFF" w:val="clear"/>
            <w:vAlign w:val="center"/>
          </w:tcPr>
          <w:p>
            <w:pPr>
              <w:pStyle w:val="TableContents"/>
              <w:bidi w:val="0"/>
              <w:spacing w:before="0" w:after="1"/>
              <w:ind w:left="0" w:right="0" w:hanging="0"/>
              <w:jc w:val="left"/>
              <w:rPr/>
            </w:pPr>
            <w:r>
              <w:rPr/>
              <w:t> </w:t>
            </w:r>
          </w:p>
        </w:tc>
        <w:tc>
          <w:tcPr>
            <w:tcW w:w="76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3,227</w:t>
            </w:r>
          </w:p>
        </w:tc>
        <w:tc>
          <w:tcPr>
            <w:tcW w:w="349" w:type="dxa"/>
            <w:tcBorders/>
            <w:shd w:fill="CCEEFF" w:val="clear"/>
            <w:vAlign w:val="center"/>
          </w:tcPr>
          <w:p>
            <w:pPr>
              <w:pStyle w:val="TableContents"/>
              <w:bidi w:val="0"/>
              <w:spacing w:before="0" w:after="1"/>
              <w:ind w:left="0" w:right="0" w:hanging="0"/>
              <w:jc w:val="left"/>
              <w:rPr/>
            </w:pPr>
            <w:r>
              <w:rPr/>
              <w:t>​</w:t>
            </w:r>
          </w:p>
        </w:tc>
        <w:tc>
          <w:tcPr>
            <w:tcW w:w="209" w:type="dxa"/>
            <w:tcBorders/>
            <w:shd w:fill="CCEEFF" w:val="clear"/>
            <w:vAlign w:val="center"/>
          </w:tcPr>
          <w:p>
            <w:pPr>
              <w:pStyle w:val="TableContents"/>
              <w:bidi w:val="0"/>
              <w:spacing w:before="0" w:after="1"/>
              <w:ind w:left="0" w:right="0" w:hanging="0"/>
              <w:jc w:val="left"/>
              <w:rPr/>
            </w:pPr>
            <w:r>
              <w:rPr/>
              <w:t> </w:t>
            </w:r>
          </w:p>
        </w:tc>
        <w:tc>
          <w:tcPr>
            <w:tcW w:w="76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15,939</w:t>
            </w:r>
          </w:p>
        </w:tc>
        <w:tc>
          <w:tcPr>
            <w:tcW w:w="271" w:type="dxa"/>
            <w:tcBorders/>
            <w:shd w:fill="CCEEFF" w:val="clear"/>
            <w:vAlign w:val="center"/>
          </w:tcPr>
          <w:p>
            <w:pPr>
              <w:pStyle w:val="TableContents"/>
              <w:bidi w:val="0"/>
              <w:spacing w:before="0" w:after="1"/>
              <w:ind w:left="0" w:right="0" w:hanging="0"/>
              <w:jc w:val="left"/>
              <w:rPr/>
            </w:pPr>
            <w:r>
              <w:rPr/>
              <w:t>​</w:t>
            </w:r>
          </w:p>
        </w:tc>
      </w:tr>
      <w:tr>
        <w:trPr/>
        <w:tc>
          <w:tcPr>
            <w:tcW w:w="7638"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Principal payments on long-term debt</w:t>
            </w:r>
          </w:p>
        </w:tc>
        <w:tc>
          <w:tcPr>
            <w:tcW w:w="209" w:type="dxa"/>
            <w:tcBorders/>
            <w:vAlign w:val="center"/>
          </w:tcPr>
          <w:p>
            <w:pPr>
              <w:pStyle w:val="TableContents"/>
              <w:bidi w:val="0"/>
              <w:spacing w:before="0" w:after="1"/>
              <w:ind w:left="0" w:right="0" w:hanging="0"/>
              <w:jc w:val="left"/>
              <w:rPr/>
            </w:pPr>
            <w:r>
              <w:rPr/>
              <w:t> </w:t>
            </w:r>
          </w:p>
        </w:tc>
        <w:tc>
          <w:tcPr>
            <w:tcW w:w="767" w:type="dxa"/>
            <w:tcBorders/>
            <w:vAlign w:val="center"/>
          </w:tcPr>
          <w:p>
            <w:pPr>
              <w:pStyle w:val="TableContents"/>
              <w:bidi w:val="0"/>
              <w:spacing w:before="0" w:after="1"/>
              <w:ind w:left="0" w:right="0" w:hanging="0"/>
              <w:jc w:val="right"/>
              <w:rPr/>
            </w:pPr>
            <w:r>
              <w:rPr/>
              <w:t>—</w:t>
            </w:r>
          </w:p>
        </w:tc>
        <w:tc>
          <w:tcPr>
            <w:tcW w:w="349" w:type="dxa"/>
            <w:tcBorders/>
            <w:vAlign w:val="center"/>
          </w:tcPr>
          <w:p>
            <w:pPr>
              <w:pStyle w:val="TableContents"/>
              <w:bidi w:val="0"/>
              <w:spacing w:before="0" w:after="1"/>
              <w:ind w:left="0" w:right="0" w:hanging="0"/>
              <w:jc w:val="left"/>
              <w:rPr/>
            </w:pPr>
            <w:r>
              <w:rPr/>
              <w:t>​</w:t>
            </w:r>
          </w:p>
        </w:tc>
        <w:tc>
          <w:tcPr>
            <w:tcW w:w="209" w:type="dxa"/>
            <w:tcBorders/>
            <w:vAlign w:val="center"/>
          </w:tcPr>
          <w:p>
            <w:pPr>
              <w:pStyle w:val="TableContents"/>
              <w:bidi w:val="0"/>
              <w:spacing w:before="0" w:after="1"/>
              <w:ind w:left="0" w:right="0" w:hanging="0"/>
              <w:jc w:val="left"/>
              <w:rPr/>
            </w:pPr>
            <w:r>
              <w:rPr/>
              <w:t> </w:t>
            </w:r>
          </w:p>
        </w:tc>
        <w:tc>
          <w:tcPr>
            <w:tcW w:w="76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(625)</w:t>
            </w:r>
          </w:p>
        </w:tc>
        <w:tc>
          <w:tcPr>
            <w:tcW w:w="271" w:type="dxa"/>
            <w:tcBorders/>
            <w:vAlign w:val="center"/>
          </w:tcPr>
          <w:p>
            <w:pPr>
              <w:pStyle w:val="TableContents"/>
              <w:bidi w:val="0"/>
              <w:spacing w:before="0" w:after="1"/>
              <w:ind w:left="0" w:right="0" w:hanging="0"/>
              <w:jc w:val="left"/>
              <w:rPr/>
            </w:pPr>
            <w:r>
              <w:rPr/>
              <w:t>​</w:t>
            </w:r>
          </w:p>
        </w:tc>
      </w:tr>
      <w:tr>
        <w:trPr/>
        <w:tc>
          <w:tcPr>
            <w:tcW w:w="7638"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Payments for deferred financing costs</w:t>
            </w:r>
          </w:p>
        </w:tc>
        <w:tc>
          <w:tcPr>
            <w:tcW w:w="209" w:type="dxa"/>
            <w:tcBorders/>
            <w:shd w:fill="CCEEFF" w:val="clear"/>
            <w:vAlign w:val="center"/>
          </w:tcPr>
          <w:p>
            <w:pPr>
              <w:pStyle w:val="TableContents"/>
              <w:bidi w:val="0"/>
              <w:spacing w:before="0" w:after="1"/>
              <w:ind w:left="0" w:right="0" w:hanging="0"/>
              <w:jc w:val="left"/>
              <w:rPr/>
            </w:pPr>
            <w:r>
              <w:rPr/>
              <w:t> </w:t>
            </w:r>
          </w:p>
        </w:tc>
        <w:tc>
          <w:tcPr>
            <w:tcW w:w="767" w:type="dxa"/>
            <w:tcBorders/>
            <w:shd w:fill="CCEEFF" w:val="clear"/>
            <w:vAlign w:val="center"/>
          </w:tcPr>
          <w:p>
            <w:pPr>
              <w:pStyle w:val="TableContents"/>
              <w:bidi w:val="0"/>
              <w:spacing w:before="0" w:after="1"/>
              <w:ind w:left="0" w:right="0" w:hanging="0"/>
              <w:jc w:val="right"/>
              <w:rPr/>
            </w:pPr>
            <w:r>
              <w:rPr/>
              <w:t>—</w:t>
            </w:r>
          </w:p>
        </w:tc>
        <w:tc>
          <w:tcPr>
            <w:tcW w:w="349" w:type="dxa"/>
            <w:tcBorders/>
            <w:shd w:fill="CCEEFF" w:val="clear"/>
            <w:vAlign w:val="center"/>
          </w:tcPr>
          <w:p>
            <w:pPr>
              <w:pStyle w:val="TableContents"/>
              <w:bidi w:val="0"/>
              <w:spacing w:before="0" w:after="1"/>
              <w:ind w:left="0" w:right="0" w:hanging="0"/>
              <w:jc w:val="left"/>
              <w:rPr/>
            </w:pPr>
            <w:r>
              <w:rPr/>
              <w:t>​</w:t>
            </w:r>
          </w:p>
        </w:tc>
        <w:tc>
          <w:tcPr>
            <w:tcW w:w="209" w:type="dxa"/>
            <w:tcBorders/>
            <w:shd w:fill="CCEEFF" w:val="clear"/>
            <w:vAlign w:val="center"/>
          </w:tcPr>
          <w:p>
            <w:pPr>
              <w:pStyle w:val="TableContents"/>
              <w:bidi w:val="0"/>
              <w:spacing w:before="0" w:after="1"/>
              <w:ind w:left="0" w:right="0" w:hanging="0"/>
              <w:jc w:val="left"/>
              <w:rPr/>
            </w:pPr>
            <w:r>
              <w:rPr/>
              <w:t> </w:t>
            </w:r>
          </w:p>
        </w:tc>
        <w:tc>
          <w:tcPr>
            <w:tcW w:w="76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(89)</w:t>
            </w:r>
          </w:p>
        </w:tc>
        <w:tc>
          <w:tcPr>
            <w:tcW w:w="271" w:type="dxa"/>
            <w:tcBorders/>
            <w:shd w:fill="CCEEFF" w:val="clear"/>
            <w:vAlign w:val="center"/>
          </w:tcPr>
          <w:p>
            <w:pPr>
              <w:pStyle w:val="TableContents"/>
              <w:bidi w:val="0"/>
              <w:spacing w:before="0" w:after="1"/>
              <w:ind w:left="0" w:right="0" w:hanging="0"/>
              <w:jc w:val="left"/>
              <w:rPr/>
            </w:pPr>
            <w:r>
              <w:rPr/>
              <w:t>​</w:t>
            </w:r>
          </w:p>
        </w:tc>
      </w:tr>
      <w:tr>
        <w:trPr/>
        <w:tc>
          <w:tcPr>
            <w:tcW w:w="7638"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Payments for taxes related to net share settlement of stock-based awards</w:t>
            </w:r>
          </w:p>
        </w:tc>
        <w:tc>
          <w:tcPr>
            <w:tcW w:w="209" w:type="dxa"/>
            <w:tcBorders/>
            <w:vAlign w:val="center"/>
          </w:tcPr>
          <w:p>
            <w:pPr>
              <w:pStyle w:val="TableContents"/>
              <w:bidi w:val="0"/>
              <w:spacing w:before="0" w:after="1"/>
              <w:ind w:left="0" w:right="0" w:hanging="0"/>
              <w:jc w:val="left"/>
              <w:rPr/>
            </w:pPr>
            <w:r>
              <w:rPr/>
              <w:t>​</w:t>
            </w:r>
          </w:p>
        </w:tc>
        <w:tc>
          <w:tcPr>
            <w:tcW w:w="76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(25,034)</w:t>
            </w:r>
          </w:p>
        </w:tc>
        <w:tc>
          <w:tcPr>
            <w:tcW w:w="349" w:type="dxa"/>
            <w:tcBorders/>
            <w:vAlign w:val="center"/>
          </w:tcPr>
          <w:p>
            <w:pPr>
              <w:pStyle w:val="TableContents"/>
              <w:bidi w:val="0"/>
              <w:spacing w:before="0" w:after="1"/>
              <w:ind w:left="0" w:right="0" w:hanging="0"/>
              <w:jc w:val="left"/>
              <w:rPr/>
            </w:pPr>
            <w:r>
              <w:rPr/>
              <w:t>​</w:t>
            </w:r>
          </w:p>
        </w:tc>
        <w:tc>
          <w:tcPr>
            <w:tcW w:w="209" w:type="dxa"/>
            <w:tcBorders/>
            <w:vAlign w:val="center"/>
          </w:tcPr>
          <w:p>
            <w:pPr>
              <w:pStyle w:val="TableContents"/>
              <w:bidi w:val="0"/>
              <w:spacing w:before="0" w:after="1"/>
              <w:ind w:left="0" w:right="0" w:hanging="0"/>
              <w:jc w:val="left"/>
              <w:rPr/>
            </w:pPr>
            <w:r>
              <w:rPr/>
              <w:t>​</w:t>
            </w:r>
          </w:p>
        </w:tc>
        <w:tc>
          <w:tcPr>
            <w:tcW w:w="762"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(17,862)</w:t>
            </w:r>
          </w:p>
        </w:tc>
        <w:tc>
          <w:tcPr>
            <w:tcW w:w="271" w:type="dxa"/>
            <w:tcBorders/>
            <w:vAlign w:val="center"/>
          </w:tcPr>
          <w:p>
            <w:pPr>
              <w:pStyle w:val="TableContents"/>
              <w:bidi w:val="0"/>
              <w:spacing w:before="0" w:after="1"/>
              <w:ind w:left="0" w:right="0" w:hanging="0"/>
              <w:jc w:val="left"/>
              <w:rPr/>
            </w:pPr>
            <w:r>
              <w:rPr/>
              <w:t>​</w:t>
            </w:r>
          </w:p>
        </w:tc>
      </w:tr>
      <w:tr>
        <w:trPr/>
        <w:tc>
          <w:tcPr>
            <w:tcW w:w="7638"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Proceeds from exercise of stock options</w:t>
            </w:r>
          </w:p>
        </w:tc>
        <w:tc>
          <w:tcPr>
            <w:tcW w:w="209" w:type="dxa"/>
            <w:tcBorders/>
            <w:shd w:fill="CCEEFF" w:val="clear"/>
            <w:vAlign w:val="center"/>
          </w:tcPr>
          <w:p>
            <w:pPr>
              <w:pStyle w:val="TableContents"/>
              <w:bidi w:val="0"/>
              <w:spacing w:before="0" w:after="1"/>
              <w:ind w:left="0" w:right="0" w:hanging="0"/>
              <w:jc w:val="left"/>
              <w:rPr/>
            </w:pPr>
            <w:r>
              <w:rPr/>
              <w:t> </w:t>
            </w:r>
          </w:p>
        </w:tc>
        <w:tc>
          <w:tcPr>
            <w:tcW w:w="76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1,166</w:t>
            </w:r>
          </w:p>
        </w:tc>
        <w:tc>
          <w:tcPr>
            <w:tcW w:w="349" w:type="dxa"/>
            <w:tcBorders/>
            <w:shd w:fill="CCEEFF" w:val="clear"/>
            <w:vAlign w:val="center"/>
          </w:tcPr>
          <w:p>
            <w:pPr>
              <w:pStyle w:val="TableContents"/>
              <w:bidi w:val="0"/>
              <w:spacing w:before="0" w:after="1"/>
              <w:ind w:left="0" w:right="0" w:hanging="0"/>
              <w:jc w:val="left"/>
              <w:rPr/>
            </w:pPr>
            <w:r>
              <w:rPr/>
              <w:t>​</w:t>
            </w:r>
          </w:p>
        </w:tc>
        <w:tc>
          <w:tcPr>
            <w:tcW w:w="209" w:type="dxa"/>
            <w:tcBorders/>
            <w:shd w:fill="CCEEFF" w:val="clear"/>
            <w:vAlign w:val="center"/>
          </w:tcPr>
          <w:p>
            <w:pPr>
              <w:pStyle w:val="TableContents"/>
              <w:bidi w:val="0"/>
              <w:spacing w:before="0" w:after="1"/>
              <w:ind w:left="0" w:right="0" w:hanging="0"/>
              <w:jc w:val="left"/>
              <w:rPr/>
            </w:pPr>
            <w:r>
              <w:rPr/>
              <w:t> </w:t>
            </w:r>
          </w:p>
        </w:tc>
        <w:tc>
          <w:tcPr>
            <w:tcW w:w="76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1,510</w:t>
            </w:r>
          </w:p>
        </w:tc>
        <w:tc>
          <w:tcPr>
            <w:tcW w:w="271" w:type="dxa"/>
            <w:tcBorders/>
            <w:shd w:fill="CCEEFF" w:val="clear"/>
            <w:vAlign w:val="center"/>
          </w:tcPr>
          <w:p>
            <w:pPr>
              <w:pStyle w:val="TableContents"/>
              <w:bidi w:val="0"/>
              <w:spacing w:before="0" w:after="1"/>
              <w:ind w:left="0" w:right="0" w:hanging="0"/>
              <w:jc w:val="left"/>
              <w:rPr/>
            </w:pPr>
            <w:r>
              <w:rPr/>
              <w:t>​</w:t>
            </w:r>
          </w:p>
        </w:tc>
      </w:tr>
      <w:tr>
        <w:trPr/>
        <w:tc>
          <w:tcPr>
            <w:tcW w:w="7638"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Payments of finance lease liabilities</w:t>
            </w:r>
          </w:p>
        </w:tc>
        <w:tc>
          <w:tcPr>
            <w:tcW w:w="20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6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w:t>
            </w:r>
          </w:p>
        </w:tc>
        <w:tc>
          <w:tcPr>
            <w:tcW w:w="349" w:type="dxa"/>
            <w:tcBorders/>
            <w:vAlign w:val="center"/>
          </w:tcPr>
          <w:p>
            <w:pPr>
              <w:pStyle w:val="TableContents"/>
              <w:bidi w:val="0"/>
              <w:spacing w:before="0" w:after="1"/>
              <w:ind w:left="0" w:right="0" w:hanging="0"/>
              <w:jc w:val="left"/>
              <w:rPr/>
            </w:pPr>
            <w:r>
              <w:rPr/>
              <w:t>​</w:t>
            </w:r>
          </w:p>
        </w:tc>
        <w:tc>
          <w:tcPr>
            <w:tcW w:w="20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6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w:t>
            </w:r>
          </w:p>
        </w:tc>
        <w:tc>
          <w:tcPr>
            <w:tcW w:w="271" w:type="dxa"/>
            <w:tcBorders/>
            <w:vAlign w:val="center"/>
          </w:tcPr>
          <w:p>
            <w:pPr>
              <w:pStyle w:val="TableContents"/>
              <w:bidi w:val="0"/>
              <w:spacing w:before="0" w:after="1"/>
              <w:ind w:left="0" w:right="0" w:hanging="0"/>
              <w:jc w:val="left"/>
              <w:rPr/>
            </w:pPr>
            <w:r>
              <w:rPr/>
              <w:t>​</w:t>
            </w:r>
          </w:p>
        </w:tc>
      </w:tr>
      <w:tr>
        <w:trPr/>
        <w:tc>
          <w:tcPr>
            <w:tcW w:w="7638"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cash used in financing activities</w:t>
            </w:r>
          </w:p>
        </w:tc>
        <w:tc>
          <w:tcPr>
            <w:tcW w:w="20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6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(20,653)</w:t>
            </w:r>
          </w:p>
        </w:tc>
        <w:tc>
          <w:tcPr>
            <w:tcW w:w="349" w:type="dxa"/>
            <w:tcBorders/>
            <w:shd w:fill="CCEEFF" w:val="clear"/>
            <w:vAlign w:val="center"/>
          </w:tcPr>
          <w:p>
            <w:pPr>
              <w:pStyle w:val="TableContents"/>
              <w:bidi w:val="0"/>
              <w:spacing w:before="0" w:after="1"/>
              <w:ind w:left="0" w:right="0" w:hanging="0"/>
              <w:jc w:val="left"/>
              <w:rPr/>
            </w:pPr>
            <w:r>
              <w:rPr/>
              <w:t>​</w:t>
            </w:r>
          </w:p>
        </w:tc>
        <w:tc>
          <w:tcPr>
            <w:tcW w:w="20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6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(1,153)</w:t>
            </w:r>
          </w:p>
        </w:tc>
        <w:tc>
          <w:tcPr>
            <w:tcW w:w="271" w:type="dxa"/>
            <w:tcBorders/>
            <w:shd w:fill="CCEEFF" w:val="clear"/>
            <w:vAlign w:val="center"/>
          </w:tcPr>
          <w:p>
            <w:pPr>
              <w:pStyle w:val="TableContents"/>
              <w:bidi w:val="0"/>
              <w:spacing w:before="0" w:after="1"/>
              <w:ind w:left="0" w:right="0" w:hanging="0"/>
              <w:jc w:val="left"/>
              <w:rPr/>
            </w:pPr>
            <w:r>
              <w:rPr/>
              <w:t>​</w:t>
            </w:r>
          </w:p>
        </w:tc>
      </w:tr>
      <w:tr>
        <w:trPr/>
        <w:tc>
          <w:tcPr>
            <w:tcW w:w="7638" w:type="dxa"/>
            <w:tcBorders/>
            <w:vAlign w:val="center"/>
          </w:tcPr>
          <w:p>
            <w:pPr>
              <w:pStyle w:val="TableContents"/>
              <w:bidi w:val="0"/>
              <w:spacing w:before="0" w:after="1"/>
              <w:ind w:left="0" w:right="0" w:hanging="0"/>
              <w:jc w:val="both"/>
              <w:rPr>
                <w:rFonts w:ascii="Times New Roman;Times;serif" w:hAnsi="Times New Roman;Times;serif"/>
                <w:sz w:val="18"/>
              </w:rPr>
            </w:pPr>
            <w:r>
              <w:rPr>
                <w:rFonts w:ascii="Times New Roman;Times;serif" w:hAnsi="Times New Roman;Times;serif"/>
                <w:sz w:val="18"/>
              </w:rPr>
              <w:t>Effect of exchange rate changes on cash, cash equivalents and restricted cash</w:t>
            </w:r>
          </w:p>
        </w:tc>
        <w:tc>
          <w:tcPr>
            <w:tcW w:w="20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6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1,310</w:t>
            </w:r>
          </w:p>
        </w:tc>
        <w:tc>
          <w:tcPr>
            <w:tcW w:w="349" w:type="dxa"/>
            <w:tcBorders/>
            <w:vAlign w:val="center"/>
          </w:tcPr>
          <w:p>
            <w:pPr>
              <w:pStyle w:val="TableContents"/>
              <w:bidi w:val="0"/>
              <w:spacing w:before="0" w:after="1"/>
              <w:ind w:left="0" w:right="0" w:hanging="0"/>
              <w:jc w:val="left"/>
              <w:rPr/>
            </w:pPr>
            <w:r>
              <w:rPr/>
              <w:t>​</w:t>
            </w:r>
          </w:p>
        </w:tc>
        <w:tc>
          <w:tcPr>
            <w:tcW w:w="20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6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(349)</w:t>
            </w:r>
          </w:p>
        </w:tc>
        <w:tc>
          <w:tcPr>
            <w:tcW w:w="271" w:type="dxa"/>
            <w:tcBorders/>
            <w:vAlign w:val="center"/>
          </w:tcPr>
          <w:p>
            <w:pPr>
              <w:pStyle w:val="TableContents"/>
              <w:bidi w:val="0"/>
              <w:spacing w:before="0" w:after="1"/>
              <w:ind w:left="0" w:right="0" w:hanging="0"/>
              <w:jc w:val="left"/>
              <w:rPr/>
            </w:pPr>
            <w:r>
              <w:rPr/>
              <w:t>​</w:t>
            </w:r>
          </w:p>
        </w:tc>
      </w:tr>
      <w:tr>
        <w:trPr/>
        <w:tc>
          <w:tcPr>
            <w:tcW w:w="7638"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increase (decrease) in cash, cash equivalents and restricted cash</w:t>
            </w:r>
          </w:p>
        </w:tc>
        <w:tc>
          <w:tcPr>
            <w:tcW w:w="209" w:type="dxa"/>
            <w:tcBorders/>
            <w:shd w:fill="CCEEFF" w:val="clear"/>
            <w:vAlign w:val="center"/>
          </w:tcPr>
          <w:p>
            <w:pPr>
              <w:pStyle w:val="TableContents"/>
              <w:bidi w:val="0"/>
              <w:spacing w:before="0" w:after="1"/>
              <w:ind w:left="0" w:right="0" w:hanging="0"/>
              <w:jc w:val="left"/>
              <w:rPr/>
            </w:pPr>
            <w:r>
              <w:rPr/>
              <w:t>​</w:t>
            </w:r>
          </w:p>
        </w:tc>
        <w:tc>
          <w:tcPr>
            <w:tcW w:w="76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(22,384)</w:t>
            </w:r>
          </w:p>
        </w:tc>
        <w:tc>
          <w:tcPr>
            <w:tcW w:w="349" w:type="dxa"/>
            <w:tcBorders/>
            <w:shd w:fill="CCEEFF" w:val="clear"/>
            <w:vAlign w:val="center"/>
          </w:tcPr>
          <w:p>
            <w:pPr>
              <w:pStyle w:val="TableContents"/>
              <w:bidi w:val="0"/>
              <w:spacing w:before="0" w:after="1"/>
              <w:ind w:left="0" w:right="0" w:hanging="0"/>
              <w:jc w:val="left"/>
              <w:rPr/>
            </w:pPr>
            <w:r>
              <w:rPr/>
              <w:t>​</w:t>
            </w:r>
          </w:p>
        </w:tc>
        <w:tc>
          <w:tcPr>
            <w:tcW w:w="209" w:type="dxa"/>
            <w:tcBorders/>
            <w:shd w:fill="CCEEFF" w:val="clear"/>
            <w:vAlign w:val="center"/>
          </w:tcPr>
          <w:p>
            <w:pPr>
              <w:pStyle w:val="TableContents"/>
              <w:bidi w:val="0"/>
              <w:spacing w:before="0" w:after="1"/>
              <w:ind w:left="0" w:right="0" w:hanging="0"/>
              <w:jc w:val="left"/>
              <w:rPr/>
            </w:pPr>
            <w:r>
              <w:rPr/>
              <w:t>​</w:t>
            </w:r>
          </w:p>
        </w:tc>
        <w:tc>
          <w:tcPr>
            <w:tcW w:w="76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3,529</w:t>
            </w:r>
          </w:p>
        </w:tc>
        <w:tc>
          <w:tcPr>
            <w:tcW w:w="271" w:type="dxa"/>
            <w:tcBorders/>
            <w:shd w:fill="CCEEFF" w:val="clear"/>
            <w:vAlign w:val="center"/>
          </w:tcPr>
          <w:p>
            <w:pPr>
              <w:pStyle w:val="TableContents"/>
              <w:bidi w:val="0"/>
              <w:spacing w:before="0" w:after="1"/>
              <w:ind w:left="0" w:right="0" w:hanging="0"/>
              <w:jc w:val="left"/>
              <w:rPr/>
            </w:pPr>
            <w:r>
              <w:rPr/>
              <w:t>​</w:t>
            </w:r>
          </w:p>
        </w:tc>
      </w:tr>
      <w:tr>
        <w:trPr/>
        <w:tc>
          <w:tcPr>
            <w:tcW w:w="7638" w:type="dxa"/>
            <w:tcBorders/>
            <w:vAlign w:val="center"/>
          </w:tcPr>
          <w:p>
            <w:pPr>
              <w:pStyle w:val="TableContents"/>
              <w:bidi w:val="0"/>
              <w:spacing w:before="0" w:after="1"/>
              <w:ind w:left="0" w:right="0" w:hanging="0"/>
              <w:jc w:val="both"/>
              <w:rPr>
                <w:rFonts w:ascii="Times New Roman;Times;serif" w:hAnsi="Times New Roman;Times;serif"/>
                <w:sz w:val="18"/>
              </w:rPr>
            </w:pPr>
            <w:r>
              <w:rPr>
                <w:rFonts w:ascii="Times New Roman;Times;serif" w:hAnsi="Times New Roman;Times;serif"/>
                <w:sz w:val="18"/>
              </w:rPr>
              <w:t>Cash, cash equivalents and restricted cash, beginning of period</w:t>
            </w:r>
          </w:p>
        </w:tc>
        <w:tc>
          <w:tcPr>
            <w:tcW w:w="20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6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326,066</w:t>
            </w:r>
          </w:p>
        </w:tc>
        <w:tc>
          <w:tcPr>
            <w:tcW w:w="349" w:type="dxa"/>
            <w:tcBorders/>
            <w:vAlign w:val="center"/>
          </w:tcPr>
          <w:p>
            <w:pPr>
              <w:pStyle w:val="TableContents"/>
              <w:bidi w:val="0"/>
              <w:spacing w:before="0" w:after="1"/>
              <w:ind w:left="0" w:right="0" w:hanging="0"/>
              <w:jc w:val="left"/>
              <w:rPr/>
            </w:pPr>
            <w:r>
              <w:rPr/>
              <w:t>​</w:t>
            </w:r>
          </w:p>
        </w:tc>
        <w:tc>
          <w:tcPr>
            <w:tcW w:w="20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6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89,151</w:t>
            </w:r>
          </w:p>
        </w:tc>
        <w:tc>
          <w:tcPr>
            <w:tcW w:w="271" w:type="dxa"/>
            <w:tcBorders/>
            <w:vAlign w:val="center"/>
          </w:tcPr>
          <w:p>
            <w:pPr>
              <w:pStyle w:val="TableContents"/>
              <w:bidi w:val="0"/>
              <w:spacing w:before="0" w:after="1"/>
              <w:ind w:left="0" w:right="0" w:hanging="0"/>
              <w:jc w:val="left"/>
              <w:rPr/>
            </w:pPr>
            <w:r>
              <w:rPr/>
              <w:t>​</w:t>
            </w:r>
          </w:p>
        </w:tc>
      </w:tr>
      <w:tr>
        <w:trPr/>
        <w:tc>
          <w:tcPr>
            <w:tcW w:w="7638"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cash equivalents and restricted cash, end of period</w:t>
            </w:r>
          </w:p>
        </w:tc>
        <w:tc>
          <w:tcPr>
            <w:tcW w:w="20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6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303,682</w:t>
            </w:r>
          </w:p>
        </w:tc>
        <w:tc>
          <w:tcPr>
            <w:tcW w:w="349" w:type="dxa"/>
            <w:tcBorders/>
            <w:shd w:fill="CCEEFF" w:val="clear"/>
            <w:vAlign w:val="center"/>
          </w:tcPr>
          <w:p>
            <w:pPr>
              <w:pStyle w:val="TableContents"/>
              <w:bidi w:val="0"/>
              <w:spacing w:before="0" w:after="1"/>
              <w:ind w:left="0" w:right="0" w:hanging="0"/>
              <w:jc w:val="left"/>
              <w:rPr/>
            </w:pPr>
            <w:r>
              <w:rPr/>
              <w:t>​</w:t>
            </w:r>
          </w:p>
        </w:tc>
        <w:tc>
          <w:tcPr>
            <w:tcW w:w="20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6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92,680</w:t>
            </w:r>
          </w:p>
        </w:tc>
        <w:tc>
          <w:tcPr>
            <w:tcW w:w="271" w:type="dxa"/>
            <w:tcBorders/>
            <w:shd w:fill="CCEEFF" w:val="clear"/>
            <w:vAlign w:val="center"/>
          </w:tcPr>
          <w:p>
            <w:pPr>
              <w:pStyle w:val="TableContents"/>
              <w:bidi w:val="0"/>
              <w:spacing w:before="0" w:after="1"/>
              <w:ind w:left="0" w:right="0" w:hanging="0"/>
              <w:jc w:val="left"/>
              <w:rPr/>
            </w:pPr>
            <w:r>
              <w:rPr/>
              <w:t>​</w:t>
            </w:r>
          </w:p>
        </w:tc>
      </w:tr>
      <w:tr>
        <w:trPr/>
        <w:tc>
          <w:tcPr>
            <w:tcW w:w="7638" w:type="dxa"/>
            <w:tcBorders/>
            <w:vAlign w:val="center"/>
          </w:tcPr>
          <w:p>
            <w:pPr>
              <w:pStyle w:val="TableContents"/>
              <w:bidi w:val="0"/>
              <w:spacing w:before="0" w:after="1"/>
              <w:ind w:left="0" w:right="0" w:hanging="0"/>
              <w:jc w:val="both"/>
              <w:rPr>
                <w:rFonts w:ascii="Times New Roman;Times;serif" w:hAnsi="Times New Roman;Times;serif"/>
                <w:sz w:val="18"/>
              </w:rPr>
            </w:pPr>
            <w:r>
              <w:rPr>
                <w:rFonts w:ascii="Times New Roman;Times;serif" w:hAnsi="Times New Roman;Times;serif"/>
                <w:sz w:val="18"/>
              </w:rPr>
              <w:t>Reconciliation of cash, cash equivalents and restricted cash to the Condensed Consolidated Balance Sheets, end of period:</w:t>
            </w:r>
          </w:p>
        </w:tc>
        <w:tc>
          <w:tcPr>
            <w:tcW w:w="209" w:type="dxa"/>
            <w:tcBorders/>
            <w:vAlign w:val="center"/>
          </w:tcPr>
          <w:p>
            <w:pPr>
              <w:pStyle w:val="TableContents"/>
              <w:bidi w:val="0"/>
              <w:spacing w:before="0" w:after="1"/>
              <w:ind w:left="0" w:right="0" w:hanging="0"/>
              <w:jc w:val="left"/>
              <w:rPr/>
            </w:pPr>
            <w:r>
              <w:rPr/>
              <w:t> </w:t>
            </w:r>
          </w:p>
        </w:tc>
        <w:tc>
          <w:tcPr>
            <w:tcW w:w="767" w:type="dxa"/>
            <w:tcBorders/>
            <w:vAlign w:val="center"/>
          </w:tcPr>
          <w:p>
            <w:pPr>
              <w:pStyle w:val="TableContents"/>
              <w:bidi w:val="0"/>
              <w:spacing w:before="0" w:after="1"/>
              <w:ind w:left="0" w:right="0" w:hanging="0"/>
              <w:jc w:val="right"/>
              <w:rPr/>
            </w:pPr>
            <w:r>
              <w:rPr/>
              <w:t>  </w:t>
            </w:r>
          </w:p>
        </w:tc>
        <w:tc>
          <w:tcPr>
            <w:tcW w:w="349" w:type="dxa"/>
            <w:tcBorders/>
            <w:vAlign w:val="center"/>
          </w:tcPr>
          <w:p>
            <w:pPr>
              <w:pStyle w:val="TableContents"/>
              <w:bidi w:val="0"/>
              <w:spacing w:before="0" w:after="1"/>
              <w:ind w:left="0" w:right="0" w:hanging="0"/>
              <w:jc w:val="left"/>
              <w:rPr/>
            </w:pPr>
            <w:r>
              <w:rPr/>
              <w:t>​</w:t>
            </w:r>
          </w:p>
        </w:tc>
        <w:tc>
          <w:tcPr>
            <w:tcW w:w="209" w:type="dxa"/>
            <w:tcBorders/>
            <w:vAlign w:val="center"/>
          </w:tcPr>
          <w:p>
            <w:pPr>
              <w:pStyle w:val="TableContents"/>
              <w:bidi w:val="0"/>
              <w:spacing w:before="0" w:after="1"/>
              <w:ind w:left="0" w:right="0" w:hanging="0"/>
              <w:jc w:val="left"/>
              <w:rPr/>
            </w:pPr>
            <w:r>
              <w:rPr/>
              <w:t> </w:t>
            </w:r>
          </w:p>
        </w:tc>
        <w:tc>
          <w:tcPr>
            <w:tcW w:w="762" w:type="dxa"/>
            <w:tcBorders/>
            <w:vAlign w:val="center"/>
          </w:tcPr>
          <w:p>
            <w:pPr>
              <w:pStyle w:val="TableContents"/>
              <w:bidi w:val="0"/>
              <w:spacing w:before="0" w:after="1"/>
              <w:ind w:left="0" w:right="0" w:hanging="0"/>
              <w:jc w:val="right"/>
              <w:rPr/>
            </w:pPr>
            <w:r>
              <w:rPr/>
              <w:t>  </w:t>
            </w:r>
          </w:p>
        </w:tc>
        <w:tc>
          <w:tcPr>
            <w:tcW w:w="271" w:type="dxa"/>
            <w:tcBorders/>
            <w:vAlign w:val="center"/>
          </w:tcPr>
          <w:p>
            <w:pPr>
              <w:pStyle w:val="TableContents"/>
              <w:bidi w:val="0"/>
              <w:spacing w:before="0" w:after="1"/>
              <w:ind w:left="0" w:right="0" w:hanging="0"/>
              <w:jc w:val="left"/>
              <w:rPr/>
            </w:pPr>
            <w:r>
              <w:rPr/>
              <w:t>​</w:t>
            </w:r>
          </w:p>
        </w:tc>
      </w:tr>
      <w:tr>
        <w:trPr/>
        <w:tc>
          <w:tcPr>
            <w:tcW w:w="7638"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and cash equivalents</w:t>
            </w:r>
          </w:p>
        </w:tc>
        <w:tc>
          <w:tcPr>
            <w:tcW w:w="209"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6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270,395</w:t>
            </w:r>
          </w:p>
        </w:tc>
        <w:tc>
          <w:tcPr>
            <w:tcW w:w="349" w:type="dxa"/>
            <w:tcBorders/>
            <w:shd w:fill="CCEEFF" w:val="clear"/>
            <w:vAlign w:val="center"/>
          </w:tcPr>
          <w:p>
            <w:pPr>
              <w:pStyle w:val="TableContents"/>
              <w:bidi w:val="0"/>
              <w:spacing w:before="0" w:after="1"/>
              <w:ind w:left="0" w:right="0" w:hanging="0"/>
              <w:jc w:val="left"/>
              <w:rPr/>
            </w:pPr>
            <w:r>
              <w:rPr/>
              <w:t>​</w:t>
            </w:r>
          </w:p>
        </w:tc>
        <w:tc>
          <w:tcPr>
            <w:tcW w:w="209"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6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56,134</w:t>
            </w:r>
          </w:p>
        </w:tc>
        <w:tc>
          <w:tcPr>
            <w:tcW w:w="271" w:type="dxa"/>
            <w:tcBorders/>
            <w:shd w:fill="CCEEFF" w:val="clear"/>
            <w:vAlign w:val="center"/>
          </w:tcPr>
          <w:p>
            <w:pPr>
              <w:pStyle w:val="TableContents"/>
              <w:bidi w:val="0"/>
              <w:spacing w:before="0" w:after="1"/>
              <w:ind w:left="0" w:right="0" w:hanging="0"/>
              <w:jc w:val="left"/>
              <w:rPr/>
            </w:pPr>
            <w:r>
              <w:rPr/>
              <w:t>​</w:t>
            </w:r>
          </w:p>
        </w:tc>
      </w:tr>
      <w:tr>
        <w:trPr/>
        <w:tc>
          <w:tcPr>
            <w:tcW w:w="7638"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Restricted cash—funds held for customers</w:t>
            </w:r>
          </w:p>
        </w:tc>
        <w:tc>
          <w:tcPr>
            <w:tcW w:w="20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6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33,287</w:t>
            </w:r>
          </w:p>
        </w:tc>
        <w:tc>
          <w:tcPr>
            <w:tcW w:w="349" w:type="dxa"/>
            <w:tcBorders/>
            <w:vAlign w:val="center"/>
          </w:tcPr>
          <w:p>
            <w:pPr>
              <w:pStyle w:val="TableContents"/>
              <w:bidi w:val="0"/>
              <w:spacing w:before="0" w:after="1"/>
              <w:ind w:left="0" w:right="0" w:hanging="0"/>
              <w:jc w:val="left"/>
              <w:rPr/>
            </w:pPr>
            <w:r>
              <w:rPr/>
              <w:t>​</w:t>
            </w:r>
          </w:p>
        </w:tc>
        <w:tc>
          <w:tcPr>
            <w:tcW w:w="20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6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36,546</w:t>
            </w:r>
          </w:p>
        </w:tc>
        <w:tc>
          <w:tcPr>
            <w:tcW w:w="271" w:type="dxa"/>
            <w:tcBorders/>
            <w:vAlign w:val="center"/>
          </w:tcPr>
          <w:p>
            <w:pPr>
              <w:pStyle w:val="TableContents"/>
              <w:bidi w:val="0"/>
              <w:spacing w:before="0" w:after="1"/>
              <w:ind w:left="0" w:right="0" w:hanging="0"/>
              <w:jc w:val="left"/>
              <w:rPr/>
            </w:pPr>
            <w:r>
              <w:rPr/>
              <w:t>​</w:t>
            </w:r>
          </w:p>
        </w:tc>
      </w:tr>
      <w:tr>
        <w:trPr/>
        <w:tc>
          <w:tcPr>
            <w:tcW w:w="7638"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cash, cash equivalents and restricted cash, end of period</w:t>
            </w:r>
          </w:p>
        </w:tc>
        <w:tc>
          <w:tcPr>
            <w:tcW w:w="20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6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303,682</w:t>
            </w:r>
          </w:p>
        </w:tc>
        <w:tc>
          <w:tcPr>
            <w:tcW w:w="349" w:type="dxa"/>
            <w:tcBorders/>
            <w:shd w:fill="CCEEFF" w:val="clear"/>
            <w:vAlign w:val="center"/>
          </w:tcPr>
          <w:p>
            <w:pPr>
              <w:pStyle w:val="TableContents"/>
              <w:bidi w:val="0"/>
              <w:spacing w:before="0" w:after="1"/>
              <w:ind w:left="0" w:right="0" w:hanging="0"/>
              <w:jc w:val="left"/>
              <w:rPr/>
            </w:pPr>
            <w:r>
              <w:rPr/>
              <w:t>​</w:t>
            </w:r>
          </w:p>
        </w:tc>
        <w:tc>
          <w:tcPr>
            <w:tcW w:w="20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6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92,680</w:t>
            </w:r>
          </w:p>
        </w:tc>
        <w:tc>
          <w:tcPr>
            <w:tcW w:w="271"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40"/>
        <w:ind w:left="0" w:right="0" w:firstLine="360"/>
        <w:jc w:val="center"/>
        <w:rPr/>
      </w:pPr>
      <w:r>
        <w:rPr/>
        <w:t>​</w:t>
      </w:r>
    </w:p>
    <w:p>
      <w:pPr>
        <w:pStyle w:val="TextBody"/>
        <w:bidi w:val="0"/>
        <w:spacing w:before="0" w:after="0"/>
        <w:ind w:left="0" w:right="0" w:firstLine="360"/>
        <w:jc w:val="center"/>
        <w:rPr>
          <w:rFonts w:ascii="Times New Roman;Times;serif" w:hAnsi="Times New Roman;Times;serif"/>
          <w:sz w:val="16"/>
        </w:rPr>
      </w:pPr>
      <w:r>
        <w:rPr>
          <w:rFonts w:ascii="Times New Roman;Times;serif" w:hAnsi="Times New Roman;Times;serif"/>
          <w:sz w:val="16"/>
        </w:rPr>
        <w:t>The accompanying notes are an integral part of these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432" w:after="283"/>
        <w:jc w:val="left"/>
        <w:rPr>
          <w:sz w:val="4"/>
          <w:szCs w:val="4"/>
        </w:rPr>
      </w:pPr>
      <w:r>
        <w:rPr>
          <w:sz w:val="4"/>
          <w:szCs w:val="4"/>
        </w:rPr>
      </w:r>
      <w:bookmarkStart w:id="723" w:name="_4ed1065a_e9fb_485f_bac7_9ab29389e2b3"/>
      <w:bookmarkStart w:id="724" w:name="_ee90efc1_e7c0_4408_a52e_97b68caffc1c"/>
      <w:bookmarkStart w:id="725" w:name="_4ed1065a_e9fb_485f_bac7_9ab29389e2b3"/>
      <w:bookmarkStart w:id="726" w:name="_ee90efc1_e7c0_4408_a52e_97b68caffc1c"/>
      <w:bookmarkEnd w:id="725"/>
      <w:bookmarkEnd w:id="726"/>
    </w:p>
    <w:tbl>
      <w:tblPr>
        <w:tblW w:w="5776" w:type="dxa"/>
        <w:jc w:val="left"/>
        <w:tblInd w:w="0" w:type="dxa"/>
        <w:tblLayout w:type="fixed"/>
        <w:tblCellMar>
          <w:top w:w="0" w:type="dxa"/>
          <w:left w:w="0" w:type="dxa"/>
          <w:bottom w:w="0" w:type="dxa"/>
          <w:right w:w="0" w:type="dxa"/>
        </w:tblCellMar>
      </w:tblPr>
      <w:tblGrid>
        <w:gridCol w:w="5776"/>
      </w:tblGrid>
      <w:tr>
        <w:trPr/>
        <w:tc>
          <w:tcPr>
            <w:tcW w:w="5776" w:type="dxa"/>
            <w:tcBorders/>
            <w:vAlign w:val="center"/>
          </w:tcPr>
          <w:p>
            <w:pPr>
              <w:pStyle w:val="TableContents"/>
              <w:bidi w:val="0"/>
              <w:spacing w:before="0" w:after="283"/>
              <w:ind w:left="0" w:right="0" w:hanging="0"/>
              <w:jc w:val="left"/>
              <w:rPr>
                <w:sz w:val="4"/>
                <w:szCs w:val="4"/>
              </w:rPr>
            </w:pPr>
            <w:r>
              <w:rPr>
                <w:sz w:val="4"/>
                <w:szCs w:val="4"/>
              </w:rPr>
            </w:r>
          </w:p>
        </w:tc>
      </w:tr>
      <w:tr>
        <w:trPr/>
        <w:tc>
          <w:tcPr>
            <w:tcW w:w="577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Vertex, Inc. and Subsidiaries</w:t>
            </w:r>
          </w:p>
        </w:tc>
      </w:tr>
      <w:tr>
        <w:trPr/>
        <w:tc>
          <w:tcPr>
            <w:tcW w:w="577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Condensed Consolidated Financial Statements (unaudited)</w:t>
            </w:r>
          </w:p>
        </w:tc>
      </w:tr>
      <w:tr>
        <w:trPr/>
        <w:tc>
          <w:tcPr>
            <w:tcW w:w="57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(Amounts in thousands, except per share data)</w:t>
            </w:r>
          </w:p>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727" w:name="_Hlk78445138"/>
      <w:bookmarkStart w:id="728" w:name="_Hlk78445093"/>
      <w:bookmarkStart w:id="729" w:name="a1SUMMARYOFSIGNIFICANTACCOUNTINGPOLICIES"/>
      <w:bookmarkEnd w:id="727"/>
      <w:bookmarkEnd w:id="728"/>
      <w:bookmarkEnd w:id="729"/>
      <w:r>
        <w:rPr>
          <w:rFonts w:ascii="Times New Roman;Times;serif" w:hAnsi="Times New Roman;Times;serif"/>
          <w:b/>
          <w:sz w:val="20"/>
        </w:rPr>
        <w:t>1.    SUMMARY OF SIGNIFICANT ACCOUNTING POLICIES</w:t>
      </w:r>
    </w:p>
    <w:p>
      <w:pPr>
        <w:pStyle w:val="TextBody"/>
        <w:bidi w:val="0"/>
        <w:spacing w:before="0" w:after="240"/>
        <w:ind w:left="360" w:right="0" w:hanging="0"/>
        <w:jc w:val="left"/>
        <w:rPr>
          <w:rFonts w:ascii="Times New Roman;Times;serif" w:hAnsi="Times New Roman;Times;serif"/>
          <w:b/>
          <w:sz w:val="20"/>
        </w:rPr>
      </w:pPr>
      <w:r>
        <w:rPr>
          <w:rFonts w:ascii="Times New Roman;Times;serif" w:hAnsi="Times New Roman;Times;serif"/>
          <w:b/>
          <w:sz w:val="20"/>
        </w:rPr>
        <w:t>Nature of Business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Vertex, Inc. (“Vertex”) and its consolidated subsidiaries (collectively, the “Company”) operate as solutions providers of state, local, and value added tax calculation, compliance, and analytics, offering software products that are sold through software license and software as a service (“cloud”) subscriptions. The Company also provides implementation and training services in connection with its software license and cloud subscriptions, transaction tax returns outsourcing, and other tax-related services. The Company sells to customers located throughout the United States of America (“U.S.”) and internationally.</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Basis of Consolidation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condensed consolidated financial statements are prepared in accordance with accounting principles generally accepted in the U.S. (“GAAP”) and include the accounts of the Company. All intercompany transactions have been eliminated in consolidation.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August 30, 2024, the Company completed its acquisition of ecosio GmbH (“ecosio”). Upon its acquisition, ecosio became a wholly owned subsidiary of the Company, and its operations have been included in the Company’s condensed consolidated financial statements commencing on the acquisition date.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Prior to June 5, 2024, the Company owned an 80% controlling equity interest in Systax Sistemas Fiscais LTDA (“Systax”), a provider of Brazilian transaction tax content and software. Systax was determined to be a variable interest entity and the accounts were included in the condensed consolidated financial statements. Vertex did not have full decision-making authority over Systax; however, Vertex was the entity that most significantly participated in the variability of the fair value of Systax’s net assets and was considered the entity most closely associated to Systax. As such, Vertex was deemed the primary beneficiary of Systax and consolidated Systax into its condensed consolidated financial statements. On June 5, 2024, Vertex acquired the remaining 20% equity interest in Systax, resulting in Systax becoming a wholly owned subsidiary of the Company, and is consolidated into the condensed consolidated financial statements.</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Unaudited Interim Financial Information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accompanying unaudited interim condensed consolidated financial statements have been prepared pursuant to the rules and regulations of the Securities and Exchange Commission (the “SEC”) for interim financial information and include the accounts of the Company. Certain information and disclosures normally included in consolidated financial statements prepared in accordance with GAAP have been condensed or omitted. Accordingly, these interim condensed consolidated financial statements should be read in conjunction with the audited consolidated financial statements and the related notes for the year ended December 31, 2024 included in the Company’s Annual Report on Form 10-K for the year ended December 31, 2024 (the “2024 Annual Report”) filed with the SEC on February 27, 2025. The condensed consolidated balance sheet as of December 31, 2024 has been derived from audited financial statements included in the 2024 Annual Report. The accompanying interim condensed consolidated balance sheet as of March 31, 2025, the interim condensed consolidated statements of comprehensive income (loss) and changes in stockholders’ equity for the three months ended March 31, 2025 and 2024, and the interim condensed consolidated statements of cash flows for the three months ended March 31, 2025 and 2024 are unaudited. The unaudited interim condensed consolidated financial statements have been prepared on a basis consistent with that used to prepare the annual audited consolidated financial statements and include, in the opinion of management, all adjustments, consisting of normal and recurring items necessary for the fair presentation of the condensed consolidated financial statements. The operating results for the three months ended March 31, 2025 are not necessarily indicative of the results expected for the full year ending December 31, 2025.</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432" w:after="283"/>
        <w:jc w:val="left"/>
        <w:rPr>
          <w:sz w:val="4"/>
          <w:szCs w:val="4"/>
        </w:rPr>
      </w:pPr>
      <w:r>
        <w:rPr>
          <w:sz w:val="4"/>
          <w:szCs w:val="4"/>
        </w:rPr>
      </w:r>
      <w:bookmarkStart w:id="730" w:name="_e2d69f6c_286f_4fcd_a862_59719f3edddd"/>
      <w:bookmarkStart w:id="731" w:name="_7842b8e2_fbe8_4f39_a32a_e0aecd5e54bd"/>
      <w:bookmarkStart w:id="732" w:name="_1a3290b6_f6fd_43ef_9cf9_09ae5c82f50f"/>
      <w:bookmarkStart w:id="733" w:name="_761f4ffa_bdaa_41a7_b7c6_5e85b17f6e4f"/>
      <w:bookmarkStart w:id="734" w:name="_e2d69f6c_286f_4fcd_a862_59719f3edddd"/>
      <w:bookmarkStart w:id="735" w:name="_7842b8e2_fbe8_4f39_a32a_e0aecd5e54bd"/>
      <w:bookmarkStart w:id="736" w:name="_1a3290b6_f6fd_43ef_9cf9_09ae5c82f50f"/>
      <w:bookmarkStart w:id="737" w:name="_761f4ffa_bdaa_41a7_b7c6_5e85b17f6e4f"/>
      <w:bookmarkEnd w:id="734"/>
      <w:bookmarkEnd w:id="735"/>
      <w:bookmarkEnd w:id="736"/>
      <w:bookmarkEnd w:id="737"/>
    </w:p>
    <w:tbl>
      <w:tblPr>
        <w:tblW w:w="6646" w:type="dxa"/>
        <w:jc w:val="left"/>
        <w:tblInd w:w="0" w:type="dxa"/>
        <w:tblLayout w:type="fixed"/>
        <w:tblCellMar>
          <w:top w:w="0" w:type="dxa"/>
          <w:left w:w="0" w:type="dxa"/>
          <w:bottom w:w="0" w:type="dxa"/>
          <w:right w:w="0" w:type="dxa"/>
        </w:tblCellMar>
      </w:tblPr>
      <w:tblGrid>
        <w:gridCol w:w="6646"/>
      </w:tblGrid>
      <w:tr>
        <w:trPr/>
        <w:tc>
          <w:tcPr>
            <w:tcW w:w="6646" w:type="dxa"/>
            <w:tcBorders/>
            <w:vAlign w:val="center"/>
          </w:tcPr>
          <w:p>
            <w:pPr>
              <w:pStyle w:val="TableContents"/>
              <w:bidi w:val="0"/>
              <w:spacing w:before="0" w:after="283"/>
              <w:ind w:left="0" w:right="0" w:hanging="0"/>
              <w:jc w:val="left"/>
              <w:rPr>
                <w:sz w:val="4"/>
                <w:szCs w:val="4"/>
              </w:rPr>
            </w:pPr>
            <w:r>
              <w:rPr>
                <w:sz w:val="4"/>
                <w:szCs w:val="4"/>
              </w:rPr>
            </w:r>
          </w:p>
        </w:tc>
      </w:tr>
      <w:tr>
        <w:trPr/>
        <w:tc>
          <w:tcPr>
            <w:tcW w:w="66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Vertex, Inc. and Subsidiaries</w:t>
            </w:r>
          </w:p>
        </w:tc>
      </w:tr>
      <w:tr>
        <w:trPr/>
        <w:tc>
          <w:tcPr>
            <w:tcW w:w="66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Condensed Consolidated Financial Statements (unaudited) continued</w:t>
            </w:r>
          </w:p>
        </w:tc>
      </w:tr>
      <w:tr>
        <w:trPr/>
        <w:tc>
          <w:tcPr>
            <w:tcW w:w="66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(Amounts in thousands, except per share data) </w:t>
            </w:r>
          </w:p>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sz w:val="20"/>
        </w:rPr>
      </w:pPr>
      <w:bookmarkStart w:id="738" w:name="Tc_G3HPqyezy0emCPIZ0AbJnQ_20_5"/>
      <w:bookmarkStart w:id="739" w:name="Tc_l_f438Kbt0qZHT9oSxwHJQ_20_2"/>
      <w:bookmarkStart w:id="740" w:name="Tc_XFiW2BrEyECdhaGImF4JIQ_20_0"/>
      <w:bookmarkStart w:id="741" w:name="Tc_stGRV-0PMECZqKIZPHCgEw_19_0"/>
      <w:bookmarkStart w:id="742" w:name="Tc_WXdUS3MCeUWU3IK4AlSCrw_18_0"/>
      <w:bookmarkStart w:id="743" w:name="Tc_FtRTj0wrGkyM7vcPDcf4tA_17_5"/>
      <w:bookmarkStart w:id="744" w:name="Tc_udDMgwawfUak99r-tTByiw_17_2"/>
      <w:bookmarkStart w:id="745" w:name="Tc_qP4RVFdY2kCFa9BGLRpy7w_17_0"/>
      <w:bookmarkStart w:id="746" w:name="Tc_u_YkCilOUUiYKxIB3DTAWA_16_0"/>
      <w:bookmarkStart w:id="747" w:name="Tc_50VZ8uZSmUOa20OXwa0mUA_14_5"/>
      <w:bookmarkStart w:id="748" w:name="Tc_6menNHpMo0y1dFV_3lzFYw_14_2"/>
      <w:bookmarkStart w:id="749" w:name="Tc_E_x9r4nT0kGB5N1EDTP0MQ_14_0"/>
      <w:bookmarkStart w:id="750" w:name="Tc_ykH9adtegkqEbcfEoUtjaA_13_0"/>
      <w:bookmarkStart w:id="751" w:name="Tc_MWQvydYAy0qI3YtM_PkjVw_12_5"/>
      <w:bookmarkStart w:id="752" w:name="Tc_R9Gm2SekB06lS44BszmpAA_12_2"/>
      <w:bookmarkStart w:id="753" w:name="Tc_Nuj6QRIKqU6WX5dSbs506A_12_0"/>
      <w:bookmarkStart w:id="754" w:name="Tc_Vr8hCOnfDku8ZAjFhLExaA_11_0"/>
      <w:bookmarkStart w:id="755" w:name="Tc_m7NwUiGzZ0-3C-LMg3bERw_9_5"/>
      <w:bookmarkStart w:id="756" w:name="Tc_ryXO4Ud1xUOncAnnCGSGFg_9_2"/>
      <w:bookmarkStart w:id="757" w:name="Tc_APBodVDOG06yE_0aSRbVgQ_9_0"/>
      <w:bookmarkStart w:id="758" w:name="Tc_swjEDHtWvES6y95PQSeUAA_8_0"/>
      <w:bookmarkStart w:id="759" w:name="Tc_BNVjZdRrrESJ_E2nu41izQ_7_0"/>
      <w:bookmarkStart w:id="760" w:name="Tc_Z910izUcxE2RsyVc0mtELg_6_0"/>
      <w:bookmarkStart w:id="761" w:name="Tc_yheIz8rfMUaftmRjyAXJ7Q_5_5"/>
      <w:bookmarkStart w:id="762" w:name="Tc_hN0K3tJLu0mYvJHJaJ8lXg_5_2"/>
      <w:bookmarkStart w:id="763" w:name="Tc_-DNaBlJfK0658wjg42ZRAw_5_0"/>
      <w:bookmarkStart w:id="764" w:name="Tc_mcPbV2Ybqki88x24AlMIYw_4_0"/>
      <w:bookmarkStart w:id="765" w:name="Tc_taO6UznmyUiAmeiU-7BvpA_3_2"/>
      <w:bookmarkStart w:id="766" w:name="Tc_5KOqPAhsFEyHH9XC5uJGDA_2_5"/>
      <w:bookmarkStart w:id="767" w:name="Tc_aK_4wj9oIUmQ03z1ZOmORA_2_2"/>
      <w:bookmarkStart w:id="768" w:name="Tc_xF9edAaSNEuARSV6LZI7ig_1_6"/>
      <w:bookmarkStart w:id="769" w:name="Tc_CBYpwlzqYEyn3IUfBKDP5w_1_3"/>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r>
        <w:rPr>
          <w:rFonts w:ascii="Times New Roman;Times;serif" w:hAnsi="Times New Roman;Times;serif"/>
          <w:b/>
          <w:sz w:val="20"/>
        </w:rPr>
        <w:t>Use of Estimates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preparation of condensed consolidated financial statements requires management to make estimates and assumptions that affect the reported amounts of assets, liabilities, equity, revenues, and expenses during the reporting period. Significant estimates used in preparing these condensed consolidated financial statements include: (i) the estimated allowance for subscription cancellations; (ii) expected credit losses associated with the allowance for doubtful accounts; (iii) allowance for credit losses on available-for-sale debt securities; (iv) the reserve for self-insurance; (v) assumptions related to achievement of technological feasibility for software developed for sale; (vi) product life cycles; (vii) estimated useful lives and potential impairment of long-lived assets, intangible assets, and capitalized cloud computing arrangement software implementation costs; (viii) potential impairment of goodwill; (ix) determination of the fair value of tangible and intangible assets acquired, liabilities assumed, and consideration transferred in acquisitions; (x) amortization period of deferred commissions; (xi) Black-Scholes-Merton option pricing model (“Black-Scholes model”) input assumptions used to determine the fair value of certain stock-based compensation awards and Employee Stock Purchase Plan (“ESPP”) purchase rights; (xii) measurement of future purchase commitment, fair value of contingent consideration liabilities related to cash and stock earn-out payments, contingent consideration and deferred purchase consideration liabilities associated with acquisitions; and (xiii) the potential outcome of future tax consequences of events that have been recognized in the condensed consolidated financial statements or tax returns. Actual results may differ from these estimates.</w:t>
      </w:r>
    </w:p>
    <w:p>
      <w:pPr>
        <w:pStyle w:val="TextBody"/>
        <w:bidi w:val="0"/>
        <w:spacing w:before="0" w:after="0"/>
        <w:ind w:left="0" w:right="0" w:hanging="0"/>
        <w:jc w:val="both"/>
        <w:rPr/>
      </w:pPr>
      <w:r>
        <w:rPr/>
        <w:t>​</w:t>
      </w:r>
    </w:p>
    <w:p>
      <w:pPr>
        <w:pStyle w:val="TextBody"/>
        <w:bidi w:val="0"/>
        <w:spacing w:before="0" w:after="240"/>
        <w:ind w:left="0" w:right="0" w:firstLine="360"/>
        <w:jc w:val="left"/>
        <w:rPr>
          <w:rFonts w:ascii="Times New Roman;Times;serif" w:hAnsi="Times New Roman;Times;serif"/>
          <w:b/>
          <w:sz w:val="20"/>
        </w:rPr>
      </w:pPr>
      <w:r>
        <w:rPr>
          <w:rFonts w:ascii="Times New Roman;Times;serif" w:hAnsi="Times New Roman;Times;serif"/>
          <w:b/>
          <w:sz w:val="20"/>
        </w:rPr>
        <w:t>Supplemental Balance Sheet Disclosures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Supplemental balance sheet disclosures are as follows for the respective periods:</w:t>
      </w:r>
    </w:p>
    <w:p>
      <w:pPr>
        <w:pStyle w:val="TextBody"/>
        <w:bidi w:val="0"/>
        <w:spacing w:before="0" w:after="240"/>
        <w:ind w:left="0" w:right="0" w:firstLine="360"/>
        <w:jc w:val="both"/>
        <w:rPr/>
      </w:pPr>
      <w:r>
        <w:rPr/>
        <w:t>​</w:t>
      </w:r>
    </w:p>
    <w:tbl>
      <w:tblPr>
        <w:tblW w:w="8172" w:type="dxa"/>
        <w:jc w:val="left"/>
        <w:tblInd w:w="0" w:type="dxa"/>
        <w:tblLayout w:type="fixed"/>
        <w:tblCellMar>
          <w:top w:w="0" w:type="dxa"/>
          <w:left w:w="0" w:type="dxa"/>
          <w:bottom w:w="0" w:type="dxa"/>
          <w:right w:w="0" w:type="dxa"/>
        </w:tblCellMar>
      </w:tblPr>
      <w:tblGrid>
        <w:gridCol w:w="4396"/>
        <w:gridCol w:w="326"/>
        <w:gridCol w:w="211"/>
        <w:gridCol w:w="1321"/>
        <w:gridCol w:w="146"/>
        <w:gridCol w:w="211"/>
        <w:gridCol w:w="1561"/>
      </w:tblGrid>
      <w:tr>
        <w:trPr/>
        <w:tc>
          <w:tcPr>
            <w:tcW w:w="43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791460" cy="175260"/>
                      <wp:effectExtent l="0" t="0" r="0" b="0"/>
                      <wp:wrapNone/>
                      <wp:docPr id="43" name="Frame43"/>
                      <a:graphic xmlns:a="http://schemas.openxmlformats.org/drawingml/2006/main">
                        <a:graphicData uri="http://schemas.microsoft.com/office/word/2010/wordprocessingShape">
                          <wps:wsp>
                            <wps:cNvSpPr txBox="1"/>
                            <wps:spPr>
                              <a:xfrm>
                                <a:off x="0" y="0"/>
                                <a:ext cx="2791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07010" cy="175260"/>
                      <wp:effectExtent l="0" t="0" r="0" b="0"/>
                      <wp:wrapNone/>
                      <wp:docPr id="44" name="Frame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133985" cy="175260"/>
                      <wp:effectExtent l="0" t="0" r="0" b="0"/>
                      <wp:wrapNone/>
                      <wp:docPr id="45" name="Frame4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838835" cy="175260"/>
                      <wp:effectExtent l="0" t="0" r="0" b="0"/>
                      <wp:wrapNone/>
                      <wp:docPr id="46" name="Frame46"/>
                      <a:graphic xmlns:a="http://schemas.openxmlformats.org/drawingml/2006/main">
                        <a:graphicData uri="http://schemas.microsoft.com/office/word/2010/wordprocessingShape">
                          <wps:wsp>
                            <wps:cNvSpPr txBox="1"/>
                            <wps:spPr>
                              <a:xfrm>
                                <a:off x="0" y="0"/>
                                <a:ext cx="838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92710" cy="175260"/>
                      <wp:effectExtent l="0" t="0" r="0" b="0"/>
                      <wp:wrapNone/>
                      <wp:docPr id="47" name="Frame47"/>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133985" cy="175260"/>
                      <wp:effectExtent l="0" t="0" r="0" b="0"/>
                      <wp:wrapNone/>
                      <wp:docPr id="48" name="Frame4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991235" cy="175260"/>
                      <wp:effectExtent l="0" t="0" r="0" b="0"/>
                      <wp:wrapNone/>
                      <wp:docPr id="49" name="Frame49"/>
                      <a:graphic xmlns:a="http://schemas.openxmlformats.org/drawingml/2006/main">
                        <a:graphicData uri="http://schemas.microsoft.com/office/word/2010/wordprocessingShape">
                          <wps:wsp>
                            <wps:cNvSpPr txBox="1"/>
                            <wps:spPr>
                              <a:xfrm>
                                <a:off x="0" y="0"/>
                                <a:ext cx="991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3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3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March 31, </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5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43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5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46" w:type="dxa"/>
            <w:tcBorders/>
            <w:vAlign w:val="center"/>
          </w:tcPr>
          <w:p>
            <w:pPr>
              <w:pStyle w:val="TableContents"/>
              <w:bidi w:val="0"/>
              <w:spacing w:before="0" w:after="0"/>
              <w:ind w:left="0" w:right="0" w:hanging="0"/>
              <w:jc w:val="center"/>
              <w:rPr/>
            </w:pPr>
            <w:r>
              <w:rPr/>
              <w:t>​</w:t>
            </w:r>
          </w:p>
        </w:tc>
        <w:tc>
          <w:tcPr>
            <w:tcW w:w="17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3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53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left"/>
              <w:rPr/>
            </w:pPr>
            <w:r>
              <w:rPr/>
              <w:t>​</w:t>
            </w:r>
          </w:p>
        </w:tc>
      </w:tr>
      <w:tr>
        <w:trPr/>
        <w:tc>
          <w:tcPr>
            <w:tcW w:w="439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Prepaid expenses and other current assets: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321" w:type="dxa"/>
            <w:tcBorders/>
            <w:shd w:fill="CCEEFF" w:val="clear"/>
            <w:vAlign w:val="center"/>
          </w:tcPr>
          <w:p>
            <w:pPr>
              <w:pStyle w:val="TableContents"/>
              <w:bidi w:val="0"/>
              <w:spacing w:before="0" w:after="0"/>
              <w:ind w:left="0" w:right="0" w:hanging="0"/>
              <w:jc w:val="right"/>
              <w:rPr/>
            </w:pPr>
            <w:r>
              <w:rPr/>
              <w:t>  </w:t>
            </w:r>
          </w:p>
        </w:tc>
        <w:tc>
          <w:tcPr>
            <w:tcW w:w="1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561" w:type="dxa"/>
            <w:tcBorders/>
            <w:shd w:fill="CCEEFF" w:val="clear"/>
            <w:vAlign w:val="center"/>
          </w:tcPr>
          <w:p>
            <w:pPr>
              <w:pStyle w:val="TableContents"/>
              <w:bidi w:val="0"/>
              <w:spacing w:before="0" w:after="0"/>
              <w:ind w:left="0" w:right="0" w:hanging="0"/>
              <w:jc w:val="right"/>
              <w:rPr/>
            </w:pPr>
            <w:r>
              <w:rPr/>
              <w:t>  </w:t>
            </w:r>
          </w:p>
        </w:tc>
      </w:tr>
      <w:tr>
        <w:trPr/>
        <w:tc>
          <w:tcPr>
            <w:tcW w:w="4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20,274</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15,223</w:t>
            </w:r>
          </w:p>
        </w:tc>
      </w:tr>
      <w:tr>
        <w:trPr/>
        <w:tc>
          <w:tcPr>
            <w:tcW w:w="4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Unamortized cloud computing implementation costs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3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4,088</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5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4,088</w:t>
            </w:r>
          </w:p>
        </w:tc>
      </w:tr>
      <w:tr>
        <w:trPr/>
        <w:tc>
          <w:tcPr>
            <w:tcW w:w="4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insurance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3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1,011</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1,488</w:t>
            </w:r>
          </w:p>
        </w:tc>
      </w:tr>
      <w:tr>
        <w:trPr/>
        <w:tc>
          <w:tcPr>
            <w:tcW w:w="4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licenses and support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23,569</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5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15,879</w:t>
            </w:r>
          </w:p>
        </w:tc>
      </w:tr>
      <w:tr>
        <w:trPr/>
        <w:tc>
          <w:tcPr>
            <w:tcW w:w="4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48,942</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36,678</w:t>
            </w:r>
          </w:p>
        </w:tc>
      </w:tr>
      <w:tr>
        <w:trPr/>
        <w:tc>
          <w:tcPr>
            <w:tcW w:w="439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321"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561" w:type="dxa"/>
            <w:tcBorders/>
            <w:shd w:fill="CCEEFF" w:val="clear"/>
            <w:vAlign w:val="center"/>
          </w:tcPr>
          <w:p>
            <w:pPr>
              <w:pStyle w:val="TableContents"/>
              <w:bidi w:val="0"/>
              <w:spacing w:before="0" w:after="0"/>
              <w:ind w:left="0" w:right="0" w:hanging="0"/>
              <w:jc w:val="right"/>
              <w:rPr/>
            </w:pPr>
            <w:r>
              <w:rPr/>
              <w:t>​</w:t>
            </w:r>
          </w:p>
        </w:tc>
      </w:tr>
      <w:tr>
        <w:trPr/>
        <w:tc>
          <w:tcPr>
            <w:tcW w:w="439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assets: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32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561" w:type="dxa"/>
            <w:tcBorders/>
            <w:vAlign w:val="center"/>
          </w:tcPr>
          <w:p>
            <w:pPr>
              <w:pStyle w:val="TableContents"/>
              <w:bidi w:val="0"/>
              <w:spacing w:before="0" w:after="0"/>
              <w:ind w:left="0" w:right="0" w:hanging="0"/>
              <w:jc w:val="right"/>
              <w:rPr/>
            </w:pPr>
            <w:r>
              <w:rPr/>
              <w:t>​</w:t>
            </w:r>
          </w:p>
        </w:tc>
      </w:tr>
      <w:tr>
        <w:trPr/>
        <w:tc>
          <w:tcPr>
            <w:tcW w:w="4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Unamortized cloud computing implementation costs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9,690</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10,173</w:t>
            </w:r>
          </w:p>
        </w:tc>
      </w:tr>
      <w:tr>
        <w:trPr/>
        <w:tc>
          <w:tcPr>
            <w:tcW w:w="4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Other assets </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4,661</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5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3,900</w:t>
            </w:r>
          </w:p>
        </w:tc>
      </w:tr>
      <w:tr>
        <w:trPr/>
        <w:tc>
          <w:tcPr>
            <w:tcW w:w="4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14,351</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14,073</w:t>
            </w:r>
          </w:p>
        </w:tc>
      </w:tr>
      <w:tr>
        <w:trPr/>
        <w:tc>
          <w:tcPr>
            <w:tcW w:w="43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32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right"/>
              <w:rPr/>
            </w:pPr>
            <w:r>
              <w:rPr/>
              <w:t>​</w:t>
            </w:r>
          </w:p>
        </w:tc>
      </w:tr>
      <w:tr>
        <w:trPr/>
        <w:tc>
          <w:tcPr>
            <w:tcW w:w="439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Accrued expenses: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32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right"/>
              <w:rPr/>
            </w:pPr>
            <w:r>
              <w:rPr/>
              <w:t>​</w:t>
            </w:r>
          </w:p>
        </w:tc>
      </w:tr>
      <w:tr>
        <w:trPr/>
        <w:tc>
          <w:tcPr>
            <w:tcW w:w="4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general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16,710</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14,862</w:t>
            </w:r>
          </w:p>
        </w:tc>
      </w:tr>
      <w:tr>
        <w:trPr/>
        <w:tc>
          <w:tcPr>
            <w:tcW w:w="4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contract labor and professional fees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3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15,381</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15,152</w:t>
            </w:r>
          </w:p>
        </w:tc>
      </w:tr>
      <w:tr>
        <w:trPr/>
        <w:tc>
          <w:tcPr>
            <w:tcW w:w="4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income and other taxes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6,023</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5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5,155</w:t>
            </w:r>
          </w:p>
        </w:tc>
      </w:tr>
      <w:tr>
        <w:trPr/>
        <w:tc>
          <w:tcPr>
            <w:tcW w:w="4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expenses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38,114</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35,169</w:t>
            </w:r>
          </w:p>
        </w:tc>
      </w:tr>
      <w:tr>
        <w:trPr/>
        <w:tc>
          <w:tcPr>
            <w:tcW w:w="43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32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Cloud computing software implementation costs incurred in hosting arrangements are capitalized and included as a component of prepaid expenses and other current assets, or other assets, once available for their intended use. These costs are amortized using the straight-line method over their respective contract service periods, including periods covered by an option to extend, ranging from </w:t>
      </w:r>
      <w:r>
        <w:rPr>
          <w:rFonts w:ascii="Times New Roman;Times;serif" w:hAnsi="Times New Roman;Times;serif"/>
          <w:b w:val="false"/>
          <w:i w:val="false"/>
          <w:caps w:val="false"/>
          <w:smallCaps w:val="false"/>
          <w:sz w:val="20"/>
        </w:rPr>
        <w:t>two</w:t>
      </w:r>
      <w:r>
        <w:rPr>
          <w:rFonts w:ascii="Times New Roman;Times;serif" w:hAnsi="Times New Roman;Times;serif"/>
          <w:sz w:val="20"/>
        </w:rPr>
        <w:t xml:space="preserve"> to five years. Amortization expense for capitalized cloud computing implementation costs for the three months ended March 31, 2025 and 2024 were $1,006 and $994, respectively, and are included in general and administrative expense in the condensed consolidated statements of comprehensive income (loss).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646" w:type="dxa"/>
        <w:jc w:val="left"/>
        <w:tblInd w:w="0" w:type="dxa"/>
        <w:tblLayout w:type="fixed"/>
        <w:tblCellMar>
          <w:top w:w="0" w:type="dxa"/>
          <w:left w:w="0" w:type="dxa"/>
          <w:bottom w:w="0" w:type="dxa"/>
          <w:right w:w="0" w:type="dxa"/>
        </w:tblCellMar>
      </w:tblPr>
      <w:tblGrid>
        <w:gridCol w:w="6646"/>
      </w:tblGrid>
      <w:tr>
        <w:trPr/>
        <w:tc>
          <w:tcPr>
            <w:tcW w:w="6646" w:type="dxa"/>
            <w:tcBorders/>
            <w:vAlign w:val="center"/>
          </w:tcPr>
          <w:p>
            <w:pPr>
              <w:pStyle w:val="TableContents"/>
              <w:bidi w:val="0"/>
              <w:spacing w:before="0" w:after="283"/>
              <w:ind w:left="0" w:right="0" w:hanging="0"/>
              <w:jc w:val="left"/>
              <w:rPr>
                <w:sz w:val="4"/>
                <w:szCs w:val="4"/>
              </w:rPr>
            </w:pPr>
            <w:r>
              <w:rPr>
                <w:sz w:val="4"/>
                <w:szCs w:val="4"/>
              </w:rPr>
            </w:r>
          </w:p>
        </w:tc>
      </w:tr>
      <w:tr>
        <w:trPr/>
        <w:tc>
          <w:tcPr>
            <w:tcW w:w="66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Vertex, Inc. and Subsidiaries</w:t>
            </w:r>
          </w:p>
        </w:tc>
      </w:tr>
      <w:tr>
        <w:trPr/>
        <w:tc>
          <w:tcPr>
            <w:tcW w:w="66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Condensed Consolidated Financial Statements (unaudited) continued</w:t>
            </w:r>
          </w:p>
        </w:tc>
      </w:tr>
      <w:tr>
        <w:trPr/>
        <w:tc>
          <w:tcPr>
            <w:tcW w:w="66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(Amounts in thousands, except per share data) </w:t>
            </w:r>
          </w:p>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360" w:right="0" w:hanging="0"/>
        <w:jc w:val="left"/>
        <w:rPr>
          <w:rFonts w:ascii="Times New Roman;Times;serif" w:hAnsi="Times New Roman;Times;serif"/>
          <w:b/>
          <w:sz w:val="20"/>
        </w:rPr>
      </w:pPr>
      <w:r>
        <w:rPr>
          <w:rFonts w:ascii="Times New Roman;Times;serif" w:hAnsi="Times New Roman;Times;serif"/>
          <w:b/>
          <w:sz w:val="20"/>
        </w:rPr>
        <w:t xml:space="preserve">Recently Issued Accounting Pronouncements </w:t>
      </w:r>
    </w:p>
    <w:p>
      <w:pPr>
        <w:pStyle w:val="TextBody"/>
        <w:bidi w:val="0"/>
        <w:spacing w:before="0" w:after="0"/>
        <w:ind w:left="0" w:right="0" w:firstLine="360"/>
        <w:jc w:val="left"/>
        <w:rPr>
          <w:rFonts w:ascii="Times New Roman;Times;serif" w:hAnsi="Times New Roman;Times;serif"/>
          <w:i/>
          <w:sz w:val="20"/>
        </w:rPr>
      </w:pPr>
      <w:r>
        <w:rPr>
          <w:rFonts w:ascii="Times New Roman;Times;serif" w:hAnsi="Times New Roman;Times;serif"/>
          <w:i/>
          <w:sz w:val="20"/>
        </w:rPr>
        <w:t>Income Tax Disclosures</w:t>
      </w:r>
    </w:p>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December 2023, the Financial Accounting Standards Board (“FASB”) issued Accounting Standards Update (“ASU”) 2023-09, Income Taxes (Topic 740): Improvements to Income Tax Disclosures. ASU 2023-09 requires entities to disclose additional information in specified categories in the reconciliation of the effective tax rate to the statutory rate for federal, state, and foreign income taxes. ASU 2023-09 also requires greater detail about individual reconciling items in the rate reconciliation to the extent the impact of those items exceeds a specified threshold and eliminates certain existing disclosures. In addition to new disclosures associated with the rate reconciliation, the standard requires information pertaining to taxes paid (net of refunds received) to be disaggregated for federal, state, and foreign taxes and further disaggregated for specific jurisdictions to the extent the related amounts exceed a quantitative threshold. The standard will be effective for annual periods in fiscal years beginning after December 15, 2024. The guidance will be applied on a prospective basis with the option to apply the standard retrospectively, and early adoption is permitted. The Company is continuing to assess the potential impacts of the standard and does not expect this pronouncement to have a material effect on its condensed consolidated financial statements, other than the required changes to the income tax disclosures.</w:t>
      </w:r>
    </w:p>
    <w:p>
      <w:pPr>
        <w:pStyle w:val="TextBody"/>
        <w:bidi w:val="0"/>
        <w:spacing w:before="0" w:after="240"/>
        <w:ind w:left="0" w:right="0" w:firstLine="360"/>
        <w:jc w:val="both"/>
        <w:rPr>
          <w:rFonts w:ascii="Times New Roman;Times;serif" w:hAnsi="Times New Roman;Times;serif"/>
          <w:i/>
          <w:sz w:val="20"/>
        </w:rPr>
      </w:pPr>
      <w:r>
        <w:rPr>
          <w:rFonts w:ascii="Times New Roman;Times;serif" w:hAnsi="Times New Roman;Times;serif"/>
          <w:i/>
          <w:sz w:val="20"/>
        </w:rPr>
        <w:t xml:space="preserve">Disaggregation of Income Statement Expenses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November 4, 2024, the FASB issued ASU 2024-03, Income Statement - Reporting Comprehensive Income - Expense Disaggregation Disclosures (Subtopic 220-40): Disaggregation of Income Statement Expenses. Entities will be required to provide disaggregation of certain expense captions into specified categories in disclosures within the footnotes to the financial statements for both interim and annual reporting periods. The standard does not change the expense captions that an entity presents on the face of the income statement. The standard will be effective for annual periods beginning after December 15, 2026, and for interim periods for fiscal years beginning after December 15, 2027, with early adoption permitted. Entities are required to adopt the standard prospectively; however, entities are permitted to apply the amendments retrospectively to any or all prior periods presented in the financial statements. The Company is continuing to assess the potential impacts of the standard and does not expect this pronouncement to have a material effect on its financial statements, other than the required changes to the disclosures. </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770" w:name="Tc_zbPp6ekDfEWTnPLqU3VTEw_9_5"/>
      <w:bookmarkStart w:id="771" w:name="Tc_OIMhU3wCX0mNVJssLd_kUg_9_2"/>
      <w:bookmarkStart w:id="772" w:name="Tc_JKh1WPq_TUSvOxbrpkqRIg_9_0"/>
      <w:bookmarkStart w:id="773" w:name="Tc_9fZ4PxYRR0-zzvGzSiJkHQ_8_0"/>
      <w:bookmarkStart w:id="774" w:name="Tc_TwYnMY8Ae0qTb__GqZHhng_7_0"/>
      <w:bookmarkStart w:id="775" w:name="Tc_FLT3y_dQl0WjFOISpteJYg_6_0"/>
      <w:bookmarkStart w:id="776" w:name="Tc_0_CIgl7aHEiCUqvdd-pFSg_5_5"/>
      <w:bookmarkStart w:id="777" w:name="Tc_Nhi3KF7NPkWvK4x0GZevPw_5_2"/>
      <w:bookmarkStart w:id="778" w:name="Tc_vjamE3udOUWC0NfYZmcnmw_5_0"/>
      <w:bookmarkStart w:id="779" w:name="Tc_22CCJQxd10uv1-QiRWyV1w_4_0"/>
      <w:bookmarkStart w:id="780" w:name="Tc_Jw7jCLJKf0SiHaIB3X5hiQ_3_2"/>
      <w:bookmarkStart w:id="781" w:name="Tc_AHECssa8bEyU9eiKFUB23g_2_5"/>
      <w:bookmarkStart w:id="782" w:name="Tc_Bxy99esEe0KktAZP7C64Nw_2_3"/>
      <w:bookmarkStart w:id="783" w:name="Tc_z6hYQVuWYECTBBiQ1gc2ng_1_2"/>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r>
        <w:rPr>
          <w:rFonts w:ascii="Times New Roman;Times;serif" w:hAnsi="Times New Roman;Times;serif"/>
          <w:b/>
          <w:sz w:val="20"/>
        </w:rPr>
        <w:t>2.     REVENUE RECOGNITION</w:t>
      </w:r>
    </w:p>
    <w:p>
      <w:pPr>
        <w:pStyle w:val="TextBody"/>
        <w:bidi w:val="0"/>
        <w:spacing w:before="0" w:after="240"/>
        <w:ind w:left="0" w:right="0" w:firstLine="360"/>
        <w:jc w:val="left"/>
        <w:rPr>
          <w:rFonts w:ascii="Times New Roman;Times;serif" w:hAnsi="Times New Roman;Times;serif"/>
          <w:b w:val="false"/>
          <w:i/>
          <w:sz w:val="20"/>
        </w:rPr>
      </w:pPr>
      <w:r>
        <w:rPr>
          <w:rFonts w:ascii="Times New Roman;Times;serif" w:hAnsi="Times New Roman;Times;serif"/>
          <w:b w:val="false"/>
          <w:i/>
          <w:sz w:val="20"/>
        </w:rPr>
        <w:t>Disaggregation of revenue</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table reflects revenue by major source for the following periods:</w:t>
      </w:r>
    </w:p>
    <w:p>
      <w:pPr>
        <w:pStyle w:val="TextBody"/>
        <w:bidi w:val="0"/>
        <w:spacing w:before="0" w:after="0"/>
        <w:ind w:left="0" w:right="0" w:hanging="0"/>
        <w:jc w:val="left"/>
        <w:rPr/>
      </w:pPr>
      <w:r>
        <w:rPr/>
        <w:t>​</w:t>
      </w:r>
    </w:p>
    <w:tbl>
      <w:tblPr>
        <w:tblW w:w="4779" w:type="dxa"/>
        <w:jc w:val="left"/>
        <w:tblInd w:w="0" w:type="dxa"/>
        <w:tblLayout w:type="fixed"/>
        <w:tblCellMar>
          <w:top w:w="0" w:type="dxa"/>
          <w:left w:w="0" w:type="dxa"/>
          <w:bottom w:w="0" w:type="dxa"/>
          <w:right w:w="0" w:type="dxa"/>
        </w:tblCellMar>
      </w:tblPr>
      <w:tblGrid>
        <w:gridCol w:w="2011"/>
        <w:gridCol w:w="326"/>
        <w:gridCol w:w="212"/>
        <w:gridCol w:w="787"/>
        <w:gridCol w:w="328"/>
        <w:gridCol w:w="212"/>
        <w:gridCol w:w="903"/>
      </w:tblGrid>
      <w:tr>
        <w:trPr/>
        <w:tc>
          <w:tcPr>
            <w:tcW w:w="20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1276985" cy="175260"/>
                      <wp:effectExtent l="0" t="0" r="0" b="0"/>
                      <wp:wrapNone/>
                      <wp:docPr id="50" name="Frame50"/>
                      <a:graphic xmlns:a="http://schemas.openxmlformats.org/drawingml/2006/main">
                        <a:graphicData uri="http://schemas.microsoft.com/office/word/2010/wordprocessingShape">
                          <wps:wsp>
                            <wps:cNvSpPr txBox="1"/>
                            <wps:spPr>
                              <a:xfrm>
                                <a:off x="0" y="0"/>
                                <a:ext cx="1276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07010" cy="175260"/>
                      <wp:effectExtent l="0" t="0" r="0" b="0"/>
                      <wp:wrapNone/>
                      <wp:docPr id="51" name="Frame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134620" cy="175260"/>
                      <wp:effectExtent l="0" t="0" r="0" b="0"/>
                      <wp:wrapNone/>
                      <wp:docPr id="52" name="Frame52"/>
                      <a:graphic xmlns:a="http://schemas.openxmlformats.org/drawingml/2006/main">
                        <a:graphicData uri="http://schemas.microsoft.com/office/word/2010/wordprocessingShape">
                          <wps:wsp>
                            <wps:cNvSpPr txBox="1"/>
                            <wps:spPr>
                              <a:xfrm>
                                <a:off x="0" y="0"/>
                                <a:ext cx="134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499745" cy="175260"/>
                      <wp:effectExtent l="0" t="0" r="0" b="0"/>
                      <wp:wrapNone/>
                      <wp:docPr id="53" name="Frame53"/>
                      <a:graphic xmlns:a="http://schemas.openxmlformats.org/drawingml/2006/main">
                        <a:graphicData uri="http://schemas.microsoft.com/office/word/2010/wordprocessingShape">
                          <wps:wsp>
                            <wps:cNvSpPr txBox="1"/>
                            <wps:spPr>
                              <a:xfrm>
                                <a:off x="0" y="0"/>
                                <a:ext cx="4997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08280" cy="175260"/>
                      <wp:effectExtent l="0" t="0" r="0" b="0"/>
                      <wp:wrapNone/>
                      <wp:docPr id="54" name="Frame54"/>
                      <a:graphic xmlns:a="http://schemas.openxmlformats.org/drawingml/2006/main">
                        <a:graphicData uri="http://schemas.microsoft.com/office/word/2010/wordprocessingShape">
                          <wps:wsp>
                            <wps:cNvSpPr txBox="1"/>
                            <wps:spPr>
                              <a:xfrm>
                                <a:off x="0" y="0"/>
                                <a:ext cx="2082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134620" cy="175260"/>
                      <wp:effectExtent l="0" t="0" r="0" b="0"/>
                      <wp:wrapNone/>
                      <wp:docPr id="55" name="Frame55"/>
                      <a:graphic xmlns:a="http://schemas.openxmlformats.org/drawingml/2006/main">
                        <a:graphicData uri="http://schemas.microsoft.com/office/word/2010/wordprocessingShape">
                          <wps:wsp>
                            <wps:cNvSpPr txBox="1"/>
                            <wps:spPr>
                              <a:xfrm>
                                <a:off x="0" y="0"/>
                                <a:ext cx="134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573405" cy="175260"/>
                      <wp:effectExtent l="0" t="0" r="0" b="0"/>
                      <wp:wrapNone/>
                      <wp:docPr id="56" name="Frame56"/>
                      <a:graphic xmlns:a="http://schemas.openxmlformats.org/drawingml/2006/main">
                        <a:graphicData uri="http://schemas.microsoft.com/office/word/2010/wordprocessingShape">
                          <wps:wsp>
                            <wps:cNvSpPr txBox="1"/>
                            <wps:spPr>
                              <a:xfrm>
                                <a:off x="0" y="0"/>
                                <a:ext cx="573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42"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r>
      <w:tr>
        <w:trPr/>
        <w:tc>
          <w:tcPr>
            <w:tcW w:w="20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12"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78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8" w:type="dxa"/>
            <w:tcBorders/>
            <w:vAlign w:val="center"/>
          </w:tcPr>
          <w:p>
            <w:pPr>
              <w:pStyle w:val="TableContents"/>
              <w:bidi w:val="0"/>
              <w:spacing w:before="0" w:after="0"/>
              <w:ind w:left="0" w:right="0" w:hanging="0"/>
              <w:jc w:val="left"/>
              <w:rPr/>
            </w:pPr>
            <w:r>
              <w:rPr/>
              <w:t>    </w:t>
            </w:r>
          </w:p>
        </w:tc>
        <w:tc>
          <w:tcPr>
            <w:tcW w:w="11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779"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20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442"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r>
      <w:tr>
        <w:trPr/>
        <w:tc>
          <w:tcPr>
            <w:tcW w:w="201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Software subscriptions:</w:t>
            </w:r>
          </w:p>
        </w:tc>
        <w:tc>
          <w:tcPr>
            <w:tcW w:w="32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787" w:type="dxa"/>
            <w:tcBorders/>
            <w:shd w:fill="CCEEFF" w:val="clear"/>
            <w:vAlign w:val="center"/>
          </w:tcPr>
          <w:p>
            <w:pPr>
              <w:pStyle w:val="TableContents"/>
              <w:bidi w:val="0"/>
              <w:spacing w:before="0" w:after="0"/>
              <w:ind w:left="0" w:right="0" w:hanging="0"/>
              <w:jc w:val="right"/>
              <w:rPr/>
            </w:pPr>
            <w:r>
              <w:rPr/>
              <w:t>​</w:t>
            </w:r>
          </w:p>
        </w:tc>
        <w:tc>
          <w:tcPr>
            <w:tcW w:w="328"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903" w:type="dxa"/>
            <w:tcBorders/>
            <w:shd w:fill="CCEEFF" w:val="clear"/>
            <w:vAlign w:val="center"/>
          </w:tcPr>
          <w:p>
            <w:pPr>
              <w:pStyle w:val="TableContents"/>
              <w:bidi w:val="0"/>
              <w:spacing w:before="0" w:after="0"/>
              <w:ind w:left="0" w:right="0" w:hanging="0"/>
              <w:jc w:val="right"/>
              <w:rPr/>
            </w:pPr>
            <w:r>
              <w:rPr/>
              <w:t>  </w:t>
            </w:r>
          </w:p>
        </w:tc>
      </w:tr>
      <w:tr>
        <w:trPr/>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Software licenses</w:t>
            </w:r>
          </w:p>
        </w:tc>
        <w:tc>
          <w:tcPr>
            <w:tcW w:w="32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70,611</w:t>
            </w:r>
          </w:p>
        </w:tc>
        <w:tc>
          <w:tcPr>
            <w:tcW w:w="328"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69,994</w:t>
            </w:r>
          </w:p>
        </w:tc>
      </w:tr>
      <w:tr>
        <w:trPr/>
        <w:tc>
          <w:tcPr>
            <w:tcW w:w="20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Cloud subscriptions</w:t>
            </w:r>
          </w:p>
        </w:tc>
        <w:tc>
          <w:tcPr>
            <w:tcW w:w="326" w:type="dxa"/>
            <w:tcBorders/>
            <w:shd w:fill="CCEEFF" w:val="clear"/>
            <w:vAlign w:val="center"/>
          </w:tcPr>
          <w:p>
            <w:pPr>
              <w:pStyle w:val="TableContents"/>
              <w:bidi w:val="0"/>
              <w:spacing w:before="0" w:after="0"/>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80,150</w:t>
            </w:r>
          </w:p>
        </w:tc>
        <w:tc>
          <w:tcPr>
            <w:tcW w:w="328" w:type="dxa"/>
            <w:tcBorders/>
            <w:shd w:fill="CCEEFF" w:val="clear"/>
            <w:vAlign w:val="center"/>
          </w:tcPr>
          <w:p>
            <w:pPr>
              <w:pStyle w:val="TableContents"/>
              <w:bidi w:val="0"/>
              <w:spacing w:before="0" w:after="0"/>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61,836</w:t>
            </w:r>
          </w:p>
        </w:tc>
      </w:tr>
      <w:tr>
        <w:trPr/>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Software subscriptions</w:t>
            </w:r>
          </w:p>
        </w:tc>
        <w:tc>
          <w:tcPr>
            <w:tcW w:w="32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7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150,761</w:t>
            </w:r>
          </w:p>
        </w:tc>
        <w:tc>
          <w:tcPr>
            <w:tcW w:w="328"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9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131,830</w:t>
            </w:r>
          </w:p>
        </w:tc>
      </w:tr>
      <w:tr>
        <w:trPr/>
        <w:tc>
          <w:tcPr>
            <w:tcW w:w="20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Services</w:t>
            </w:r>
          </w:p>
        </w:tc>
        <w:tc>
          <w:tcPr>
            <w:tcW w:w="326" w:type="dxa"/>
            <w:tcBorders/>
            <w:shd w:fill="CCEEFF" w:val="clear"/>
            <w:vAlign w:val="center"/>
          </w:tcPr>
          <w:p>
            <w:pPr>
              <w:pStyle w:val="TableContents"/>
              <w:bidi w:val="0"/>
              <w:spacing w:before="0" w:after="0"/>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26,301</w:t>
            </w:r>
          </w:p>
        </w:tc>
        <w:tc>
          <w:tcPr>
            <w:tcW w:w="328" w:type="dxa"/>
            <w:tcBorders/>
            <w:shd w:fill="CCEEFF" w:val="clear"/>
            <w:vAlign w:val="center"/>
          </w:tcPr>
          <w:p>
            <w:pPr>
              <w:pStyle w:val="TableContents"/>
              <w:bidi w:val="0"/>
              <w:spacing w:before="0" w:after="0"/>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24,951</w:t>
            </w:r>
          </w:p>
        </w:tc>
      </w:tr>
      <w:tr>
        <w:trPr/>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326" w:type="dxa"/>
            <w:tcBorders/>
            <w:vAlign w:val="center"/>
          </w:tcPr>
          <w:p>
            <w:pPr>
              <w:pStyle w:val="TableContents"/>
              <w:bidi w:val="0"/>
              <w:spacing w:before="0" w:after="0"/>
              <w:ind w:left="0" w:right="0" w:hanging="0"/>
              <w:jc w:val="left"/>
              <w:rPr/>
            </w:pPr>
            <w:r>
              <w:rPr/>
              <w:t>​</w:t>
            </w:r>
          </w:p>
        </w:tc>
        <w:tc>
          <w:tcPr>
            <w:tcW w:w="21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177,062</w:t>
            </w:r>
          </w:p>
        </w:tc>
        <w:tc>
          <w:tcPr>
            <w:tcW w:w="328" w:type="dxa"/>
            <w:tcBorders/>
            <w:vAlign w:val="center"/>
          </w:tcPr>
          <w:p>
            <w:pPr>
              <w:pStyle w:val="TableContents"/>
              <w:bidi w:val="0"/>
              <w:spacing w:before="0" w:after="0"/>
              <w:ind w:left="0" w:right="0" w:hanging="0"/>
              <w:jc w:val="left"/>
              <w:rPr/>
            </w:pPr>
            <w:r>
              <w:rPr/>
              <w:t>​</w:t>
            </w:r>
          </w:p>
        </w:tc>
        <w:tc>
          <w:tcPr>
            <w:tcW w:w="21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3"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156,781</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646" w:type="dxa"/>
        <w:jc w:val="left"/>
        <w:tblInd w:w="0" w:type="dxa"/>
        <w:tblLayout w:type="fixed"/>
        <w:tblCellMar>
          <w:top w:w="0" w:type="dxa"/>
          <w:left w:w="0" w:type="dxa"/>
          <w:bottom w:w="0" w:type="dxa"/>
          <w:right w:w="0" w:type="dxa"/>
        </w:tblCellMar>
      </w:tblPr>
      <w:tblGrid>
        <w:gridCol w:w="6646"/>
      </w:tblGrid>
      <w:tr>
        <w:trPr/>
        <w:tc>
          <w:tcPr>
            <w:tcW w:w="6646" w:type="dxa"/>
            <w:tcBorders/>
            <w:vAlign w:val="center"/>
          </w:tcPr>
          <w:p>
            <w:pPr>
              <w:pStyle w:val="TableContents"/>
              <w:bidi w:val="0"/>
              <w:spacing w:before="0" w:after="283"/>
              <w:ind w:left="0" w:right="0" w:hanging="0"/>
              <w:jc w:val="left"/>
              <w:rPr>
                <w:sz w:val="4"/>
                <w:szCs w:val="4"/>
              </w:rPr>
            </w:pPr>
            <w:r>
              <w:rPr>
                <w:sz w:val="4"/>
                <w:szCs w:val="4"/>
              </w:rPr>
            </w:r>
          </w:p>
        </w:tc>
      </w:tr>
      <w:tr>
        <w:trPr/>
        <w:tc>
          <w:tcPr>
            <w:tcW w:w="66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Vertex, Inc. and Subsidiaries</w:t>
            </w:r>
          </w:p>
        </w:tc>
      </w:tr>
      <w:tr>
        <w:trPr/>
        <w:tc>
          <w:tcPr>
            <w:tcW w:w="66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Condensed Consolidated Financial Statements (unaudited) continued</w:t>
            </w:r>
          </w:p>
        </w:tc>
      </w:tr>
      <w:tr>
        <w:trPr/>
        <w:tc>
          <w:tcPr>
            <w:tcW w:w="66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(Amounts in thousands, except per share data) </w:t>
            </w:r>
          </w:p>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i/>
          <w:sz w:val="20"/>
        </w:rPr>
      </w:pPr>
      <w:bookmarkStart w:id="784" w:name="Tc_B2wDi0bUikWrnpT-LIqWbA_11_11"/>
      <w:bookmarkStart w:id="785" w:name="Tc_PUw9irXyzk6MWzi2meKSvw_11_5"/>
      <w:bookmarkStart w:id="786" w:name="Tc_IIUIFHxiWEutUIRmP0ofwA_11_0"/>
      <w:bookmarkStart w:id="787" w:name="Tc_N6oYuabmPEmNTx9nBDmw0g_10_0"/>
      <w:bookmarkStart w:id="788" w:name="Tc_byflyJaPqU6VVUs8_WTwkQ_9_0"/>
      <w:bookmarkStart w:id="789" w:name="Tc_Akm7uPMkiEuj0zXBnvPedQ_8_0"/>
      <w:bookmarkStart w:id="790" w:name="Tc_Lr_Mo96L1kulu6aPYUHHaA_7_11"/>
      <w:bookmarkStart w:id="791" w:name="Tc_q1SO5t5ExkCf46rlDFpwTg_7_5"/>
      <w:bookmarkStart w:id="792" w:name="Tc_f-_VQSm9z0ioz4A9vaLeYQ_7_0"/>
      <w:bookmarkStart w:id="793" w:name="Tc_9RvcEoL56kqyP1rvbClgYA_6_0"/>
      <w:bookmarkStart w:id="794" w:name="Tc_fV7SxpB4t06igbVyfuxL5g_5_8"/>
      <w:bookmarkStart w:id="795" w:name="Tc_tU8yeTyFZkuL6saUBXRKVw_5_2"/>
      <w:bookmarkStart w:id="796" w:name="Tc_mEF1UFddO0-WAnoOqhnLDg_5_0"/>
      <w:bookmarkStart w:id="797" w:name="Tc_rYfJtaOYiUqC7Ryodb3TSA_4_2"/>
      <w:bookmarkStart w:id="798" w:name="Tc_oKkUzg1FTUygUWbJWEUBdQ_3_12"/>
      <w:bookmarkStart w:id="799" w:name="Tc_RZyc1If7mUSAKasIzO4i9A_3_8"/>
      <w:bookmarkStart w:id="800" w:name="Tc_5NBFrvN-g0-gOjFUNaSIQg_3_6"/>
      <w:bookmarkStart w:id="801" w:name="Tc_1NDyZM9cmkyfht_GPHE9YA_3_2"/>
      <w:bookmarkStart w:id="802" w:name="Tc_UMWcpkgQKkuYRip1ZeHNlg_2_8"/>
      <w:bookmarkStart w:id="803" w:name="Tc_YfM-pzN8fUG0q4PcrDAX5g_2_2"/>
      <w:bookmarkStart w:id="804" w:name="Tc_iTzSWHbnMUKCL3YLI8xwHQ_1_2"/>
      <w:bookmarkStart w:id="805" w:name="Tc_VBE-j9yWS0KgiE14I59s6Q_5_5"/>
      <w:bookmarkStart w:id="806" w:name="Tc_aGEvltW65k-qrIriTfbFWw_5_2"/>
      <w:bookmarkStart w:id="807" w:name="Tc_oApFjq4V1E-eNIX9tSzxxw_5_0"/>
      <w:bookmarkStart w:id="808" w:name="Tc_S_SWu--0-UKEwRGVeQj_RQ_4_0"/>
      <w:bookmarkStart w:id="809" w:name="Tc_7aFjOPlbY0SFFlLdUEjKIg_3_5"/>
      <w:bookmarkStart w:id="810" w:name="Tc_FqPpKvpj-0eBABjFr29caA_3_2"/>
      <w:bookmarkStart w:id="811" w:name="Tc_VLMIGe8o302oOM9MfwQYGw_3_0"/>
      <w:bookmarkStart w:id="812" w:name="Tc_smVlSAjVUEqZesmInAPJJg_2_2"/>
      <w:bookmarkStart w:id="813" w:name="Tc_u-m1c-zm50qbYjJMef2MIg_1_5"/>
      <w:bookmarkStart w:id="814" w:name="Tc_ZIJVZknewEy9O-gunVw0Ig_1_2"/>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r>
        <w:rPr>
          <w:rFonts w:ascii="Times New Roman;Times;serif" w:hAnsi="Times New Roman;Times;serif"/>
          <w:i/>
          <w:sz w:val="20"/>
        </w:rPr>
        <w:t>Contract balances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Timing of revenue recognition may differ from the timing of invoicing customers. A receivable is recorded in the condensed consolidated balance sheets when customers are billed related to revenue to be collected and recognized for subscription agreements as there is an unconditional right to invoice and receive payment in the future related to these subscriptions. A receivable and related revenue may also be recorded in advance of billings to the extent services have been performed and the Company has a right under the contract to bill and collect for such performance. Subscription-based customers are generally invoiced annually at the beginning of each annual subscription period. Accounts receivable is presented net of an allowance for potentially uncollectible accounts and estimated cancellations of software license and cloud-based subscriptions (the “allowance”) of $17,566 and $16,838 at March 31, 2025 and December 31, 2024, respectively. The allowance for potentially uncollectible accounts represents future expected credit losses over the life of the receivables based on past experience, current information and forward-looking economic considerations.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beginning and ending balances of accounts receivable, net of allowance, are as follows:</w:t>
      </w:r>
    </w:p>
    <w:p>
      <w:pPr>
        <w:pStyle w:val="TextBody"/>
        <w:bidi w:val="0"/>
        <w:spacing w:before="0" w:after="0"/>
        <w:ind w:left="0" w:right="0" w:hanging="0"/>
        <w:jc w:val="left"/>
        <w:rPr/>
      </w:pPr>
      <w:r>
        <w:rPr/>
        <w:t>​</w:t>
      </w:r>
    </w:p>
    <w:tbl>
      <w:tblPr>
        <w:tblW w:w="9088" w:type="dxa"/>
        <w:jc w:val="left"/>
        <w:tblInd w:w="0" w:type="dxa"/>
        <w:tblLayout w:type="fixed"/>
        <w:tblCellMar>
          <w:top w:w="0" w:type="dxa"/>
          <w:left w:w="0" w:type="dxa"/>
          <w:bottom w:w="0" w:type="dxa"/>
          <w:right w:w="0" w:type="dxa"/>
        </w:tblCellMar>
      </w:tblPr>
      <w:tblGrid>
        <w:gridCol w:w="2491"/>
        <w:gridCol w:w="109"/>
        <w:gridCol w:w="701"/>
        <w:gridCol w:w="2599"/>
        <w:gridCol w:w="109"/>
        <w:gridCol w:w="621"/>
        <w:gridCol w:w="2304"/>
        <w:gridCol w:w="154"/>
      </w:tblGrid>
      <w:tr>
        <w:trPr/>
        <w:tc>
          <w:tcPr>
            <w:tcW w:w="24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1581785" cy="175260"/>
                      <wp:effectExtent l="0" t="0" r="0" b="0"/>
                      <wp:wrapNone/>
                      <wp:docPr id="57" name="Frame57"/>
                      <a:graphic xmlns:a="http://schemas.openxmlformats.org/drawingml/2006/main">
                        <a:graphicData uri="http://schemas.microsoft.com/office/word/2010/wordprocessingShape">
                          <wps:wsp>
                            <wps:cNvSpPr txBox="1"/>
                            <wps:spPr>
                              <a:xfrm>
                                <a:off x="0" y="0"/>
                                <a:ext cx="1581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9215" cy="175260"/>
                      <wp:effectExtent l="0" t="0" r="0" b="0"/>
                      <wp:wrapNone/>
                      <wp:docPr id="58" name="Frame5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445135" cy="175260"/>
                      <wp:effectExtent l="0" t="0" r="0" b="0"/>
                      <wp:wrapNone/>
                      <wp:docPr id="59" name="Frame59"/>
                      <a:graphic xmlns:a="http://schemas.openxmlformats.org/drawingml/2006/main">
                        <a:graphicData uri="http://schemas.microsoft.com/office/word/2010/wordprocessingShape">
                          <wps:wsp>
                            <wps:cNvSpPr txBox="1"/>
                            <wps:spPr>
                              <a:xfrm>
                                <a:off x="0" y="0"/>
                                <a:ext cx="445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1650365" cy="175260"/>
                      <wp:effectExtent l="0" t="0" r="0" b="0"/>
                      <wp:wrapNone/>
                      <wp:docPr id="60" name="Frame60"/>
                      <a:graphic xmlns:a="http://schemas.openxmlformats.org/drawingml/2006/main">
                        <a:graphicData uri="http://schemas.microsoft.com/office/word/2010/wordprocessingShape">
                          <wps:wsp>
                            <wps:cNvSpPr txBox="1"/>
                            <wps:spPr>
                              <a:xfrm>
                                <a:off x="0" y="0"/>
                                <a:ext cx="16503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9215" cy="175260"/>
                      <wp:effectExtent l="0" t="0" r="0" b="0"/>
                      <wp:wrapNone/>
                      <wp:docPr id="61" name="Frame6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394335" cy="175260"/>
                      <wp:effectExtent l="0" t="0" r="0" b="0"/>
                      <wp:wrapNone/>
                      <wp:docPr id="62" name="Frame62"/>
                      <a:graphic xmlns:a="http://schemas.openxmlformats.org/drawingml/2006/main">
                        <a:graphicData uri="http://schemas.microsoft.com/office/word/2010/wordprocessingShape">
                          <wps:wsp>
                            <wps:cNvSpPr txBox="1"/>
                            <wps:spPr>
                              <a:xfrm>
                                <a:off x="0" y="0"/>
                                <a:ext cx="394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1463040" cy="175260"/>
                      <wp:effectExtent l="0" t="0" r="0" b="0"/>
                      <wp:wrapNone/>
                      <wp:docPr id="63" name="Frame63"/>
                      <a:graphic xmlns:a="http://schemas.openxmlformats.org/drawingml/2006/main">
                        <a:graphicData uri="http://schemas.microsoft.com/office/word/2010/wordprocessingShape">
                          <wps:wsp>
                            <wps:cNvSpPr txBox="1"/>
                            <wps:spPr>
                              <a:xfrm>
                                <a:off x="0" y="0"/>
                                <a:ext cx="14630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97790" cy="175260"/>
                      <wp:effectExtent l="0" t="0" r="0" b="0"/>
                      <wp:wrapNone/>
                      <wp:docPr id="64" name="Frame64"/>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4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330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three months ended March 31, 2025</w:t>
            </w:r>
          </w:p>
        </w:tc>
        <w:tc>
          <w:tcPr>
            <w:tcW w:w="109" w:type="dxa"/>
            <w:tcBorders/>
            <w:vAlign w:val="center"/>
          </w:tcPr>
          <w:p>
            <w:pPr>
              <w:pStyle w:val="TableContents"/>
              <w:bidi w:val="0"/>
              <w:spacing w:before="0" w:after="1"/>
              <w:ind w:left="0" w:right="0" w:hanging="0"/>
              <w:jc w:val="center"/>
              <w:rPr/>
            </w:pPr>
            <w:r>
              <w:rPr/>
              <w:t>​</w:t>
            </w:r>
          </w:p>
        </w:tc>
        <w:tc>
          <w:tcPr>
            <w:tcW w:w="292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 ended December 31, 2024</w:t>
            </w:r>
          </w:p>
        </w:tc>
        <w:tc>
          <w:tcPr>
            <w:tcW w:w="154" w:type="dxa"/>
            <w:tcBorders/>
            <w:vAlign w:val="center"/>
          </w:tcPr>
          <w:p>
            <w:pPr>
              <w:pStyle w:val="TableContents"/>
              <w:bidi w:val="0"/>
              <w:spacing w:before="0" w:after="1"/>
              <w:ind w:left="0" w:right="0" w:hanging="0"/>
              <w:jc w:val="center"/>
              <w:rPr/>
            </w:pPr>
            <w:r>
              <w:rPr/>
              <w:t>​</w:t>
            </w:r>
          </w:p>
        </w:tc>
      </w:tr>
      <w:tr>
        <w:trPr/>
        <w:tc>
          <w:tcPr>
            <w:tcW w:w="24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330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109" w:type="dxa"/>
            <w:tcBorders/>
            <w:vAlign w:val="center"/>
          </w:tcPr>
          <w:p>
            <w:pPr>
              <w:pStyle w:val="TableContents"/>
              <w:bidi w:val="0"/>
              <w:spacing w:before="0" w:after="1"/>
              <w:ind w:left="0" w:right="0" w:hanging="0"/>
              <w:jc w:val="center"/>
              <w:rPr/>
            </w:pPr>
            <w:r>
              <w:rPr/>
              <w:t>​</w:t>
            </w:r>
          </w:p>
        </w:tc>
        <w:tc>
          <w:tcPr>
            <w:tcW w:w="621" w:type="dxa"/>
            <w:tcBorders/>
            <w:vAlign w:val="center"/>
          </w:tcPr>
          <w:p>
            <w:pPr>
              <w:pStyle w:val="TableContents"/>
              <w:bidi w:val="0"/>
              <w:spacing w:before="0" w:after="1"/>
              <w:ind w:left="0" w:right="0" w:hanging="0"/>
              <w:jc w:val="center"/>
              <w:rPr/>
            </w:pPr>
            <w:r>
              <w:rPr/>
              <w:t>​</w:t>
            </w:r>
          </w:p>
        </w:tc>
        <w:tc>
          <w:tcPr>
            <w:tcW w:w="2304" w:type="dxa"/>
            <w:tcBorders/>
            <w:vAlign w:val="center"/>
          </w:tcPr>
          <w:p>
            <w:pPr>
              <w:pStyle w:val="TableContents"/>
              <w:bidi w:val="0"/>
              <w:spacing w:before="0" w:after="1"/>
              <w:ind w:left="0" w:right="0" w:hanging="0"/>
              <w:jc w:val="center"/>
              <w:rPr/>
            </w:pPr>
            <w:r>
              <w:rPr/>
              <w:t>​</w:t>
            </w:r>
          </w:p>
        </w:tc>
        <w:tc>
          <w:tcPr>
            <w:tcW w:w="154" w:type="dxa"/>
            <w:tcBorders/>
            <w:vAlign w:val="center"/>
          </w:tcPr>
          <w:p>
            <w:pPr>
              <w:pStyle w:val="TableContents"/>
              <w:bidi w:val="0"/>
              <w:spacing w:before="0" w:after="1"/>
              <w:ind w:left="0" w:right="0" w:hanging="0"/>
              <w:jc w:val="center"/>
              <w:rPr/>
            </w:pPr>
            <w:r>
              <w:rPr/>
              <w:t>​</w:t>
            </w:r>
          </w:p>
        </w:tc>
      </w:tr>
      <w:tr>
        <w:trPr/>
        <w:tc>
          <w:tcPr>
            <w:tcW w:w="249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Balance, beginning of period</w:t>
            </w:r>
          </w:p>
        </w:tc>
        <w:tc>
          <w:tcPr>
            <w:tcW w:w="109" w:type="dxa"/>
            <w:tcBorders/>
            <w:shd w:fill="CCEEFF" w:val="clear"/>
            <w:vAlign w:val="center"/>
          </w:tcPr>
          <w:p>
            <w:pPr>
              <w:pStyle w:val="TableContents"/>
              <w:bidi w:val="0"/>
              <w:spacing w:before="0" w:after="1"/>
              <w:ind w:left="0" w:right="0" w:hanging="0"/>
              <w:jc w:val="left"/>
              <w:rPr/>
            </w:pPr>
            <w:r>
              <w:rPr/>
              <w:t>​</w:t>
            </w:r>
          </w:p>
        </w:tc>
        <w:tc>
          <w:tcPr>
            <w:tcW w:w="7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59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164,432</w:t>
            </w:r>
          </w:p>
        </w:tc>
        <w:tc>
          <w:tcPr>
            <w:tcW w:w="109" w:type="dxa"/>
            <w:tcBorders/>
            <w:shd w:fill="CCEEFF" w:val="clear"/>
            <w:vAlign w:val="center"/>
          </w:tcPr>
          <w:p>
            <w:pPr>
              <w:pStyle w:val="TableContents"/>
              <w:bidi w:val="0"/>
              <w:spacing w:before="0" w:after="1"/>
              <w:ind w:left="0" w:right="0" w:hanging="0"/>
              <w:jc w:val="left"/>
              <w:rPr/>
            </w:pPr>
            <w:r>
              <w:rPr/>
              <w:t>​</w:t>
            </w:r>
          </w:p>
        </w:tc>
        <w:tc>
          <w:tcPr>
            <w:tcW w:w="6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3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141,752</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249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Balance, end of period</w:t>
            </w:r>
          </w:p>
        </w:tc>
        <w:tc>
          <w:tcPr>
            <w:tcW w:w="109" w:type="dxa"/>
            <w:tcBorders/>
            <w:vAlign w:val="center"/>
          </w:tcPr>
          <w:p>
            <w:pPr>
              <w:pStyle w:val="TableContents"/>
              <w:bidi w:val="0"/>
              <w:spacing w:before="0" w:after="1"/>
              <w:ind w:left="0" w:right="0" w:hanging="0"/>
              <w:jc w:val="left"/>
              <w:rPr/>
            </w:pPr>
            <w:r>
              <w:rPr/>
              <w:t>​</w:t>
            </w:r>
          </w:p>
        </w:tc>
        <w:tc>
          <w:tcPr>
            <w:tcW w:w="70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259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152,338</w:t>
            </w:r>
          </w:p>
        </w:tc>
        <w:tc>
          <w:tcPr>
            <w:tcW w:w="109" w:type="dxa"/>
            <w:tcBorders/>
            <w:vAlign w:val="center"/>
          </w:tcPr>
          <w:p>
            <w:pPr>
              <w:pStyle w:val="TableContents"/>
              <w:bidi w:val="0"/>
              <w:spacing w:before="0" w:after="1"/>
              <w:ind w:left="0" w:right="0" w:hanging="0"/>
              <w:jc w:val="left"/>
              <w:rPr/>
            </w:pPr>
            <w:r>
              <w:rPr/>
              <w:t>​</w:t>
            </w:r>
          </w:p>
        </w:tc>
        <w:tc>
          <w:tcPr>
            <w:tcW w:w="62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230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164,432</w:t>
            </w:r>
          </w:p>
        </w:tc>
        <w:tc>
          <w:tcPr>
            <w:tcW w:w="154" w:type="dxa"/>
            <w:tcBorders/>
            <w:vAlign w:val="center"/>
          </w:tcPr>
          <w:p>
            <w:pPr>
              <w:pStyle w:val="TableContents"/>
              <w:bidi w:val="0"/>
              <w:spacing w:before="0" w:after="1"/>
              <w:ind w:left="0" w:right="0" w:hanging="0"/>
              <w:jc w:val="left"/>
              <w:rPr/>
            </w:pPr>
            <w:r>
              <w:rPr/>
              <w:t>​</w:t>
            </w:r>
          </w:p>
        </w:tc>
      </w:tr>
      <w:tr>
        <w:trPr/>
        <w:tc>
          <w:tcPr>
            <w:tcW w:w="24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Increase (decrease)</w:t>
            </w:r>
          </w:p>
        </w:tc>
        <w:tc>
          <w:tcPr>
            <w:tcW w:w="109" w:type="dxa"/>
            <w:tcBorders/>
            <w:shd w:fill="CCEEFF" w:val="clear"/>
            <w:vAlign w:val="center"/>
          </w:tcPr>
          <w:p>
            <w:pPr>
              <w:pStyle w:val="TableContents"/>
              <w:bidi w:val="0"/>
              <w:spacing w:before="0" w:after="1"/>
              <w:ind w:left="0" w:right="0" w:hanging="0"/>
              <w:jc w:val="left"/>
              <w:rPr/>
            </w:pPr>
            <w:r>
              <w:rPr/>
              <w:t>​</w:t>
            </w:r>
          </w:p>
        </w:tc>
        <w:tc>
          <w:tcPr>
            <w:tcW w:w="70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59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(12,094)</w:t>
            </w:r>
          </w:p>
        </w:tc>
        <w:tc>
          <w:tcPr>
            <w:tcW w:w="109" w:type="dxa"/>
            <w:tcBorders/>
            <w:shd w:fill="CCEEFF" w:val="clear"/>
            <w:vAlign w:val="center"/>
          </w:tcPr>
          <w:p>
            <w:pPr>
              <w:pStyle w:val="TableContents"/>
              <w:bidi w:val="0"/>
              <w:spacing w:before="0" w:after="1"/>
              <w:ind w:left="0" w:right="0" w:hanging="0"/>
              <w:jc w:val="left"/>
              <w:rPr/>
            </w:pPr>
            <w:r>
              <w:rPr/>
              <w:t>​</w:t>
            </w:r>
          </w:p>
        </w:tc>
        <w:tc>
          <w:tcPr>
            <w:tcW w:w="62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30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22,680</w:t>
            </w:r>
          </w:p>
        </w:tc>
        <w:tc>
          <w:tcPr>
            <w:tcW w:w="154"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 contract liability is recorded as deferred revenue on the condensed consolidated balance sheets when customers are billed in advance of performance obligations being satisfied, and revenue is recognized after invoicing ratably over the subscription period. Deferred revenue is included net of a related deferred allowance for subscription cancellations (the “deferred allowance”) of $12,547 and $12,028 at March 31, 2025 and December 31, 2024, respectively. The deferred allowance represents the portion of the allowance for subscription cancellations associated with deferred revenue.</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beginning and ending balances of and changes to the allowance and the deferred allowance are as follows:</w:t>
      </w:r>
    </w:p>
    <w:p>
      <w:pPr>
        <w:pStyle w:val="TextBody"/>
        <w:bidi w:val="0"/>
        <w:spacing w:before="0" w:after="240"/>
        <w:ind w:left="0" w:right="0" w:firstLine="360"/>
        <w:jc w:val="both"/>
        <w:rPr/>
      </w:pPr>
      <w:r>
        <w:rPr/>
        <w:t>​</w:t>
      </w:r>
    </w:p>
    <w:tbl>
      <w:tblPr>
        <w:tblW w:w="8806" w:type="dxa"/>
        <w:jc w:val="left"/>
        <w:tblInd w:w="0" w:type="dxa"/>
        <w:tblLayout w:type="fixed"/>
        <w:tblCellMar>
          <w:top w:w="0" w:type="dxa"/>
          <w:left w:w="0" w:type="dxa"/>
          <w:bottom w:w="0" w:type="dxa"/>
          <w:right w:w="0" w:type="dxa"/>
        </w:tblCellMar>
      </w:tblPr>
      <w:tblGrid>
        <w:gridCol w:w="3316"/>
        <w:gridCol w:w="109"/>
        <w:gridCol w:w="211"/>
        <w:gridCol w:w="796"/>
        <w:gridCol w:w="326"/>
        <w:gridCol w:w="211"/>
        <w:gridCol w:w="961"/>
        <w:gridCol w:w="326"/>
        <w:gridCol w:w="211"/>
        <w:gridCol w:w="796"/>
        <w:gridCol w:w="326"/>
        <w:gridCol w:w="211"/>
        <w:gridCol w:w="1006"/>
      </w:tblGrid>
      <w:tr>
        <w:trPr/>
        <w:tc>
          <w:tcPr>
            <w:tcW w:w="3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105660" cy="175260"/>
                      <wp:effectExtent l="0" t="0" r="0" b="0"/>
                      <wp:wrapNone/>
                      <wp:docPr id="65" name="Frame65"/>
                      <a:graphic xmlns:a="http://schemas.openxmlformats.org/drawingml/2006/main">
                        <a:graphicData uri="http://schemas.microsoft.com/office/word/2010/wordprocessingShape">
                          <wps:wsp>
                            <wps:cNvSpPr txBox="1"/>
                            <wps:spPr>
                              <a:xfrm>
                                <a:off x="0" y="0"/>
                                <a:ext cx="2105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9215" cy="175260"/>
                      <wp:effectExtent l="0" t="0" r="0" b="0"/>
                      <wp:wrapNone/>
                      <wp:docPr id="66" name="Frame6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133985" cy="175260"/>
                      <wp:effectExtent l="0" t="0" r="0" b="0"/>
                      <wp:wrapNone/>
                      <wp:docPr id="67" name="Frame6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505460" cy="175260"/>
                      <wp:effectExtent l="0" t="0" r="0" b="0"/>
                      <wp:wrapNone/>
                      <wp:docPr id="68" name="Frame68"/>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07010" cy="175260"/>
                      <wp:effectExtent l="0" t="0" r="0" b="0"/>
                      <wp:wrapNone/>
                      <wp:docPr id="69" name="Frame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133985" cy="175260"/>
                      <wp:effectExtent l="0" t="0" r="0" b="0"/>
                      <wp:wrapNone/>
                      <wp:docPr id="70" name="Frame7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10235" cy="175260"/>
                      <wp:effectExtent l="0" t="0" r="0" b="0"/>
                      <wp:wrapNone/>
                      <wp:docPr id="71" name="Frame71"/>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207010" cy="175260"/>
                      <wp:effectExtent l="0" t="0" r="0" b="0"/>
                      <wp:wrapNone/>
                      <wp:docPr id="72" name="Frame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133985" cy="175260"/>
                      <wp:effectExtent l="0" t="0" r="0" b="0"/>
                      <wp:wrapNone/>
                      <wp:docPr id="73" name="Frame7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505460" cy="175260"/>
                      <wp:effectExtent l="0" t="0" r="0" b="0"/>
                      <wp:wrapNone/>
                      <wp:docPr id="74" name="Frame74"/>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07010" cy="175260"/>
                      <wp:effectExtent l="0" t="0" r="0" b="0"/>
                      <wp:wrapNone/>
                      <wp:docPr id="75" name="Frame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133985" cy="175260"/>
                      <wp:effectExtent l="0" t="0" r="0" b="0"/>
                      <wp:wrapNone/>
                      <wp:docPr id="76" name="Frame7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38810" cy="175260"/>
                      <wp:effectExtent l="0" t="0" r="0" b="0"/>
                      <wp:wrapNone/>
                      <wp:docPr id="77" name="Frame77"/>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381"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three months ended March 31, </w:t>
            </w:r>
          </w:p>
        </w:tc>
      </w:tr>
      <w:tr>
        <w:trPr/>
        <w:tc>
          <w:tcPr>
            <w:tcW w:w="33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50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center"/>
              <w:rPr/>
            </w:pPr>
            <w:r>
              <w:rPr/>
              <w:t>​</w:t>
            </w:r>
          </w:p>
        </w:tc>
        <w:tc>
          <w:tcPr>
            <w:tcW w:w="255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3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Balance</w:t>
            </w:r>
          </w:p>
        </w:tc>
        <w:tc>
          <w:tcPr>
            <w:tcW w:w="32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Change</w:t>
            </w:r>
          </w:p>
        </w:tc>
        <w:tc>
          <w:tcPr>
            <w:tcW w:w="326" w:type="dxa"/>
            <w:tcBorders/>
            <w:vAlign w:val="center"/>
          </w:tcPr>
          <w:p>
            <w:pPr>
              <w:pStyle w:val="TableContents"/>
              <w:bidi w:val="0"/>
              <w:spacing w:before="0" w:after="0"/>
              <w:ind w:left="0" w:right="0" w:hanging="0"/>
              <w:jc w:val="center"/>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Balance</w:t>
            </w:r>
          </w:p>
        </w:tc>
        <w:tc>
          <w:tcPr>
            <w:tcW w:w="32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Change</w:t>
            </w:r>
          </w:p>
        </w:tc>
      </w:tr>
      <w:tr>
        <w:trPr/>
        <w:tc>
          <w:tcPr>
            <w:tcW w:w="8806"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33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381"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r>
      <w:tr>
        <w:trPr/>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Allowance balance, January 1, </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(16,838)</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(16,272)</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pPr>
            <w:r>
              <w:rPr/>
              <w:t>  </w:t>
            </w:r>
          </w:p>
        </w:tc>
      </w:tr>
      <w:tr>
        <w:trPr/>
        <w:tc>
          <w:tcPr>
            <w:tcW w:w="3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Allowance balance, March 31, </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(17,566)</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(20,241)</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pPr>
            <w:r>
              <w:rPr/>
              <w:t>  </w:t>
            </w:r>
          </w:p>
        </w:tc>
      </w:tr>
      <w:tr>
        <w:trPr/>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allowance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3,969</w:t>
            </w:r>
          </w:p>
        </w:tc>
      </w:tr>
      <w:tr>
        <w:trPr/>
        <w:tc>
          <w:tcPr>
            <w:tcW w:w="3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Deferred allowance balance, January 1, </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12,028</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11,741</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left"/>
              <w:rPr/>
            </w:pPr>
            <w:r>
              <w:rPr/>
              <w:t>  </w:t>
            </w:r>
          </w:p>
        </w:tc>
      </w:tr>
      <w:tr>
        <w:trPr/>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allowance balance, March 31, </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12,547</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lef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14,634</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left"/>
              <w:rPr/>
            </w:pPr>
            <w:r>
              <w:rPr/>
              <w:t>  </w:t>
            </w:r>
          </w:p>
        </w:tc>
      </w:tr>
      <w:tr>
        <w:trPr/>
        <w:tc>
          <w:tcPr>
            <w:tcW w:w="3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deferred allowance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(2,893)</w:t>
            </w:r>
          </w:p>
        </w:tc>
      </w:tr>
      <w:tr>
        <w:trPr/>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amount charged to revenues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1,076</w:t>
            </w:r>
          </w:p>
        </w:tc>
      </w:tr>
      <w:tr>
        <w:trPr/>
        <w:tc>
          <w:tcPr>
            <w:tcW w:w="33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portion of deferred revenue expected to be recognized in revenue beyond one year is included in deferred revenue, net of current portion in the condensed consolidated balance sheets. The following table provides information about the balances of and changes to deferred revenue for the following periods: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646" w:type="dxa"/>
        <w:jc w:val="left"/>
        <w:tblInd w:w="0" w:type="dxa"/>
        <w:tblLayout w:type="fixed"/>
        <w:tblCellMar>
          <w:top w:w="0" w:type="dxa"/>
          <w:left w:w="0" w:type="dxa"/>
          <w:bottom w:w="0" w:type="dxa"/>
          <w:right w:w="0" w:type="dxa"/>
        </w:tblCellMar>
      </w:tblPr>
      <w:tblGrid>
        <w:gridCol w:w="6646"/>
      </w:tblGrid>
      <w:tr>
        <w:trPr/>
        <w:tc>
          <w:tcPr>
            <w:tcW w:w="6646" w:type="dxa"/>
            <w:tcBorders/>
            <w:vAlign w:val="center"/>
          </w:tcPr>
          <w:p>
            <w:pPr>
              <w:pStyle w:val="TableContents"/>
              <w:bidi w:val="0"/>
              <w:spacing w:before="0" w:after="283"/>
              <w:ind w:left="0" w:right="0" w:hanging="0"/>
              <w:jc w:val="left"/>
              <w:rPr>
                <w:sz w:val="4"/>
                <w:szCs w:val="4"/>
              </w:rPr>
            </w:pPr>
            <w:r>
              <w:rPr>
                <w:sz w:val="4"/>
                <w:szCs w:val="4"/>
              </w:rPr>
            </w:r>
          </w:p>
        </w:tc>
      </w:tr>
      <w:tr>
        <w:trPr/>
        <w:tc>
          <w:tcPr>
            <w:tcW w:w="66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Vertex, Inc. and Subsidiaries</w:t>
            </w:r>
          </w:p>
        </w:tc>
      </w:tr>
      <w:tr>
        <w:trPr/>
        <w:tc>
          <w:tcPr>
            <w:tcW w:w="66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Condensed Consolidated Financial Statements (unaudited) continued</w:t>
            </w:r>
          </w:p>
        </w:tc>
      </w:tr>
      <w:tr>
        <w:trPr/>
        <w:tc>
          <w:tcPr>
            <w:tcW w:w="66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(Amounts in thousands, except per share data) </w:t>
            </w:r>
          </w:p>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Normal"/>
        <w:bidi w:val="0"/>
        <w:spacing w:before="0" w:after="0"/>
        <w:ind w:left="0" w:right="0" w:hanging="0"/>
        <w:jc w:val="left"/>
        <w:rPr>
          <w:sz w:val="4"/>
          <w:szCs w:val="4"/>
        </w:rPr>
      </w:pPr>
      <w:r>
        <w:rPr>
          <w:sz w:val="4"/>
          <w:szCs w:val="4"/>
        </w:rPr>
      </w:r>
      <w:bookmarkStart w:id="815" w:name="Tc_7euWrk2RAUaWlFG_h_f2uA_8_5"/>
      <w:bookmarkStart w:id="816" w:name="Tc_evFFKhnnoUG2ztSDSJ9kzQ_8_2"/>
      <w:bookmarkStart w:id="817" w:name="Tc_IL4N6SHn4kuSalgGpQqUtA_8_0"/>
      <w:bookmarkStart w:id="818" w:name="Tc_K0h1yYAotESySHtKtzGqvQ_7_0"/>
      <w:bookmarkStart w:id="819" w:name="Tc_vM_Lg6NuB0aBKmsyfX49Fw_6_0"/>
      <w:bookmarkStart w:id="820" w:name="Tc_pos418IL_UWPHC0ELeI5Lw_5_5"/>
      <w:bookmarkStart w:id="821" w:name="Tc_eM0nLMezuEa_afw_DnzFZw_5_2"/>
      <w:bookmarkStart w:id="822" w:name="Tc_k3uA8vFIDEuGRSrR6G_mtQ_5_0"/>
      <w:bookmarkStart w:id="823" w:name="Tc_dUhqp2Pvy06nwoBn6hGWFA_4_0"/>
      <w:bookmarkStart w:id="824" w:name="Tc_BDE4CBLGUkCu-1HRKKknsg_3_2"/>
      <w:bookmarkStart w:id="825" w:name="Tc__0lJxoEEPESFuEegjv2lQQ_2_5"/>
      <w:bookmarkStart w:id="826" w:name="Tc_wIJ9p8Td-0GGdoiQPQDm1g_2_2"/>
      <w:bookmarkStart w:id="827" w:name="Tc_7ibcZnSgXE-WcJ26xbGuOw_1_2"/>
      <w:bookmarkStart w:id="828" w:name="Tc_i5WjXF-PgEmvyN0hOmB4QQ_8_5"/>
      <w:bookmarkStart w:id="829" w:name="Tc_l62Q9O-IGkeoxuv6ZHb7PA_8_2"/>
      <w:bookmarkStart w:id="830" w:name="Tc_gSKNv74WO0iEAdXqECGbWw_8_0"/>
      <w:bookmarkStart w:id="831" w:name="Tc_H0qV0UuygkGxSJVrEZne0Q_7_0"/>
      <w:bookmarkStart w:id="832" w:name="Tc_Rsf6L0W5BUKB0Hit7ryruw_6_0"/>
      <w:bookmarkStart w:id="833" w:name="Tc_2EQtlphdl0qJpcesuBLksg_5_5"/>
      <w:bookmarkStart w:id="834" w:name="Tc_dRuJCFIpYEOx_6Z1hUr6PA_5_2"/>
      <w:bookmarkStart w:id="835" w:name="Tc_dnXXpgfA20G0SwRVMuYhag_5_0"/>
      <w:bookmarkStart w:id="836" w:name="Tc__zdZxRjkX0KPmP0np2M_Dw_4_0"/>
      <w:bookmarkStart w:id="837" w:name="Tc_NpHjIdRu5kGpOmri5a734Q_3_2"/>
      <w:bookmarkStart w:id="838" w:name="Tc_eEC3s-bgKkOmwC4mVb3cSA_2_5"/>
      <w:bookmarkStart w:id="839" w:name="Tc_ZYFo4jjHLUaOWnwrcwIHDw_2_2"/>
      <w:bookmarkStart w:id="840" w:name="Tc_eo8qIrq_s0S372Uuvi6Qaw_1_2"/>
      <w:bookmarkStart w:id="841" w:name="_322db969_9af5_4826_a799_82c46ebd4e82"/>
      <w:bookmarkStart w:id="842" w:name="Tc_7euWrk2RAUaWlFG_h_f2uA_8_5"/>
      <w:bookmarkStart w:id="843" w:name="Tc_evFFKhnnoUG2ztSDSJ9kzQ_8_2"/>
      <w:bookmarkStart w:id="844" w:name="Tc_IL4N6SHn4kuSalgGpQqUtA_8_0"/>
      <w:bookmarkStart w:id="845" w:name="Tc_K0h1yYAotESySHtKtzGqvQ_7_0"/>
      <w:bookmarkStart w:id="846" w:name="Tc_vM_Lg6NuB0aBKmsyfX49Fw_6_0"/>
      <w:bookmarkStart w:id="847" w:name="Tc_pos418IL_UWPHC0ELeI5Lw_5_5"/>
      <w:bookmarkStart w:id="848" w:name="Tc_eM0nLMezuEa_afw_DnzFZw_5_2"/>
      <w:bookmarkStart w:id="849" w:name="Tc_k3uA8vFIDEuGRSrR6G_mtQ_5_0"/>
      <w:bookmarkStart w:id="850" w:name="Tc_dUhqp2Pvy06nwoBn6hGWFA_4_0"/>
      <w:bookmarkStart w:id="851" w:name="Tc_BDE4CBLGUkCu-1HRKKknsg_3_2"/>
      <w:bookmarkStart w:id="852" w:name="Tc__0lJxoEEPESFuEegjv2lQQ_2_5"/>
      <w:bookmarkStart w:id="853" w:name="Tc_wIJ9p8Td-0GGdoiQPQDm1g_2_2"/>
      <w:bookmarkStart w:id="854" w:name="Tc_7ibcZnSgXE-WcJ26xbGuOw_1_2"/>
      <w:bookmarkStart w:id="855" w:name="Tc_i5WjXF-PgEmvyN0hOmB4QQ_8_5"/>
      <w:bookmarkStart w:id="856" w:name="Tc_l62Q9O-IGkeoxuv6ZHb7PA_8_2"/>
      <w:bookmarkStart w:id="857" w:name="Tc_gSKNv74WO0iEAdXqECGbWw_8_0"/>
      <w:bookmarkStart w:id="858" w:name="Tc_H0qV0UuygkGxSJVrEZne0Q_7_0"/>
      <w:bookmarkStart w:id="859" w:name="Tc_Rsf6L0W5BUKB0Hit7ryruw_6_0"/>
      <w:bookmarkStart w:id="860" w:name="Tc_2EQtlphdl0qJpcesuBLksg_5_5"/>
      <w:bookmarkStart w:id="861" w:name="Tc_dRuJCFIpYEOx_6Z1hUr6PA_5_2"/>
      <w:bookmarkStart w:id="862" w:name="Tc_dnXXpgfA20G0SwRVMuYhag_5_0"/>
      <w:bookmarkStart w:id="863" w:name="Tc__zdZxRjkX0KPmP0np2M_Dw_4_0"/>
      <w:bookmarkStart w:id="864" w:name="Tc_NpHjIdRu5kGpOmri5a734Q_3_2"/>
      <w:bookmarkStart w:id="865" w:name="Tc_eEC3s-bgKkOmwC4mVb3cSA_2_5"/>
      <w:bookmarkStart w:id="866" w:name="Tc_ZYFo4jjHLUaOWnwrcwIHDw_2_2"/>
      <w:bookmarkStart w:id="867" w:name="Tc_eo8qIrq_s0S372Uuvi6Qaw_1_2"/>
      <w:bookmarkStart w:id="868" w:name="_322db969_9af5_4826_a799_82c46ebd4e82"/>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p>
    <w:tbl>
      <w:tblPr>
        <w:tblW w:w="6127" w:type="dxa"/>
        <w:jc w:val="left"/>
        <w:tblInd w:w="0" w:type="dxa"/>
        <w:tblLayout w:type="fixed"/>
        <w:tblCellMar>
          <w:top w:w="0" w:type="dxa"/>
          <w:left w:w="0" w:type="dxa"/>
          <w:bottom w:w="0" w:type="dxa"/>
          <w:right w:w="0" w:type="dxa"/>
        </w:tblCellMar>
      </w:tblPr>
      <w:tblGrid>
        <w:gridCol w:w="2491"/>
        <w:gridCol w:w="326"/>
        <w:gridCol w:w="243"/>
        <w:gridCol w:w="1039"/>
        <w:gridCol w:w="375"/>
        <w:gridCol w:w="243"/>
        <w:gridCol w:w="1039"/>
        <w:gridCol w:w="371"/>
      </w:tblGrid>
      <w:tr>
        <w:trPr/>
        <w:tc>
          <w:tcPr>
            <w:tcW w:w="24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1581785" cy="175260"/>
                      <wp:effectExtent l="0" t="0" r="0" b="0"/>
                      <wp:wrapNone/>
                      <wp:docPr id="78" name="Frame78"/>
                      <a:graphic xmlns:a="http://schemas.openxmlformats.org/drawingml/2006/main">
                        <a:graphicData uri="http://schemas.microsoft.com/office/word/2010/wordprocessingShape">
                          <wps:wsp>
                            <wps:cNvSpPr txBox="1"/>
                            <wps:spPr>
                              <a:xfrm>
                                <a:off x="0" y="0"/>
                                <a:ext cx="1581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07010" cy="175260"/>
                      <wp:effectExtent l="0" t="0" r="0" b="0"/>
                      <wp:wrapNone/>
                      <wp:docPr id="79" name="Frame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154305" cy="175260"/>
                      <wp:effectExtent l="0" t="0" r="0" b="0"/>
                      <wp:wrapNone/>
                      <wp:docPr id="80" name="Frame80"/>
                      <a:graphic xmlns:a="http://schemas.openxmlformats.org/drawingml/2006/main">
                        <a:graphicData uri="http://schemas.microsoft.com/office/word/2010/wordprocessingShape">
                          <wps:wsp>
                            <wps:cNvSpPr txBox="1"/>
                            <wps:spPr>
                              <a:xfrm>
                                <a:off x="0" y="0"/>
                                <a:ext cx="1543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59765" cy="175260"/>
                      <wp:effectExtent l="0" t="0" r="0" b="0"/>
                      <wp:wrapNone/>
                      <wp:docPr id="81" name="Frame81"/>
                      <a:graphic xmlns:a="http://schemas.openxmlformats.org/drawingml/2006/main">
                        <a:graphicData uri="http://schemas.microsoft.com/office/word/2010/wordprocessingShape">
                          <wps:wsp>
                            <wps:cNvSpPr txBox="1"/>
                            <wps:spPr>
                              <a:xfrm>
                                <a:off x="0" y="0"/>
                                <a:ext cx="659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238125" cy="175260"/>
                      <wp:effectExtent l="0" t="0" r="0" b="0"/>
                      <wp:wrapNone/>
                      <wp:docPr id="82" name="Frame82"/>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154305" cy="175260"/>
                      <wp:effectExtent l="0" t="0" r="0" b="0"/>
                      <wp:wrapNone/>
                      <wp:docPr id="83" name="Frame83"/>
                      <a:graphic xmlns:a="http://schemas.openxmlformats.org/drawingml/2006/main">
                        <a:graphicData uri="http://schemas.microsoft.com/office/word/2010/wordprocessingShape">
                          <wps:wsp>
                            <wps:cNvSpPr txBox="1"/>
                            <wps:spPr>
                              <a:xfrm>
                                <a:off x="0" y="0"/>
                                <a:ext cx="1543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59765" cy="175260"/>
                      <wp:effectExtent l="0" t="0" r="0" b="0"/>
                      <wp:wrapNone/>
                      <wp:docPr id="84" name="Frame84"/>
                      <a:graphic xmlns:a="http://schemas.openxmlformats.org/drawingml/2006/main">
                        <a:graphicData uri="http://schemas.microsoft.com/office/word/2010/wordprocessingShape">
                          <wps:wsp>
                            <wps:cNvSpPr txBox="1"/>
                            <wps:spPr>
                              <a:xfrm>
                                <a:off x="0" y="0"/>
                                <a:ext cx="659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35585" cy="175260"/>
                      <wp:effectExtent l="0" t="0" r="0" b="0"/>
                      <wp:wrapNone/>
                      <wp:docPr id="85" name="Frame85"/>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93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three months ended March 31, </w:t>
            </w:r>
          </w:p>
        </w:tc>
        <w:tc>
          <w:tcPr>
            <w:tcW w:w="371" w:type="dxa"/>
            <w:tcBorders/>
            <w:vAlign w:val="center"/>
          </w:tcPr>
          <w:p>
            <w:pPr>
              <w:pStyle w:val="TableContents"/>
              <w:bidi w:val="0"/>
              <w:spacing w:before="0" w:after="0"/>
              <w:ind w:left="0" w:right="0" w:hanging="0"/>
              <w:jc w:val="left"/>
              <w:rPr/>
            </w:pPr>
            <w:r>
              <w:rPr/>
              <w:t>​</w:t>
            </w:r>
          </w:p>
        </w:tc>
      </w:tr>
      <w:tr>
        <w:trPr/>
        <w:tc>
          <w:tcPr>
            <w:tcW w:w="24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75" w:type="dxa"/>
            <w:tcBorders/>
            <w:vAlign w:val="center"/>
          </w:tcPr>
          <w:p>
            <w:pPr>
              <w:pStyle w:val="TableContents"/>
              <w:bidi w:val="0"/>
              <w:spacing w:before="0" w:after="0"/>
              <w:ind w:left="0" w:right="0" w:hanging="0"/>
              <w:jc w:val="left"/>
              <w:rPr/>
            </w:pPr>
            <w:r>
              <w:rPr/>
              <w:t>​</w:t>
            </w:r>
          </w:p>
        </w:tc>
        <w:tc>
          <w:tcPr>
            <w:tcW w:w="12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71" w:type="dxa"/>
            <w:tcBorders/>
            <w:vAlign w:val="center"/>
          </w:tcPr>
          <w:p>
            <w:pPr>
              <w:pStyle w:val="TableContents"/>
              <w:bidi w:val="0"/>
              <w:spacing w:before="0" w:after="0"/>
              <w:ind w:left="0" w:right="0" w:hanging="0"/>
              <w:jc w:val="left"/>
              <w:rPr/>
            </w:pPr>
            <w:r>
              <w:rPr/>
              <w:t>​</w:t>
            </w:r>
          </w:p>
        </w:tc>
      </w:tr>
      <w:tr>
        <w:trPr/>
        <w:tc>
          <w:tcPr>
            <w:tcW w:w="6127" w:type="dxa"/>
            <w:gridSpan w:val="8"/>
            <w:tcBorders/>
            <w:vAlign w:val="center"/>
          </w:tcPr>
          <w:p>
            <w:pPr>
              <w:pStyle w:val="TableContents"/>
              <w:bidi w:val="0"/>
              <w:spacing w:before="0" w:after="283"/>
              <w:ind w:left="0" w:right="0" w:hanging="0"/>
              <w:jc w:val="left"/>
              <w:rPr>
                <w:sz w:val="4"/>
                <w:szCs w:val="4"/>
              </w:rPr>
            </w:pPr>
            <w:r>
              <w:rPr>
                <w:sz w:val="4"/>
                <w:szCs w:val="4"/>
              </w:rPr>
            </w:r>
          </w:p>
        </w:tc>
      </w:tr>
      <w:tr>
        <w:trPr/>
        <w:tc>
          <w:tcPr>
            <w:tcW w:w="24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939"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71" w:type="dxa"/>
            <w:tcBorders/>
            <w:vAlign w:val="center"/>
          </w:tcPr>
          <w:p>
            <w:pPr>
              <w:pStyle w:val="TableContents"/>
              <w:bidi w:val="0"/>
              <w:spacing w:before="0" w:after="0"/>
              <w:ind w:left="0" w:right="0" w:hanging="0"/>
              <w:jc w:val="left"/>
              <w:rPr/>
            </w:pPr>
            <w:r>
              <w:rPr/>
              <w:t>​</w:t>
            </w:r>
          </w:p>
        </w:tc>
      </w:tr>
      <w:tr>
        <w:trPr/>
        <w:tc>
          <w:tcPr>
            <w:tcW w:w="249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Changes to deferred revenue:</w:t>
            </w:r>
          </w:p>
        </w:tc>
        <w:tc>
          <w:tcPr>
            <w:tcW w:w="326" w:type="dxa"/>
            <w:tcBorders/>
            <w:shd w:fill="CCEEFF" w:val="clear"/>
            <w:vAlign w:val="center"/>
          </w:tcPr>
          <w:p>
            <w:pPr>
              <w:pStyle w:val="TableContents"/>
              <w:bidi w:val="0"/>
              <w:spacing w:before="0" w:after="0"/>
              <w:ind w:left="0" w:right="0" w:hanging="0"/>
              <w:jc w:val="left"/>
              <w:rPr/>
            </w:pPr>
            <w:r>
              <w:rPr/>
              <w:t>    </w:t>
            </w:r>
          </w:p>
        </w:tc>
        <w:tc>
          <w:tcPr>
            <w:tcW w:w="243" w:type="dxa"/>
            <w:tcBorders/>
            <w:shd w:fill="CCEEFF" w:val="clear"/>
            <w:vAlign w:val="center"/>
          </w:tcPr>
          <w:p>
            <w:pPr>
              <w:pStyle w:val="TableContents"/>
              <w:bidi w:val="0"/>
              <w:spacing w:before="0" w:after="0"/>
              <w:ind w:left="0" w:right="0" w:hanging="0"/>
              <w:jc w:val="left"/>
              <w:rPr/>
            </w:pPr>
            <w:r>
              <w:rPr/>
              <w:t>​</w:t>
            </w:r>
          </w:p>
        </w:tc>
        <w:tc>
          <w:tcPr>
            <w:tcW w:w="1039" w:type="dxa"/>
            <w:tcBorders/>
            <w:shd w:fill="CCEEFF" w:val="clear"/>
            <w:vAlign w:val="center"/>
          </w:tcPr>
          <w:p>
            <w:pPr>
              <w:pStyle w:val="TableContents"/>
              <w:bidi w:val="0"/>
              <w:spacing w:before="0" w:after="0"/>
              <w:ind w:left="0" w:right="0" w:hanging="0"/>
              <w:jc w:val="right"/>
              <w:rPr/>
            </w:pPr>
            <w:r>
              <w:rPr/>
              <w:t>  </w:t>
            </w:r>
          </w:p>
        </w:tc>
        <w:tc>
          <w:tcPr>
            <w:tcW w:w="375" w:type="dxa"/>
            <w:tcBorders/>
            <w:shd w:fill="CCEEFF" w:val="clear"/>
            <w:vAlign w:val="center"/>
          </w:tcPr>
          <w:p>
            <w:pPr>
              <w:pStyle w:val="TableContents"/>
              <w:bidi w:val="0"/>
              <w:spacing w:before="0" w:after="0"/>
              <w:ind w:left="0" w:right="0" w:hanging="0"/>
              <w:jc w:val="left"/>
              <w:rPr/>
            </w:pPr>
            <w:r>
              <w:rPr/>
              <w:t>    </w:t>
            </w:r>
          </w:p>
        </w:tc>
        <w:tc>
          <w:tcPr>
            <w:tcW w:w="243" w:type="dxa"/>
            <w:tcBorders/>
            <w:shd w:fill="CCEEFF" w:val="clear"/>
            <w:vAlign w:val="center"/>
          </w:tcPr>
          <w:p>
            <w:pPr>
              <w:pStyle w:val="TableContents"/>
              <w:bidi w:val="0"/>
              <w:spacing w:before="0" w:after="0"/>
              <w:ind w:left="0" w:right="0" w:hanging="0"/>
              <w:jc w:val="left"/>
              <w:rPr/>
            </w:pPr>
            <w:r>
              <w:rPr/>
              <w:t>​</w:t>
            </w:r>
          </w:p>
        </w:tc>
        <w:tc>
          <w:tcPr>
            <w:tcW w:w="1039" w:type="dxa"/>
            <w:tcBorders/>
            <w:shd w:fill="CCEEFF" w:val="clear"/>
            <w:vAlign w:val="center"/>
          </w:tcPr>
          <w:p>
            <w:pPr>
              <w:pStyle w:val="TableContents"/>
              <w:bidi w:val="0"/>
              <w:spacing w:before="0" w:after="0"/>
              <w:ind w:left="0" w:right="0" w:hanging="0"/>
              <w:jc w:val="right"/>
              <w:rPr/>
            </w:pPr>
            <w:r>
              <w:rPr/>
              <w:t>  </w:t>
            </w:r>
          </w:p>
        </w:tc>
        <w:tc>
          <w:tcPr>
            <w:tcW w:w="371" w:type="dxa"/>
            <w:tcBorders/>
            <w:shd w:fill="CCEEFF" w:val="clear"/>
            <w:vAlign w:val="center"/>
          </w:tcPr>
          <w:p>
            <w:pPr>
              <w:pStyle w:val="TableContents"/>
              <w:bidi w:val="0"/>
              <w:spacing w:before="0" w:after="0"/>
              <w:ind w:left="0" w:right="0" w:hanging="0"/>
              <w:jc w:val="left"/>
              <w:rPr/>
            </w:pPr>
            <w:r>
              <w:rPr/>
              <w:t>    </w:t>
            </w:r>
          </w:p>
        </w:tc>
      </w:tr>
      <w:tr>
        <w:trPr/>
        <w:tc>
          <w:tcPr>
            <w:tcW w:w="24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Beginning balance</w:t>
            </w:r>
          </w:p>
        </w:tc>
        <w:tc>
          <w:tcPr>
            <w:tcW w:w="326"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344,166</w:t>
            </w:r>
          </w:p>
        </w:tc>
        <w:tc>
          <w:tcPr>
            <w:tcW w:w="375"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292,720</w:t>
            </w:r>
          </w:p>
        </w:tc>
        <w:tc>
          <w:tcPr>
            <w:tcW w:w="371" w:type="dxa"/>
            <w:tcBorders/>
            <w:vAlign w:val="center"/>
          </w:tcPr>
          <w:p>
            <w:pPr>
              <w:pStyle w:val="TableContents"/>
              <w:bidi w:val="0"/>
              <w:spacing w:before="0" w:after="0"/>
              <w:ind w:left="0" w:right="0" w:hanging="0"/>
              <w:jc w:val="left"/>
              <w:rPr/>
            </w:pPr>
            <w:r>
              <w:rPr/>
              <w:t>​</w:t>
            </w:r>
          </w:p>
        </w:tc>
      </w:tr>
      <w:tr>
        <w:trPr/>
        <w:tc>
          <w:tcPr>
            <w:tcW w:w="24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amounts deferred</w:t>
            </w:r>
          </w:p>
        </w:tc>
        <w:tc>
          <w:tcPr>
            <w:tcW w:w="326"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pPr>
            <w:r>
              <w:rPr/>
              <w:t> </w:t>
            </w:r>
          </w:p>
        </w:tc>
        <w:tc>
          <w:tcPr>
            <w:tcW w:w="10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187,793</w:t>
            </w:r>
          </w:p>
        </w:tc>
        <w:tc>
          <w:tcPr>
            <w:tcW w:w="375"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pPr>
            <w:r>
              <w:rPr/>
              <w:t> </w:t>
            </w:r>
          </w:p>
        </w:tc>
        <w:tc>
          <w:tcPr>
            <w:tcW w:w="10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165,052</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24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Revenues recognized</w:t>
            </w:r>
          </w:p>
        </w:tc>
        <w:tc>
          <w:tcPr>
            <w:tcW w:w="326" w:type="dxa"/>
            <w:tcBorders/>
            <w:vAlign w:val="center"/>
          </w:tcPr>
          <w:p>
            <w:pPr>
              <w:pStyle w:val="TableContents"/>
              <w:bidi w:val="0"/>
              <w:spacing w:before="0" w:after="0"/>
              <w:ind w:left="0" w:right="0" w:hanging="0"/>
              <w:jc w:val="left"/>
              <w:rPr/>
            </w:pPr>
            <w:r>
              <w:rPr/>
              <w:t>​</w:t>
            </w:r>
          </w:p>
        </w:tc>
        <w:tc>
          <w:tcPr>
            <w:tcW w:w="24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(177,062)</w:t>
            </w:r>
          </w:p>
        </w:tc>
        <w:tc>
          <w:tcPr>
            <w:tcW w:w="375" w:type="dxa"/>
            <w:tcBorders/>
            <w:vAlign w:val="center"/>
          </w:tcPr>
          <w:p>
            <w:pPr>
              <w:pStyle w:val="TableContents"/>
              <w:bidi w:val="0"/>
              <w:spacing w:before="0" w:after="0"/>
              <w:ind w:left="0" w:right="0" w:hanging="0"/>
              <w:jc w:val="left"/>
              <w:rPr/>
            </w:pPr>
            <w:r>
              <w:rPr/>
              <w:t>​</w:t>
            </w:r>
          </w:p>
        </w:tc>
        <w:tc>
          <w:tcPr>
            <w:tcW w:w="24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(156,781)</w:t>
            </w:r>
          </w:p>
        </w:tc>
        <w:tc>
          <w:tcPr>
            <w:tcW w:w="371" w:type="dxa"/>
            <w:tcBorders/>
            <w:vAlign w:val="center"/>
          </w:tcPr>
          <w:p>
            <w:pPr>
              <w:pStyle w:val="TableContents"/>
              <w:bidi w:val="0"/>
              <w:spacing w:before="0" w:after="0"/>
              <w:ind w:left="0" w:right="0" w:hanging="0"/>
              <w:jc w:val="left"/>
              <w:rPr/>
            </w:pPr>
            <w:r>
              <w:rPr/>
              <w:t>​</w:t>
            </w:r>
          </w:p>
        </w:tc>
      </w:tr>
      <w:tr>
        <w:trPr/>
        <w:tc>
          <w:tcPr>
            <w:tcW w:w="24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Ending balance</w:t>
            </w:r>
          </w:p>
        </w:tc>
        <w:tc>
          <w:tcPr>
            <w:tcW w:w="326" w:type="dxa"/>
            <w:tcBorders/>
            <w:shd w:fill="CCEEFF" w:val="clear"/>
            <w:vAlign w:val="center"/>
          </w:tcPr>
          <w:p>
            <w:pPr>
              <w:pStyle w:val="TableContents"/>
              <w:bidi w:val="0"/>
              <w:spacing w:before="0" w:after="0"/>
              <w:ind w:left="0" w:right="0" w:hanging="0"/>
              <w:jc w:val="left"/>
              <w:rPr/>
            </w:pPr>
            <w:r>
              <w:rPr/>
              <w:t>​</w:t>
            </w:r>
          </w:p>
        </w:tc>
        <w:tc>
          <w:tcPr>
            <w:tcW w:w="24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354,897</w:t>
            </w:r>
          </w:p>
        </w:tc>
        <w:tc>
          <w:tcPr>
            <w:tcW w:w="375" w:type="dxa"/>
            <w:tcBorders/>
            <w:shd w:fill="CCEEFF" w:val="clear"/>
            <w:vAlign w:val="center"/>
          </w:tcPr>
          <w:p>
            <w:pPr>
              <w:pStyle w:val="TableContents"/>
              <w:bidi w:val="0"/>
              <w:spacing w:before="0" w:after="0"/>
              <w:ind w:left="0" w:right="0" w:hanging="0"/>
              <w:jc w:val="left"/>
              <w:rPr/>
            </w:pPr>
            <w:r>
              <w:rPr/>
              <w:t>​</w:t>
            </w:r>
          </w:p>
        </w:tc>
        <w:tc>
          <w:tcPr>
            <w:tcW w:w="24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300,991</w:t>
            </w:r>
          </w:p>
        </w:tc>
        <w:tc>
          <w:tcPr>
            <w:tcW w:w="37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360" w:right="0" w:hanging="0"/>
        <w:jc w:val="left"/>
        <w:rPr>
          <w:rFonts w:ascii="Times New Roman;Times;serif" w:hAnsi="Times New Roman;Times;serif"/>
          <w:b w:val="false"/>
          <w:i/>
          <w:sz w:val="20"/>
        </w:rPr>
      </w:pPr>
      <w:r>
        <w:rPr>
          <w:rFonts w:ascii="Times New Roman;Times;serif" w:hAnsi="Times New Roman;Times;serif"/>
          <w:b w:val="false"/>
          <w:i/>
          <w:sz w:val="20"/>
        </w:rPr>
        <w:t>Contract costs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Deferred sales commissions earned by the Company’s sales force and certain sales incentive programs and vendor referral agreements are considered incremental and recoverable costs of obtaining a contract with a customer. An asset is recognized for these incremental contract costs and included as deferred commissions in the condensed consolidated balance sheets. These contract costs are amortized on a straight-line basis over a period consistent with the transfer of the associated product and services to the customer, which is generally </w:t>
      </w:r>
      <w:r>
        <w:rPr>
          <w:rFonts w:ascii="Times New Roman;Times;serif" w:hAnsi="Times New Roman;Times;serif"/>
          <w:b w:val="false"/>
          <w:i w:val="false"/>
          <w:caps w:val="false"/>
          <w:smallCaps w:val="false"/>
          <w:sz w:val="20"/>
        </w:rPr>
        <w:t>one</w:t>
      </w:r>
      <w:r>
        <w:rPr>
          <w:rFonts w:ascii="Times New Roman;Times;serif" w:hAnsi="Times New Roman;Times;serif"/>
          <w:sz w:val="20"/>
        </w:rPr>
        <w:t xml:space="preserve"> to three years. Amortization of these costs are included in selling and marketing expense in the condensed consolidated statements of comprehensive income (loss).  The Company periodically reviews these contract assets to determine whether events or changes in circumstances have occurred that could impact the period of benefit of these assets. There were no impairment losses recorded for the periods presented.</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changes to contract cost balances as of and for the following periods are:</w:t>
      </w:r>
      <w:r>
        <w:rPr>
          <w:rFonts w:ascii="Times New Roman;Times;serif" w:hAnsi="Times New Roman;Times;serif"/>
          <w:color w:val="FF0000"/>
          <w:sz w:val="20"/>
        </w:rPr>
        <w:t xml:space="preserve"> </w:t>
      </w:r>
    </w:p>
    <w:p>
      <w:pPr>
        <w:pStyle w:val="TextBody"/>
        <w:bidi w:val="0"/>
        <w:spacing w:before="0" w:after="0"/>
        <w:ind w:left="0" w:right="0" w:hanging="0"/>
        <w:jc w:val="left"/>
        <w:rPr/>
      </w:pPr>
      <w:r>
        <w:rPr/>
        <w:t>​</w:t>
      </w:r>
    </w:p>
    <w:tbl>
      <w:tblPr>
        <w:tblW w:w="5603" w:type="dxa"/>
        <w:jc w:val="left"/>
        <w:tblInd w:w="0" w:type="dxa"/>
        <w:tblLayout w:type="fixed"/>
        <w:tblCellMar>
          <w:top w:w="0" w:type="dxa"/>
          <w:left w:w="0" w:type="dxa"/>
          <w:bottom w:w="0" w:type="dxa"/>
          <w:right w:w="0" w:type="dxa"/>
        </w:tblCellMar>
      </w:tblPr>
      <w:tblGrid>
        <w:gridCol w:w="1966"/>
        <w:gridCol w:w="326"/>
        <w:gridCol w:w="291"/>
        <w:gridCol w:w="954"/>
        <w:gridCol w:w="450"/>
        <w:gridCol w:w="291"/>
        <w:gridCol w:w="954"/>
        <w:gridCol w:w="371"/>
      </w:tblGrid>
      <w:tr>
        <w:trPr/>
        <w:tc>
          <w:tcPr>
            <w:tcW w:w="19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1248410" cy="175260"/>
                      <wp:effectExtent l="0" t="0" r="0" b="0"/>
                      <wp:wrapNone/>
                      <wp:docPr id="86" name="Frame86"/>
                      <a:graphic xmlns:a="http://schemas.openxmlformats.org/drawingml/2006/main">
                        <a:graphicData uri="http://schemas.microsoft.com/office/word/2010/wordprocessingShape">
                          <wps:wsp>
                            <wps:cNvSpPr txBox="1"/>
                            <wps:spPr>
                              <a:xfrm>
                                <a:off x="0" y="0"/>
                                <a:ext cx="1248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207010" cy="175260"/>
                      <wp:effectExtent l="0" t="0" r="0" b="0"/>
                      <wp:wrapNone/>
                      <wp:docPr id="87" name="Frame8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184785" cy="175260"/>
                      <wp:effectExtent l="0" t="0" r="0" b="0"/>
                      <wp:wrapNone/>
                      <wp:docPr id="88" name="Frame88"/>
                      <a:graphic xmlns:a="http://schemas.openxmlformats.org/drawingml/2006/main">
                        <a:graphicData uri="http://schemas.microsoft.com/office/word/2010/wordprocessingShape">
                          <wps:wsp>
                            <wps:cNvSpPr txBox="1"/>
                            <wps:spPr>
                              <a:xfrm>
                                <a:off x="0" y="0"/>
                                <a:ext cx="184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05790" cy="175260"/>
                      <wp:effectExtent l="0" t="0" r="0" b="0"/>
                      <wp:wrapNone/>
                      <wp:docPr id="89" name="Frame89"/>
                      <a:graphic xmlns:a="http://schemas.openxmlformats.org/drawingml/2006/main">
                        <a:graphicData uri="http://schemas.microsoft.com/office/word/2010/wordprocessingShape">
                          <wps:wsp>
                            <wps:cNvSpPr txBox="1"/>
                            <wps:spPr>
                              <a:xfrm>
                                <a:off x="0" y="0"/>
                                <a:ext cx="605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285750" cy="175260"/>
                      <wp:effectExtent l="0" t="0" r="0" b="0"/>
                      <wp:wrapNone/>
                      <wp:docPr id="90" name="Frame90"/>
                      <a:graphic xmlns:a="http://schemas.openxmlformats.org/drawingml/2006/main">
                        <a:graphicData uri="http://schemas.microsoft.com/office/word/2010/wordprocessingShape">
                          <wps:wsp>
                            <wps:cNvSpPr txBox="1"/>
                            <wps:spPr>
                              <a:xfrm>
                                <a:off x="0" y="0"/>
                                <a:ext cx="285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184785" cy="175260"/>
                      <wp:effectExtent l="0" t="0" r="0" b="0"/>
                      <wp:wrapNone/>
                      <wp:docPr id="91" name="Frame91"/>
                      <a:graphic xmlns:a="http://schemas.openxmlformats.org/drawingml/2006/main">
                        <a:graphicData uri="http://schemas.microsoft.com/office/word/2010/wordprocessingShape">
                          <wps:wsp>
                            <wps:cNvSpPr txBox="1"/>
                            <wps:spPr>
                              <a:xfrm>
                                <a:off x="0" y="0"/>
                                <a:ext cx="184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05790" cy="175260"/>
                      <wp:effectExtent l="0" t="0" r="0" b="0"/>
                      <wp:wrapNone/>
                      <wp:docPr id="92" name="Frame92"/>
                      <a:graphic xmlns:a="http://schemas.openxmlformats.org/drawingml/2006/main">
                        <a:graphicData uri="http://schemas.microsoft.com/office/word/2010/wordprocessingShape">
                          <wps:wsp>
                            <wps:cNvSpPr txBox="1"/>
                            <wps:spPr>
                              <a:xfrm>
                                <a:off x="0" y="0"/>
                                <a:ext cx="605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235585" cy="175260"/>
                      <wp:effectExtent l="0" t="0" r="0" b="0"/>
                      <wp:wrapNone/>
                      <wp:docPr id="93" name="Frame93"/>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94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three months ended March 31, </w:t>
            </w:r>
          </w:p>
        </w:tc>
        <w:tc>
          <w:tcPr>
            <w:tcW w:w="371" w:type="dxa"/>
            <w:tcBorders/>
            <w:vAlign w:val="center"/>
          </w:tcPr>
          <w:p>
            <w:pPr>
              <w:pStyle w:val="TableContents"/>
              <w:bidi w:val="0"/>
              <w:spacing w:before="0" w:after="0"/>
              <w:ind w:left="0" w:right="0" w:hanging="0"/>
              <w:jc w:val="left"/>
              <w:rPr/>
            </w:pPr>
            <w:r>
              <w:rPr/>
              <w:t>​</w:t>
            </w:r>
          </w:p>
        </w:tc>
      </w:tr>
      <w:tr>
        <w:trPr/>
        <w:tc>
          <w:tcPr>
            <w:tcW w:w="19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50" w:type="dxa"/>
            <w:tcBorders/>
            <w:vAlign w:val="center"/>
          </w:tcPr>
          <w:p>
            <w:pPr>
              <w:pStyle w:val="TableContents"/>
              <w:bidi w:val="0"/>
              <w:spacing w:before="0" w:after="0"/>
              <w:ind w:left="0" w:right="0" w:hanging="0"/>
              <w:jc w:val="left"/>
              <w:rPr/>
            </w:pPr>
            <w:r>
              <w:rPr/>
              <w:t>​</w:t>
            </w:r>
          </w:p>
        </w:tc>
        <w:tc>
          <w:tcPr>
            <w:tcW w:w="12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71" w:type="dxa"/>
            <w:tcBorders/>
            <w:vAlign w:val="center"/>
          </w:tcPr>
          <w:p>
            <w:pPr>
              <w:pStyle w:val="TableContents"/>
              <w:bidi w:val="0"/>
              <w:spacing w:before="0" w:after="0"/>
              <w:ind w:left="0" w:right="0" w:hanging="0"/>
              <w:jc w:val="left"/>
              <w:rPr/>
            </w:pPr>
            <w:r>
              <w:rPr/>
              <w:t>​</w:t>
            </w:r>
          </w:p>
        </w:tc>
      </w:tr>
      <w:tr>
        <w:trPr/>
        <w:tc>
          <w:tcPr>
            <w:tcW w:w="5603" w:type="dxa"/>
            <w:gridSpan w:val="8"/>
            <w:tcBorders/>
            <w:vAlign w:val="center"/>
          </w:tcPr>
          <w:p>
            <w:pPr>
              <w:pStyle w:val="TableContents"/>
              <w:bidi w:val="0"/>
              <w:spacing w:before="0" w:after="283"/>
              <w:ind w:left="0" w:right="0" w:hanging="0"/>
              <w:jc w:val="left"/>
              <w:rPr>
                <w:sz w:val="4"/>
                <w:szCs w:val="4"/>
              </w:rPr>
            </w:pPr>
            <w:r>
              <w:rPr>
                <w:sz w:val="4"/>
                <w:szCs w:val="4"/>
              </w:rPr>
            </w:r>
          </w:p>
        </w:tc>
      </w:tr>
      <w:tr>
        <w:trPr/>
        <w:tc>
          <w:tcPr>
            <w:tcW w:w="19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94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71" w:type="dxa"/>
            <w:tcBorders/>
            <w:vAlign w:val="center"/>
          </w:tcPr>
          <w:p>
            <w:pPr>
              <w:pStyle w:val="TableContents"/>
              <w:bidi w:val="0"/>
              <w:spacing w:before="0" w:after="0"/>
              <w:ind w:left="0" w:right="0" w:hanging="0"/>
              <w:jc w:val="left"/>
              <w:rPr/>
            </w:pPr>
            <w:r>
              <w:rPr/>
              <w:t>​</w:t>
            </w:r>
          </w:p>
        </w:tc>
      </w:tr>
      <w:tr>
        <w:trPr/>
        <w:tc>
          <w:tcPr>
            <w:tcW w:w="196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Deferred commissions:</w:t>
            </w:r>
          </w:p>
        </w:tc>
        <w:tc>
          <w:tcPr>
            <w:tcW w:w="326" w:type="dxa"/>
            <w:tcBorders/>
            <w:shd w:fill="CCEEFF" w:val="clear"/>
            <w:vAlign w:val="center"/>
          </w:tcPr>
          <w:p>
            <w:pPr>
              <w:pStyle w:val="TableContents"/>
              <w:bidi w:val="0"/>
              <w:spacing w:before="0" w:after="0"/>
              <w:ind w:left="0" w:right="0" w:hanging="0"/>
              <w:jc w:val="left"/>
              <w:rPr/>
            </w:pPr>
            <w:r>
              <w:rPr/>
              <w:t>    </w:t>
            </w:r>
          </w:p>
        </w:tc>
        <w:tc>
          <w:tcPr>
            <w:tcW w:w="291" w:type="dxa"/>
            <w:tcBorders/>
            <w:shd w:fill="CCEEFF" w:val="clear"/>
            <w:vAlign w:val="center"/>
          </w:tcPr>
          <w:p>
            <w:pPr>
              <w:pStyle w:val="TableContents"/>
              <w:bidi w:val="0"/>
              <w:spacing w:before="0" w:after="0"/>
              <w:ind w:left="0" w:right="0" w:hanging="0"/>
              <w:jc w:val="right"/>
              <w:rPr/>
            </w:pPr>
            <w:r>
              <w:rPr/>
              <w:t>​</w:t>
            </w:r>
          </w:p>
        </w:tc>
        <w:tc>
          <w:tcPr>
            <w:tcW w:w="954" w:type="dxa"/>
            <w:tcBorders/>
            <w:shd w:fill="CCEEFF" w:val="clear"/>
            <w:vAlign w:val="center"/>
          </w:tcPr>
          <w:p>
            <w:pPr>
              <w:pStyle w:val="TableContents"/>
              <w:bidi w:val="0"/>
              <w:spacing w:before="0" w:after="0"/>
              <w:ind w:left="0" w:right="0" w:hanging="0"/>
              <w:jc w:val="right"/>
              <w:rPr/>
            </w:pPr>
            <w:r>
              <w:rPr/>
              <w:t>  </w:t>
            </w:r>
          </w:p>
        </w:tc>
        <w:tc>
          <w:tcPr>
            <w:tcW w:w="450" w:type="dxa"/>
            <w:tcBorders/>
            <w:shd w:fill="CCEEFF" w:val="clear"/>
            <w:vAlign w:val="center"/>
          </w:tcPr>
          <w:p>
            <w:pPr>
              <w:pStyle w:val="TableContents"/>
              <w:bidi w:val="0"/>
              <w:spacing w:before="0" w:after="0"/>
              <w:ind w:left="0" w:right="0" w:hanging="0"/>
              <w:jc w:val="left"/>
              <w:rPr/>
            </w:pPr>
            <w:r>
              <w:rPr/>
              <w:t>    </w:t>
            </w:r>
          </w:p>
        </w:tc>
        <w:tc>
          <w:tcPr>
            <w:tcW w:w="291" w:type="dxa"/>
            <w:tcBorders/>
            <w:shd w:fill="CCEEFF" w:val="clear"/>
            <w:vAlign w:val="center"/>
          </w:tcPr>
          <w:p>
            <w:pPr>
              <w:pStyle w:val="TableContents"/>
              <w:bidi w:val="0"/>
              <w:spacing w:before="0" w:after="0"/>
              <w:ind w:left="0" w:right="0" w:hanging="0"/>
              <w:jc w:val="left"/>
              <w:rPr/>
            </w:pPr>
            <w:r>
              <w:rPr/>
              <w:t>​</w:t>
            </w:r>
          </w:p>
        </w:tc>
        <w:tc>
          <w:tcPr>
            <w:tcW w:w="954" w:type="dxa"/>
            <w:tcBorders/>
            <w:shd w:fill="CCEEFF" w:val="clear"/>
            <w:vAlign w:val="center"/>
          </w:tcPr>
          <w:p>
            <w:pPr>
              <w:pStyle w:val="TableContents"/>
              <w:bidi w:val="0"/>
              <w:spacing w:before="0" w:after="0"/>
              <w:ind w:left="0" w:right="0" w:hanging="0"/>
              <w:jc w:val="right"/>
              <w:rPr/>
            </w:pPr>
            <w:r>
              <w:rPr/>
              <w:t>  </w:t>
            </w:r>
          </w:p>
        </w:tc>
        <w:tc>
          <w:tcPr>
            <w:tcW w:w="371" w:type="dxa"/>
            <w:tcBorders/>
            <w:shd w:fill="CCEEFF" w:val="clear"/>
            <w:vAlign w:val="center"/>
          </w:tcPr>
          <w:p>
            <w:pPr>
              <w:pStyle w:val="TableContents"/>
              <w:bidi w:val="0"/>
              <w:spacing w:before="0" w:after="0"/>
              <w:ind w:left="0" w:right="0" w:hanging="0"/>
              <w:jc w:val="left"/>
              <w:rPr/>
            </w:pPr>
            <w:r>
              <w:rPr/>
              <w:t>    </w:t>
            </w:r>
          </w:p>
        </w:tc>
      </w:tr>
      <w:tr>
        <w:trPr/>
        <w:tc>
          <w:tcPr>
            <w:tcW w:w="19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Beginning balance</w:t>
            </w:r>
          </w:p>
        </w:tc>
        <w:tc>
          <w:tcPr>
            <w:tcW w:w="326" w:type="dxa"/>
            <w:tcBorders/>
            <w:vAlign w:val="center"/>
          </w:tcPr>
          <w:p>
            <w:pPr>
              <w:pStyle w:val="TableContents"/>
              <w:bidi w:val="0"/>
              <w:spacing w:before="0" w:after="0"/>
              <w:ind w:left="0" w:right="0" w:hanging="0"/>
              <w:jc w:val="left"/>
              <w:rPr/>
            </w:pPr>
            <w:r>
              <w:rPr/>
              <w:t>​</w:t>
            </w:r>
          </w:p>
        </w:tc>
        <w:tc>
          <w:tcPr>
            <w:tcW w:w="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27,480</w:t>
            </w:r>
          </w:p>
        </w:tc>
        <w:tc>
          <w:tcPr>
            <w:tcW w:w="450" w:type="dxa"/>
            <w:tcBorders/>
            <w:vAlign w:val="center"/>
          </w:tcPr>
          <w:p>
            <w:pPr>
              <w:pStyle w:val="TableContents"/>
              <w:bidi w:val="0"/>
              <w:spacing w:before="0" w:after="0"/>
              <w:ind w:left="0" w:right="0" w:hanging="0"/>
              <w:jc w:val="left"/>
              <w:rPr/>
            </w:pPr>
            <w:r>
              <w:rPr/>
              <w:t>​</w:t>
            </w:r>
          </w:p>
        </w:tc>
        <w:tc>
          <w:tcPr>
            <w:tcW w:w="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21,237</w:t>
            </w:r>
          </w:p>
        </w:tc>
        <w:tc>
          <w:tcPr>
            <w:tcW w:w="371" w:type="dxa"/>
            <w:tcBorders/>
            <w:vAlign w:val="center"/>
          </w:tcPr>
          <w:p>
            <w:pPr>
              <w:pStyle w:val="TableContents"/>
              <w:bidi w:val="0"/>
              <w:spacing w:before="0" w:after="0"/>
              <w:ind w:left="0" w:right="0" w:hanging="0"/>
              <w:jc w:val="left"/>
              <w:rPr/>
            </w:pPr>
            <w:r>
              <w:rPr/>
              <w:t>​</w:t>
            </w:r>
          </w:p>
        </w:tc>
      </w:tr>
      <w:tr>
        <w:trPr/>
        <w:tc>
          <w:tcPr>
            <w:tcW w:w="19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Additions</w:t>
            </w:r>
          </w:p>
        </w:tc>
        <w:tc>
          <w:tcPr>
            <w:tcW w:w="326"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pPr>
            <w:r>
              <w:rPr/>
              <w:t> </w:t>
            </w:r>
          </w:p>
        </w:tc>
        <w:tc>
          <w:tcPr>
            <w:tcW w:w="9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5,057</w:t>
            </w:r>
          </w:p>
        </w:tc>
        <w:tc>
          <w:tcPr>
            <w:tcW w:w="450"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pPr>
            <w:r>
              <w:rPr/>
              <w:t> </w:t>
            </w:r>
          </w:p>
        </w:tc>
        <w:tc>
          <w:tcPr>
            <w:tcW w:w="9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3,984</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19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w:t>
            </w:r>
          </w:p>
        </w:tc>
        <w:tc>
          <w:tcPr>
            <w:tcW w:w="326" w:type="dxa"/>
            <w:tcBorders/>
            <w:vAlign w:val="center"/>
          </w:tcPr>
          <w:p>
            <w:pPr>
              <w:pStyle w:val="TableContents"/>
              <w:bidi w:val="0"/>
              <w:spacing w:before="0" w:after="0"/>
              <w:ind w:left="0" w:right="0" w:hanging="0"/>
              <w:jc w:val="left"/>
              <w:rPr/>
            </w:pPr>
            <w:r>
              <w:rPr/>
              <w:t>​</w:t>
            </w:r>
          </w:p>
        </w:tc>
        <w:tc>
          <w:tcPr>
            <w:tcW w:w="29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5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(5,002)</w:t>
            </w:r>
          </w:p>
        </w:tc>
        <w:tc>
          <w:tcPr>
            <w:tcW w:w="450" w:type="dxa"/>
            <w:tcBorders/>
            <w:vAlign w:val="center"/>
          </w:tcPr>
          <w:p>
            <w:pPr>
              <w:pStyle w:val="TableContents"/>
              <w:bidi w:val="0"/>
              <w:spacing w:before="0" w:after="0"/>
              <w:ind w:left="0" w:right="0" w:hanging="0"/>
              <w:jc w:val="left"/>
              <w:rPr/>
            </w:pPr>
            <w:r>
              <w:rPr/>
              <w:t>​</w:t>
            </w:r>
          </w:p>
        </w:tc>
        <w:tc>
          <w:tcPr>
            <w:tcW w:w="29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5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(3,920)</w:t>
            </w:r>
          </w:p>
        </w:tc>
        <w:tc>
          <w:tcPr>
            <w:tcW w:w="371" w:type="dxa"/>
            <w:tcBorders/>
            <w:vAlign w:val="center"/>
          </w:tcPr>
          <w:p>
            <w:pPr>
              <w:pStyle w:val="TableContents"/>
              <w:bidi w:val="0"/>
              <w:spacing w:before="0" w:after="0"/>
              <w:ind w:left="0" w:right="0" w:hanging="0"/>
              <w:jc w:val="left"/>
              <w:rPr/>
            </w:pPr>
            <w:r>
              <w:rPr/>
              <w:t>​</w:t>
            </w:r>
          </w:p>
        </w:tc>
      </w:tr>
      <w:tr>
        <w:trPr/>
        <w:tc>
          <w:tcPr>
            <w:tcW w:w="19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Ending balance</w:t>
            </w:r>
          </w:p>
        </w:tc>
        <w:tc>
          <w:tcPr>
            <w:tcW w:w="326" w:type="dxa"/>
            <w:tcBorders/>
            <w:shd w:fill="CCEEFF" w:val="clear"/>
            <w:vAlign w:val="center"/>
          </w:tcPr>
          <w:p>
            <w:pPr>
              <w:pStyle w:val="TableContents"/>
              <w:bidi w:val="0"/>
              <w:spacing w:before="0" w:after="0"/>
              <w:ind w:left="0" w:right="0" w:hanging="0"/>
              <w:jc w:val="left"/>
              <w:rPr/>
            </w:pPr>
            <w:r>
              <w:rPr/>
              <w:t>​</w:t>
            </w:r>
          </w:p>
        </w:tc>
        <w:tc>
          <w:tcPr>
            <w:tcW w:w="29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27,535</w:t>
            </w:r>
          </w:p>
        </w:tc>
        <w:tc>
          <w:tcPr>
            <w:tcW w:w="450" w:type="dxa"/>
            <w:tcBorders/>
            <w:shd w:fill="CCEEFF" w:val="clear"/>
            <w:vAlign w:val="center"/>
          </w:tcPr>
          <w:p>
            <w:pPr>
              <w:pStyle w:val="TableContents"/>
              <w:bidi w:val="0"/>
              <w:spacing w:before="0" w:after="0"/>
              <w:ind w:left="0" w:right="0" w:hanging="0"/>
              <w:jc w:val="left"/>
              <w:rPr/>
            </w:pPr>
            <w:r>
              <w:rPr/>
              <w:t>​</w:t>
            </w:r>
          </w:p>
        </w:tc>
        <w:tc>
          <w:tcPr>
            <w:tcW w:w="29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21,301</w:t>
            </w:r>
          </w:p>
        </w:tc>
        <w:tc>
          <w:tcPr>
            <w:tcW w:w="37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646" w:type="dxa"/>
        <w:jc w:val="left"/>
        <w:tblInd w:w="0" w:type="dxa"/>
        <w:tblLayout w:type="fixed"/>
        <w:tblCellMar>
          <w:top w:w="0" w:type="dxa"/>
          <w:left w:w="0" w:type="dxa"/>
          <w:bottom w:w="0" w:type="dxa"/>
          <w:right w:w="0" w:type="dxa"/>
        </w:tblCellMar>
      </w:tblPr>
      <w:tblGrid>
        <w:gridCol w:w="6646"/>
      </w:tblGrid>
      <w:tr>
        <w:trPr/>
        <w:tc>
          <w:tcPr>
            <w:tcW w:w="6646" w:type="dxa"/>
            <w:tcBorders/>
            <w:vAlign w:val="center"/>
          </w:tcPr>
          <w:p>
            <w:pPr>
              <w:pStyle w:val="TableContents"/>
              <w:bidi w:val="0"/>
              <w:spacing w:before="0" w:after="283"/>
              <w:ind w:left="0" w:right="0" w:hanging="0"/>
              <w:jc w:val="left"/>
              <w:rPr>
                <w:sz w:val="4"/>
                <w:szCs w:val="4"/>
              </w:rPr>
            </w:pPr>
            <w:r>
              <w:rPr>
                <w:sz w:val="4"/>
                <w:szCs w:val="4"/>
              </w:rPr>
            </w:r>
          </w:p>
        </w:tc>
      </w:tr>
      <w:tr>
        <w:trPr/>
        <w:tc>
          <w:tcPr>
            <w:tcW w:w="66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Vertex, Inc. and Subsidiaries</w:t>
            </w:r>
          </w:p>
        </w:tc>
      </w:tr>
      <w:tr>
        <w:trPr/>
        <w:tc>
          <w:tcPr>
            <w:tcW w:w="66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Condensed Consolidated Financial Statements (unaudited) continued</w:t>
            </w:r>
          </w:p>
        </w:tc>
      </w:tr>
      <w:tr>
        <w:trPr/>
        <w:tc>
          <w:tcPr>
            <w:tcW w:w="66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(Amounts in thousands, except per share data) </w:t>
            </w:r>
          </w:p>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sz w:val="20"/>
        </w:rPr>
      </w:pPr>
      <w:bookmarkStart w:id="869" w:name="Tc_tzKZChju10idrWe-0E1ymA_13_9"/>
      <w:bookmarkStart w:id="870" w:name="Tc_GwYgcXxP8kuadX4d5mU7hA_13_6"/>
      <w:bookmarkStart w:id="871" w:name="Tc_H3BT08qIxU-uXJvxVzBE_A_13_0"/>
      <w:bookmarkStart w:id="872" w:name="Tc_R_LCB1kdoUm5it_xG0Ji3w_12_9"/>
      <w:bookmarkStart w:id="873" w:name="Tc_Xogp39n7MUeV8NrEcnv-bw_12_6"/>
      <w:bookmarkStart w:id="874" w:name="Tc_nR1ElZwinEqZcKGNAubJ6w_12_0"/>
      <w:bookmarkStart w:id="875" w:name="Tc_9cbaNU4ZkU-zLFQErCEQzA_11_12"/>
      <w:bookmarkStart w:id="876" w:name="Tc_EMnyIBO2fUuJm0KVyJlnwQ_11_6"/>
      <w:bookmarkStart w:id="877" w:name="Tc_wEbxdQeaT0mA2JRHYVdbVw_11_0"/>
      <w:bookmarkStart w:id="878" w:name="Tc_0uvnSP1J0U2UoJIQ3B_guw_10_12"/>
      <w:bookmarkStart w:id="879" w:name="Tc_y2-OfeB2Xkems0NxVDWn1g_10_6"/>
      <w:bookmarkStart w:id="880" w:name="Tc_UfBRkq2VvkOLLX2r--xRFQ_10_0"/>
      <w:bookmarkStart w:id="881" w:name="Tc_2VUHtChKH0qRiefwq6ArnQ_9_12"/>
      <w:bookmarkStart w:id="882" w:name="Tc_wjuQe_ugP0WOU6PJgHpm5A_9_6"/>
      <w:bookmarkStart w:id="883" w:name="Tc_mm5VIcI-HkKq3qvTpNZn4g_9_0"/>
      <w:bookmarkStart w:id="884" w:name="Tc_jwakY375mEiMKk5ErnSWdA_8_12"/>
      <w:bookmarkStart w:id="885" w:name="Tc_UCKp4lZpr0agNTWXDwko3g_8_11"/>
      <w:bookmarkStart w:id="886" w:name="Tc_qGRdn-JXlESF1KTXsgR0UQ_8_9"/>
      <w:bookmarkStart w:id="887" w:name="Tc_gQV9jDmqjkiENtOIHfQcfw_8_8"/>
      <w:bookmarkStart w:id="888" w:name="Tc_fnI-uq5EDkWCWMcy2C-GTA_8_5"/>
      <w:bookmarkStart w:id="889" w:name="Tc_sI0Uzo76Ckm9MgjazIQCqQ_8_2"/>
      <w:bookmarkStart w:id="890" w:name="Tc_V6CsIAonZkqJDCovWElPzQ_8_0"/>
      <w:bookmarkStart w:id="891" w:name="Tc_ySZfVNTrOEKp0yAOhLa1cg_7_11"/>
      <w:bookmarkStart w:id="892" w:name="Tc_JbzqdhcL00OuLcuzTerxfQ_7_8"/>
      <w:bookmarkStart w:id="893" w:name="Tc_CdcDpXUIyEWiYP_jQ9kTXg_7_5"/>
      <w:bookmarkStart w:id="894" w:name="Tc_nQeWzkX8A0CwEYTKYs4Jow_7_2"/>
      <w:bookmarkStart w:id="895" w:name="Tc_BdZ3ApoUG0a_HUZmLNGG7w_7_0"/>
      <w:bookmarkStart w:id="896" w:name="Tc_Mavt9ab6HkCsWLz3hNmNwA_6_2"/>
      <w:bookmarkStart w:id="897" w:name="Tc_xm40xR_iN0auOLVOTLgH6w_5_9"/>
      <w:bookmarkStart w:id="898" w:name="Tc_lh7iIpd0akeB25D9uyLofQ_5_6"/>
      <w:bookmarkStart w:id="899" w:name="Tc_0rjkGyJe6kKMSHKADmEV7A_5_0"/>
      <w:bookmarkStart w:id="900" w:name="Tc_FcAspoAlXESq087n9j4QDg_4_9"/>
      <w:bookmarkStart w:id="901" w:name="Tc_mBpcxkyXiESIl3XLgP3y8g_4_6"/>
      <w:bookmarkStart w:id="902" w:name="Tc_UQg6aHBeL0CxCn3o1Qd8Aw_4_0"/>
      <w:bookmarkStart w:id="903" w:name="Tc_Vp2N7SHQ2k2ZDp7NGMwMGQ_3_12"/>
      <w:bookmarkStart w:id="904" w:name="Tc_XktEEQ36KUOHOao4YraWng_3_11"/>
      <w:bookmarkStart w:id="905" w:name="Tc_H0MtmBE88keEqPXPcPujQw_3_9"/>
      <w:bookmarkStart w:id="906" w:name="Tc__Dd5-GKjWUO82l8USkf1IA_3_8"/>
      <w:bookmarkStart w:id="907" w:name="Tc_LAeGhshPukiSAL7kSzqlfA_3_5"/>
      <w:bookmarkStart w:id="908" w:name="Tc_zzuJeYR0lEuRohStF53Txg_3_2"/>
      <w:bookmarkStart w:id="909" w:name="Tc_lkHgxQ5u9kKb91g6vNJilQ_3_0"/>
      <w:bookmarkStart w:id="910" w:name="Tc_HUU4QLfE50qSxTlE4J083Q_2_11"/>
      <w:bookmarkStart w:id="911" w:name="Tc_4tvjYlQkX0KRMq9IyZRkuw_2_8"/>
      <w:bookmarkStart w:id="912" w:name="Tc_74SmJ2TMfEuSLuhM1JLYBA_2_5"/>
      <w:bookmarkStart w:id="913" w:name="Tc_n1hjY8g23ki91bqn8aFFew_2_2"/>
      <w:bookmarkStart w:id="914" w:name="Tc_BJFJ3soomEidX5t9kW8HLQ_2_0"/>
      <w:bookmarkStart w:id="915" w:name="Tc_xR96LNHukUKwXElSsxt1dw_1_2"/>
      <w:bookmarkStart w:id="916" w:name="_Hlk71285014"/>
      <w:bookmarkStart w:id="917" w:name="_Hlk71703622"/>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r>
        <w:rPr>
          <w:rFonts w:ascii="Times New Roman;Times;serif" w:hAnsi="Times New Roman;Times;serif"/>
          <w:b/>
          <w:sz w:val="20"/>
        </w:rPr>
        <w:t xml:space="preserve">3.      FINANCIAL INSTRUMENTS AND FAIR VALUE MEASUREMENTS </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Assets and Liabilities Measured at Fair Value on a Recurring Basis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 summarizes the Company’s fair value for its financial assets and liabilities measured at fair value on a recurring basis: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970"/>
        <w:gridCol w:w="109"/>
        <w:gridCol w:w="211"/>
        <w:gridCol w:w="781"/>
        <w:gridCol w:w="326"/>
        <w:gridCol w:w="539"/>
        <w:gridCol w:w="1999"/>
        <w:gridCol w:w="326"/>
        <w:gridCol w:w="488"/>
        <w:gridCol w:w="1322"/>
        <w:gridCol w:w="326"/>
        <w:gridCol w:w="378"/>
        <w:gridCol w:w="1430"/>
      </w:tblGrid>
      <w:tr>
        <w:trPr/>
        <w:tc>
          <w:tcPr>
            <w:tcW w:w="19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1250950" cy="175260"/>
                      <wp:effectExtent l="0" t="0" r="0" b="0"/>
                      <wp:wrapNone/>
                      <wp:docPr id="94" name="Frame94"/>
                      <a:graphic xmlns:a="http://schemas.openxmlformats.org/drawingml/2006/main">
                        <a:graphicData uri="http://schemas.microsoft.com/office/word/2010/wordprocessingShape">
                          <wps:wsp>
                            <wps:cNvSpPr txBox="1"/>
                            <wps:spPr>
                              <a:xfrm>
                                <a:off x="0" y="0"/>
                                <a:ext cx="12509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9215" cy="175260"/>
                      <wp:effectExtent l="0" t="0" r="0" b="0"/>
                      <wp:wrapNone/>
                      <wp:docPr id="95" name="Frame9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133985" cy="175260"/>
                      <wp:effectExtent l="0" t="0" r="0" b="0"/>
                      <wp:wrapNone/>
                      <wp:docPr id="96" name="Frame9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495935" cy="175260"/>
                      <wp:effectExtent l="0" t="0" r="0" b="0"/>
                      <wp:wrapNone/>
                      <wp:docPr id="97" name="Frame9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207010" cy="175260"/>
                      <wp:effectExtent l="0" t="0" r="0" b="0"/>
                      <wp:wrapNone/>
                      <wp:docPr id="98" name="Frame9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342265" cy="175260"/>
                      <wp:effectExtent l="0" t="0" r="0" b="0"/>
                      <wp:wrapNone/>
                      <wp:docPr id="99" name="Frame99"/>
                      <a:graphic xmlns:a="http://schemas.openxmlformats.org/drawingml/2006/main">
                        <a:graphicData uri="http://schemas.microsoft.com/office/word/2010/wordprocessingShape">
                          <wps:wsp>
                            <wps:cNvSpPr txBox="1"/>
                            <wps:spPr>
                              <a:xfrm>
                                <a:off x="0" y="0"/>
                                <a:ext cx="3422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1269365" cy="175260"/>
                      <wp:effectExtent l="0" t="0" r="0" b="0"/>
                      <wp:wrapNone/>
                      <wp:docPr id="100" name="Frame100"/>
                      <a:graphic xmlns:a="http://schemas.openxmlformats.org/drawingml/2006/main">
                        <a:graphicData uri="http://schemas.microsoft.com/office/word/2010/wordprocessingShape">
                          <wps:wsp>
                            <wps:cNvSpPr txBox="1"/>
                            <wps:spPr>
                              <a:xfrm>
                                <a:off x="0" y="0"/>
                                <a:ext cx="12693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07010" cy="175260"/>
                      <wp:effectExtent l="0" t="0" r="0" b="0"/>
                      <wp:wrapNone/>
                      <wp:docPr id="101" name="Frame10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309880" cy="175260"/>
                      <wp:effectExtent l="0" t="0" r="0" b="0"/>
                      <wp:wrapNone/>
                      <wp:docPr id="102" name="Frame102"/>
                      <a:graphic xmlns:a="http://schemas.openxmlformats.org/drawingml/2006/main">
                        <a:graphicData uri="http://schemas.microsoft.com/office/word/2010/wordprocessingShape">
                          <wps:wsp>
                            <wps:cNvSpPr txBox="1"/>
                            <wps:spPr>
                              <a:xfrm>
                                <a:off x="0" y="0"/>
                                <a:ext cx="3098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839470" cy="175260"/>
                      <wp:effectExtent l="0" t="0" r="0" b="0"/>
                      <wp:wrapNone/>
                      <wp:docPr id="103" name="Frame103"/>
                      <a:graphic xmlns:a="http://schemas.openxmlformats.org/drawingml/2006/main">
                        <a:graphicData uri="http://schemas.microsoft.com/office/word/2010/wordprocessingShape">
                          <wps:wsp>
                            <wps:cNvSpPr txBox="1"/>
                            <wps:spPr>
                              <a:xfrm>
                                <a:off x="0" y="0"/>
                                <a:ext cx="8394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07010" cy="175260"/>
                      <wp:effectExtent l="0" t="0" r="0" b="0"/>
                      <wp:wrapNone/>
                      <wp:docPr id="104" name="Frame1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240030" cy="175260"/>
                      <wp:effectExtent l="0" t="0" r="0" b="0"/>
                      <wp:wrapNone/>
                      <wp:docPr id="105" name="Frame105"/>
                      <a:graphic xmlns:a="http://schemas.openxmlformats.org/drawingml/2006/main">
                        <a:graphicData uri="http://schemas.microsoft.com/office/word/2010/wordprocessingShape">
                          <wps:wsp>
                            <wps:cNvSpPr txBox="1"/>
                            <wps:spPr>
                              <a:xfrm>
                                <a:off x="0" y="0"/>
                                <a:ext cx="2400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908050" cy="175260"/>
                      <wp:effectExtent l="0" t="0" r="0" b="0"/>
                      <wp:wrapNone/>
                      <wp:docPr id="106" name="Frame106"/>
                      <a:graphic xmlns:a="http://schemas.openxmlformats.org/drawingml/2006/main">
                        <a:graphicData uri="http://schemas.microsoft.com/office/word/2010/wordprocessingShape">
                          <wps:wsp>
                            <wps:cNvSpPr txBox="1"/>
                            <wps:spPr>
                              <a:xfrm>
                                <a:off x="0" y="0"/>
                                <a:ext cx="908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970"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126"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 Measurements Using</w:t>
            </w:r>
          </w:p>
        </w:tc>
      </w:tr>
      <w:tr>
        <w:trPr/>
        <w:tc>
          <w:tcPr>
            <w:tcW w:w="1970"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As of March 31, 2025 (unaudited)</w:t>
            </w:r>
          </w:p>
        </w:tc>
        <w:tc>
          <w:tcPr>
            <w:tcW w:w="109" w:type="dxa"/>
            <w:tcBorders/>
            <w:vAlign w:val="center"/>
          </w:tcPr>
          <w:p>
            <w:pPr>
              <w:pStyle w:val="TableContents"/>
              <w:bidi w:val="0"/>
              <w:spacing w:before="0" w:after="1"/>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326" w:type="dxa"/>
            <w:tcBorders/>
            <w:vAlign w:val="center"/>
          </w:tcPr>
          <w:p>
            <w:pPr>
              <w:pStyle w:val="TableContents"/>
              <w:bidi w:val="0"/>
              <w:spacing w:before="0" w:after="1"/>
              <w:ind w:left="0" w:right="0" w:hanging="0"/>
              <w:jc w:val="left"/>
              <w:rPr/>
            </w:pPr>
            <w:r>
              <w:rPr/>
              <w:t>    </w:t>
            </w:r>
          </w:p>
        </w:tc>
        <w:tc>
          <w:tcPr>
            <w:tcW w:w="253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Prices in active markets for identical assets (Level 1)</w:t>
            </w:r>
          </w:p>
        </w:tc>
        <w:tc>
          <w:tcPr>
            <w:tcW w:w="326" w:type="dxa"/>
            <w:tcBorders/>
            <w:vAlign w:val="center"/>
          </w:tcPr>
          <w:p>
            <w:pPr>
              <w:pStyle w:val="TableContents"/>
              <w:bidi w:val="0"/>
              <w:spacing w:before="0" w:after="1"/>
              <w:ind w:left="0" w:right="0" w:hanging="0"/>
              <w:jc w:val="left"/>
              <w:rPr/>
            </w:pPr>
            <w:r>
              <w:rPr/>
              <w:t>    </w:t>
            </w:r>
          </w:p>
        </w:tc>
        <w:tc>
          <w:tcPr>
            <w:tcW w:w="181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Significant other observable inputs</w:t>
              <w:br/>
              <w:t>(Level 2)</w:t>
            </w:r>
          </w:p>
        </w:tc>
        <w:tc>
          <w:tcPr>
            <w:tcW w:w="326" w:type="dxa"/>
            <w:tcBorders/>
            <w:vAlign w:val="center"/>
          </w:tcPr>
          <w:p>
            <w:pPr>
              <w:pStyle w:val="TableContents"/>
              <w:bidi w:val="0"/>
              <w:spacing w:before="0" w:after="1"/>
              <w:ind w:left="0" w:right="0" w:hanging="0"/>
              <w:jc w:val="left"/>
              <w:rPr/>
            </w:pPr>
            <w:r>
              <w:rPr/>
              <w:t>    </w:t>
            </w:r>
          </w:p>
        </w:tc>
        <w:tc>
          <w:tcPr>
            <w:tcW w:w="180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Significant unobservable inputs</w:t>
              <w:br/>
              <w:t xml:space="preserve">(Level 3) </w:t>
            </w:r>
          </w:p>
        </w:tc>
      </w:tr>
      <w:tr>
        <w:trPr/>
        <w:tc>
          <w:tcPr>
            <w:tcW w:w="197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Money Market Funds</w:t>
            </w:r>
          </w:p>
        </w:tc>
        <w:tc>
          <w:tcPr>
            <w:tcW w:w="109" w:type="dxa"/>
            <w:tcBorders/>
            <w:shd w:fill="CCEEFF" w:val="clear"/>
            <w:vAlign w:val="center"/>
          </w:tcPr>
          <w:p>
            <w:pPr>
              <w:pStyle w:val="TableContents"/>
              <w:bidi w:val="0"/>
              <w:spacing w:before="0" w:after="1"/>
              <w:ind w:left="0" w:right="0" w:hanging="0"/>
              <w:jc w:val="left"/>
              <w:rPr>
                <w:color w:val="FF0000"/>
              </w:rPr>
            </w:pPr>
            <w:r>
              <w:rPr>
                <w:color w:val="FF0000"/>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246,020</w:t>
            </w:r>
          </w:p>
        </w:tc>
        <w:tc>
          <w:tcPr>
            <w:tcW w:w="326" w:type="dxa"/>
            <w:tcBorders/>
            <w:shd w:fill="CCEEFF" w:val="clear"/>
            <w:vAlign w:val="center"/>
          </w:tcPr>
          <w:p>
            <w:pPr>
              <w:pStyle w:val="TableContents"/>
              <w:bidi w:val="0"/>
              <w:spacing w:before="0" w:after="1"/>
              <w:ind w:left="0" w:right="0" w:hanging="0"/>
              <w:jc w:val="left"/>
              <w:rPr/>
            </w:pPr>
            <w:r>
              <w:rPr/>
              <w:t>​</w:t>
            </w:r>
          </w:p>
        </w:tc>
        <w:tc>
          <w:tcPr>
            <w:tcW w:w="53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99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246,020</w:t>
            </w:r>
          </w:p>
        </w:tc>
        <w:tc>
          <w:tcPr>
            <w:tcW w:w="326" w:type="dxa"/>
            <w:tcBorders/>
            <w:shd w:fill="CCEEFF" w:val="clear"/>
            <w:vAlign w:val="center"/>
          </w:tcPr>
          <w:p>
            <w:pPr>
              <w:pStyle w:val="TableContents"/>
              <w:bidi w:val="0"/>
              <w:spacing w:before="0" w:after="1"/>
              <w:ind w:left="0" w:right="0" w:hanging="0"/>
              <w:jc w:val="left"/>
              <w:rPr/>
            </w:pPr>
            <w:r>
              <w:rPr/>
              <w:t>​</w:t>
            </w:r>
          </w:p>
        </w:tc>
        <w:tc>
          <w:tcPr>
            <w:tcW w:w="48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2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7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430" w:type="dxa"/>
            <w:tcBorders/>
            <w:shd w:fill="CCEEFF" w:val="clear"/>
            <w:vAlign w:val="center"/>
          </w:tcPr>
          <w:p>
            <w:pPr>
              <w:pStyle w:val="TableContents"/>
              <w:bidi w:val="0"/>
              <w:spacing w:before="0" w:after="1"/>
              <w:ind w:left="0" w:right="0" w:hanging="0"/>
              <w:jc w:val="right"/>
              <w:rPr/>
            </w:pPr>
            <w:r>
              <w:rPr/>
              <w:t>—</w:t>
            </w:r>
          </w:p>
        </w:tc>
      </w:tr>
      <w:tr>
        <w:trPr/>
        <w:tc>
          <w:tcPr>
            <w:tcW w:w="197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ecosio Cash Earn-outs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76,100</w:t>
            </w:r>
          </w:p>
        </w:tc>
        <w:tc>
          <w:tcPr>
            <w:tcW w:w="326" w:type="dxa"/>
            <w:tcBorders/>
            <w:vAlign w:val="center"/>
          </w:tcPr>
          <w:p>
            <w:pPr>
              <w:pStyle w:val="TableContents"/>
              <w:bidi w:val="0"/>
              <w:spacing w:before="0" w:after="1"/>
              <w:ind w:left="0" w:right="0" w:hanging="0"/>
              <w:jc w:val="left"/>
              <w:rPr/>
            </w:pPr>
            <w:r>
              <w:rPr/>
              <w:t>​</w:t>
            </w:r>
          </w:p>
        </w:tc>
        <w:tc>
          <w:tcPr>
            <w:tcW w:w="539" w:type="dxa"/>
            <w:tcBorders/>
            <w:vAlign w:val="center"/>
          </w:tcPr>
          <w:p>
            <w:pPr>
              <w:pStyle w:val="TableContents"/>
              <w:bidi w:val="0"/>
              <w:spacing w:before="0" w:after="1"/>
              <w:ind w:left="0" w:right="0" w:hanging="0"/>
              <w:jc w:val="left"/>
              <w:rPr/>
            </w:pPr>
            <w:r>
              <w:rPr/>
              <w:t>​</w:t>
            </w:r>
          </w:p>
        </w:tc>
        <w:tc>
          <w:tcPr>
            <w:tcW w:w="199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488" w:type="dxa"/>
            <w:tcBorders/>
            <w:vAlign w:val="center"/>
          </w:tcPr>
          <w:p>
            <w:pPr>
              <w:pStyle w:val="TableContents"/>
              <w:bidi w:val="0"/>
              <w:spacing w:before="0" w:after="1"/>
              <w:ind w:left="0" w:right="0" w:hanging="0"/>
              <w:jc w:val="left"/>
              <w:rPr/>
            </w:pPr>
            <w:r>
              <w:rPr/>
              <w:t>​</w:t>
            </w:r>
          </w:p>
        </w:tc>
        <w:tc>
          <w:tcPr>
            <w:tcW w:w="132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78" w:type="dxa"/>
            <w:tcBorders/>
            <w:vAlign w:val="center"/>
          </w:tcPr>
          <w:p>
            <w:pPr>
              <w:pStyle w:val="TableContents"/>
              <w:bidi w:val="0"/>
              <w:spacing w:before="0" w:after="1"/>
              <w:ind w:left="0" w:right="0" w:hanging="0"/>
              <w:jc w:val="left"/>
              <w:rPr/>
            </w:pPr>
            <w:r>
              <w:rPr/>
              <w:t>​</w:t>
            </w:r>
          </w:p>
        </w:tc>
        <w:tc>
          <w:tcPr>
            <w:tcW w:w="143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76,100</w:t>
            </w:r>
          </w:p>
        </w:tc>
      </w:tr>
      <w:tr>
        <w:trPr/>
        <w:tc>
          <w:tcPr>
            <w:tcW w:w="197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ecosio Stock Earn-outs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31,700</w:t>
            </w:r>
          </w:p>
        </w:tc>
        <w:tc>
          <w:tcPr>
            <w:tcW w:w="326" w:type="dxa"/>
            <w:tcBorders/>
            <w:shd w:fill="CCEEFF" w:val="clear"/>
            <w:vAlign w:val="center"/>
          </w:tcPr>
          <w:p>
            <w:pPr>
              <w:pStyle w:val="TableContents"/>
              <w:bidi w:val="0"/>
              <w:spacing w:before="0" w:after="1"/>
              <w:ind w:left="0" w:right="0" w:hanging="0"/>
              <w:jc w:val="left"/>
              <w:rPr/>
            </w:pPr>
            <w:r>
              <w:rPr/>
              <w:t>​</w:t>
            </w:r>
          </w:p>
        </w:tc>
        <w:tc>
          <w:tcPr>
            <w:tcW w:w="539" w:type="dxa"/>
            <w:tcBorders/>
            <w:shd w:fill="CCEEFF" w:val="clear"/>
            <w:vAlign w:val="center"/>
          </w:tcPr>
          <w:p>
            <w:pPr>
              <w:pStyle w:val="TableContents"/>
              <w:bidi w:val="0"/>
              <w:spacing w:before="0" w:after="1"/>
              <w:ind w:left="0" w:right="0" w:hanging="0"/>
              <w:jc w:val="left"/>
              <w:rPr/>
            </w:pPr>
            <w:r>
              <w:rPr/>
              <w:t>​</w:t>
            </w:r>
          </w:p>
        </w:tc>
        <w:tc>
          <w:tcPr>
            <w:tcW w:w="199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88" w:type="dxa"/>
            <w:tcBorders/>
            <w:shd w:fill="CCEEFF" w:val="clear"/>
            <w:vAlign w:val="center"/>
          </w:tcPr>
          <w:p>
            <w:pPr>
              <w:pStyle w:val="TableContents"/>
              <w:bidi w:val="0"/>
              <w:spacing w:before="0" w:after="1"/>
              <w:ind w:left="0" w:right="0" w:hanging="0"/>
              <w:jc w:val="left"/>
              <w:rPr/>
            </w:pPr>
            <w:r>
              <w:rPr/>
              <w:t>​</w:t>
            </w:r>
          </w:p>
        </w:tc>
        <w:tc>
          <w:tcPr>
            <w:tcW w:w="132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78" w:type="dxa"/>
            <w:tcBorders/>
            <w:shd w:fill="CCEEFF" w:val="clear"/>
            <w:vAlign w:val="center"/>
          </w:tcPr>
          <w:p>
            <w:pPr>
              <w:pStyle w:val="TableContents"/>
              <w:bidi w:val="0"/>
              <w:spacing w:before="0" w:after="1"/>
              <w:ind w:left="0" w:right="0" w:hanging="0"/>
              <w:jc w:val="left"/>
              <w:rPr/>
            </w:pPr>
            <w:r>
              <w:rPr/>
              <w:t>​</w:t>
            </w:r>
          </w:p>
        </w:tc>
        <w:tc>
          <w:tcPr>
            <w:tcW w:w="143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31,700</w:t>
            </w:r>
          </w:p>
        </w:tc>
      </w:tr>
      <w:tr>
        <w:trPr/>
        <w:tc>
          <w:tcPr>
            <w:tcW w:w="1970"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126"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 Measurements Using</w:t>
            </w:r>
          </w:p>
        </w:tc>
      </w:tr>
      <w:tr>
        <w:trPr/>
        <w:tc>
          <w:tcPr>
            <w:tcW w:w="1970"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As of December 31, 2024</w:t>
            </w:r>
          </w:p>
        </w:tc>
        <w:tc>
          <w:tcPr>
            <w:tcW w:w="109" w:type="dxa"/>
            <w:tcBorders/>
            <w:vAlign w:val="center"/>
          </w:tcPr>
          <w:p>
            <w:pPr>
              <w:pStyle w:val="TableContents"/>
              <w:bidi w:val="0"/>
              <w:spacing w:before="0" w:after="1"/>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326" w:type="dxa"/>
            <w:tcBorders/>
            <w:vAlign w:val="center"/>
          </w:tcPr>
          <w:p>
            <w:pPr>
              <w:pStyle w:val="TableContents"/>
              <w:bidi w:val="0"/>
              <w:spacing w:before="0" w:after="1"/>
              <w:ind w:left="0" w:right="0" w:hanging="0"/>
              <w:jc w:val="left"/>
              <w:rPr/>
            </w:pPr>
            <w:r>
              <w:rPr/>
              <w:t>    </w:t>
            </w:r>
          </w:p>
        </w:tc>
        <w:tc>
          <w:tcPr>
            <w:tcW w:w="253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Prices in active markets for identical assets (Level 1)</w:t>
            </w:r>
          </w:p>
        </w:tc>
        <w:tc>
          <w:tcPr>
            <w:tcW w:w="326" w:type="dxa"/>
            <w:tcBorders/>
            <w:vAlign w:val="center"/>
          </w:tcPr>
          <w:p>
            <w:pPr>
              <w:pStyle w:val="TableContents"/>
              <w:bidi w:val="0"/>
              <w:spacing w:before="0" w:after="1"/>
              <w:ind w:left="0" w:right="0" w:hanging="0"/>
              <w:jc w:val="left"/>
              <w:rPr/>
            </w:pPr>
            <w:r>
              <w:rPr/>
              <w:t>    </w:t>
            </w:r>
          </w:p>
        </w:tc>
        <w:tc>
          <w:tcPr>
            <w:tcW w:w="181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Significant other observable inputs</w:t>
              <w:br/>
              <w:t>(Level 2)</w:t>
            </w:r>
          </w:p>
        </w:tc>
        <w:tc>
          <w:tcPr>
            <w:tcW w:w="326" w:type="dxa"/>
            <w:tcBorders/>
            <w:vAlign w:val="center"/>
          </w:tcPr>
          <w:p>
            <w:pPr>
              <w:pStyle w:val="TableContents"/>
              <w:bidi w:val="0"/>
              <w:spacing w:before="0" w:after="1"/>
              <w:ind w:left="0" w:right="0" w:hanging="0"/>
              <w:jc w:val="left"/>
              <w:rPr/>
            </w:pPr>
            <w:r>
              <w:rPr/>
              <w:t>    </w:t>
            </w:r>
          </w:p>
        </w:tc>
        <w:tc>
          <w:tcPr>
            <w:tcW w:w="180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Significant unobservable inputs</w:t>
              <w:br/>
              <w:t xml:space="preserve">(Level 3) </w:t>
            </w:r>
          </w:p>
        </w:tc>
      </w:tr>
      <w:tr>
        <w:trPr/>
        <w:tc>
          <w:tcPr>
            <w:tcW w:w="197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Money Market Funds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276,374</w:t>
            </w:r>
          </w:p>
        </w:tc>
        <w:tc>
          <w:tcPr>
            <w:tcW w:w="326" w:type="dxa"/>
            <w:tcBorders/>
            <w:shd w:fill="CCEEFF" w:val="clear"/>
            <w:vAlign w:val="center"/>
          </w:tcPr>
          <w:p>
            <w:pPr>
              <w:pStyle w:val="TableContents"/>
              <w:bidi w:val="0"/>
              <w:spacing w:before="0" w:after="1"/>
              <w:ind w:left="0" w:right="0" w:hanging="0"/>
              <w:jc w:val="left"/>
              <w:rPr/>
            </w:pPr>
            <w:r>
              <w:rPr/>
              <w:t>​</w:t>
            </w:r>
          </w:p>
        </w:tc>
        <w:tc>
          <w:tcPr>
            <w:tcW w:w="53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99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276,374</w:t>
            </w:r>
          </w:p>
        </w:tc>
        <w:tc>
          <w:tcPr>
            <w:tcW w:w="326" w:type="dxa"/>
            <w:tcBorders/>
            <w:shd w:fill="CCEEFF" w:val="clear"/>
            <w:vAlign w:val="center"/>
          </w:tcPr>
          <w:p>
            <w:pPr>
              <w:pStyle w:val="TableContents"/>
              <w:bidi w:val="0"/>
              <w:spacing w:before="0" w:after="1"/>
              <w:ind w:left="0" w:right="0" w:hanging="0"/>
              <w:jc w:val="left"/>
              <w:rPr/>
            </w:pPr>
            <w:r>
              <w:rPr/>
              <w:t>​</w:t>
            </w:r>
          </w:p>
        </w:tc>
        <w:tc>
          <w:tcPr>
            <w:tcW w:w="48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2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7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430" w:type="dxa"/>
            <w:tcBorders/>
            <w:shd w:fill="CCEEFF" w:val="clear"/>
            <w:vAlign w:val="center"/>
          </w:tcPr>
          <w:p>
            <w:pPr>
              <w:pStyle w:val="TableContents"/>
              <w:bidi w:val="0"/>
              <w:spacing w:before="0" w:after="1"/>
              <w:ind w:left="0" w:right="0" w:hanging="0"/>
              <w:jc w:val="right"/>
              <w:rPr/>
            </w:pPr>
            <w:r>
              <w:rPr/>
              <w:t>—</w:t>
            </w:r>
          </w:p>
        </w:tc>
      </w:tr>
      <w:tr>
        <w:trPr/>
        <w:tc>
          <w:tcPr>
            <w:tcW w:w="197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Commercial Paper</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4,920</w:t>
            </w:r>
          </w:p>
        </w:tc>
        <w:tc>
          <w:tcPr>
            <w:tcW w:w="326" w:type="dxa"/>
            <w:tcBorders/>
            <w:vAlign w:val="center"/>
          </w:tcPr>
          <w:p>
            <w:pPr>
              <w:pStyle w:val="TableContents"/>
              <w:bidi w:val="0"/>
              <w:spacing w:before="0" w:after="1"/>
              <w:ind w:left="0" w:right="0" w:hanging="0"/>
              <w:jc w:val="left"/>
              <w:rPr/>
            </w:pPr>
            <w:r>
              <w:rPr/>
              <w:t>​</w:t>
            </w:r>
          </w:p>
        </w:tc>
        <w:tc>
          <w:tcPr>
            <w:tcW w:w="539" w:type="dxa"/>
            <w:tcBorders/>
            <w:vAlign w:val="center"/>
          </w:tcPr>
          <w:p>
            <w:pPr>
              <w:pStyle w:val="TableContents"/>
              <w:bidi w:val="0"/>
              <w:spacing w:before="0" w:after="1"/>
              <w:ind w:left="0" w:right="0" w:hanging="0"/>
              <w:jc w:val="left"/>
              <w:rPr/>
            </w:pPr>
            <w:r>
              <w:rPr/>
              <w:t>​</w:t>
            </w:r>
          </w:p>
        </w:tc>
        <w:tc>
          <w:tcPr>
            <w:tcW w:w="199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488" w:type="dxa"/>
            <w:tcBorders/>
            <w:vAlign w:val="center"/>
          </w:tcPr>
          <w:p>
            <w:pPr>
              <w:pStyle w:val="TableContents"/>
              <w:bidi w:val="0"/>
              <w:spacing w:before="0" w:after="1"/>
              <w:ind w:left="0" w:right="0" w:hanging="0"/>
              <w:jc w:val="left"/>
              <w:rPr/>
            </w:pPr>
            <w:r>
              <w:rPr/>
              <w:t>​</w:t>
            </w:r>
          </w:p>
        </w:tc>
        <w:tc>
          <w:tcPr>
            <w:tcW w:w="132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4,920</w:t>
            </w:r>
          </w:p>
        </w:tc>
        <w:tc>
          <w:tcPr>
            <w:tcW w:w="326" w:type="dxa"/>
            <w:tcBorders/>
            <w:vAlign w:val="center"/>
          </w:tcPr>
          <w:p>
            <w:pPr>
              <w:pStyle w:val="TableContents"/>
              <w:bidi w:val="0"/>
              <w:spacing w:before="0" w:after="1"/>
              <w:ind w:left="0" w:right="0" w:hanging="0"/>
              <w:jc w:val="left"/>
              <w:rPr/>
            </w:pPr>
            <w:r>
              <w:rPr/>
              <w:t>​</w:t>
            </w:r>
          </w:p>
        </w:tc>
        <w:tc>
          <w:tcPr>
            <w:tcW w:w="378" w:type="dxa"/>
            <w:tcBorders/>
            <w:vAlign w:val="center"/>
          </w:tcPr>
          <w:p>
            <w:pPr>
              <w:pStyle w:val="TableContents"/>
              <w:bidi w:val="0"/>
              <w:spacing w:before="0" w:after="1"/>
              <w:ind w:left="0" w:right="0" w:hanging="0"/>
              <w:jc w:val="left"/>
              <w:rPr/>
            </w:pPr>
            <w:r>
              <w:rPr/>
              <w:t>​</w:t>
            </w:r>
          </w:p>
        </w:tc>
        <w:tc>
          <w:tcPr>
            <w:tcW w:w="1430" w:type="dxa"/>
            <w:tcBorders/>
            <w:vAlign w:val="center"/>
          </w:tcPr>
          <w:p>
            <w:pPr>
              <w:pStyle w:val="TableContents"/>
              <w:bidi w:val="0"/>
              <w:spacing w:before="0" w:after="1"/>
              <w:ind w:left="0" w:right="0" w:hanging="0"/>
              <w:jc w:val="right"/>
              <w:rPr/>
            </w:pPr>
            <w:r>
              <w:rPr/>
              <w:t>—</w:t>
            </w:r>
          </w:p>
        </w:tc>
      </w:tr>
      <w:tr>
        <w:trPr/>
        <w:tc>
          <w:tcPr>
            <w:tcW w:w="197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Corporate Bonds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250</w:t>
            </w:r>
          </w:p>
        </w:tc>
        <w:tc>
          <w:tcPr>
            <w:tcW w:w="326" w:type="dxa"/>
            <w:tcBorders/>
            <w:shd w:fill="CCEEFF" w:val="clear"/>
            <w:vAlign w:val="center"/>
          </w:tcPr>
          <w:p>
            <w:pPr>
              <w:pStyle w:val="TableContents"/>
              <w:bidi w:val="0"/>
              <w:spacing w:before="0" w:after="1"/>
              <w:ind w:left="0" w:right="0" w:hanging="0"/>
              <w:jc w:val="left"/>
              <w:rPr/>
            </w:pPr>
            <w:r>
              <w:rPr/>
              <w:t>​</w:t>
            </w:r>
          </w:p>
        </w:tc>
        <w:tc>
          <w:tcPr>
            <w:tcW w:w="539" w:type="dxa"/>
            <w:tcBorders/>
            <w:shd w:fill="CCEEFF" w:val="clear"/>
            <w:vAlign w:val="center"/>
          </w:tcPr>
          <w:p>
            <w:pPr>
              <w:pStyle w:val="TableContents"/>
              <w:bidi w:val="0"/>
              <w:spacing w:before="0" w:after="1"/>
              <w:ind w:left="0" w:right="0" w:hanging="0"/>
              <w:jc w:val="left"/>
              <w:rPr/>
            </w:pPr>
            <w:r>
              <w:rPr/>
              <w:t>​</w:t>
            </w:r>
          </w:p>
        </w:tc>
        <w:tc>
          <w:tcPr>
            <w:tcW w:w="199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88" w:type="dxa"/>
            <w:tcBorders/>
            <w:shd w:fill="CCEEFF" w:val="clear"/>
            <w:vAlign w:val="center"/>
          </w:tcPr>
          <w:p>
            <w:pPr>
              <w:pStyle w:val="TableContents"/>
              <w:bidi w:val="0"/>
              <w:spacing w:before="0" w:after="1"/>
              <w:ind w:left="0" w:right="0" w:hanging="0"/>
              <w:jc w:val="left"/>
              <w:rPr/>
            </w:pPr>
            <w:r>
              <w:rPr/>
              <w:t>​</w:t>
            </w:r>
          </w:p>
        </w:tc>
        <w:tc>
          <w:tcPr>
            <w:tcW w:w="132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250</w:t>
            </w:r>
          </w:p>
        </w:tc>
        <w:tc>
          <w:tcPr>
            <w:tcW w:w="326" w:type="dxa"/>
            <w:tcBorders/>
            <w:shd w:fill="CCEEFF" w:val="clear"/>
            <w:vAlign w:val="center"/>
          </w:tcPr>
          <w:p>
            <w:pPr>
              <w:pStyle w:val="TableContents"/>
              <w:bidi w:val="0"/>
              <w:spacing w:before="0" w:after="1"/>
              <w:ind w:left="0" w:right="0" w:hanging="0"/>
              <w:jc w:val="left"/>
              <w:rPr/>
            </w:pPr>
            <w:r>
              <w:rPr/>
              <w:t>​</w:t>
            </w:r>
          </w:p>
        </w:tc>
        <w:tc>
          <w:tcPr>
            <w:tcW w:w="378" w:type="dxa"/>
            <w:tcBorders/>
            <w:shd w:fill="CCEEFF" w:val="clear"/>
            <w:vAlign w:val="center"/>
          </w:tcPr>
          <w:p>
            <w:pPr>
              <w:pStyle w:val="TableContents"/>
              <w:bidi w:val="0"/>
              <w:spacing w:before="0" w:after="1"/>
              <w:ind w:left="0" w:right="0" w:hanging="0"/>
              <w:jc w:val="left"/>
              <w:rPr/>
            </w:pPr>
            <w:r>
              <w:rPr/>
              <w:t>​</w:t>
            </w:r>
          </w:p>
        </w:tc>
        <w:tc>
          <w:tcPr>
            <w:tcW w:w="1430" w:type="dxa"/>
            <w:tcBorders/>
            <w:shd w:fill="CCEEFF" w:val="clear"/>
            <w:vAlign w:val="center"/>
          </w:tcPr>
          <w:p>
            <w:pPr>
              <w:pStyle w:val="TableContents"/>
              <w:bidi w:val="0"/>
              <w:spacing w:before="0" w:after="1"/>
              <w:ind w:left="0" w:right="0" w:hanging="0"/>
              <w:jc w:val="right"/>
              <w:rPr/>
            </w:pPr>
            <w:r>
              <w:rPr/>
              <w:t>—</w:t>
            </w:r>
          </w:p>
        </w:tc>
      </w:tr>
      <w:tr>
        <w:trPr/>
        <w:tc>
          <w:tcPr>
            <w:tcW w:w="197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U.S. Treasury Securities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5,983</w:t>
            </w:r>
          </w:p>
        </w:tc>
        <w:tc>
          <w:tcPr>
            <w:tcW w:w="326" w:type="dxa"/>
            <w:tcBorders/>
            <w:vAlign w:val="center"/>
          </w:tcPr>
          <w:p>
            <w:pPr>
              <w:pStyle w:val="TableContents"/>
              <w:bidi w:val="0"/>
              <w:spacing w:before="0" w:after="1"/>
              <w:ind w:left="0" w:right="0" w:hanging="0"/>
              <w:jc w:val="left"/>
              <w:rPr/>
            </w:pPr>
            <w:r>
              <w:rPr/>
              <w:t>​</w:t>
            </w:r>
          </w:p>
        </w:tc>
        <w:tc>
          <w:tcPr>
            <w:tcW w:w="539" w:type="dxa"/>
            <w:tcBorders/>
            <w:vAlign w:val="center"/>
          </w:tcPr>
          <w:p>
            <w:pPr>
              <w:pStyle w:val="TableContents"/>
              <w:bidi w:val="0"/>
              <w:spacing w:before="0" w:after="1"/>
              <w:ind w:left="0" w:right="0" w:hanging="0"/>
              <w:jc w:val="left"/>
              <w:rPr/>
            </w:pPr>
            <w:r>
              <w:rPr/>
              <w:t>​</w:t>
            </w:r>
          </w:p>
        </w:tc>
        <w:tc>
          <w:tcPr>
            <w:tcW w:w="199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488" w:type="dxa"/>
            <w:tcBorders/>
            <w:vAlign w:val="center"/>
          </w:tcPr>
          <w:p>
            <w:pPr>
              <w:pStyle w:val="TableContents"/>
              <w:bidi w:val="0"/>
              <w:spacing w:before="0" w:after="1"/>
              <w:ind w:left="0" w:right="0" w:hanging="0"/>
              <w:jc w:val="left"/>
              <w:rPr/>
            </w:pPr>
            <w:r>
              <w:rPr/>
              <w:t>​</w:t>
            </w:r>
          </w:p>
        </w:tc>
        <w:tc>
          <w:tcPr>
            <w:tcW w:w="132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5,983</w:t>
            </w:r>
          </w:p>
        </w:tc>
        <w:tc>
          <w:tcPr>
            <w:tcW w:w="326" w:type="dxa"/>
            <w:tcBorders/>
            <w:vAlign w:val="center"/>
          </w:tcPr>
          <w:p>
            <w:pPr>
              <w:pStyle w:val="TableContents"/>
              <w:bidi w:val="0"/>
              <w:spacing w:before="0" w:after="1"/>
              <w:ind w:left="0" w:right="0" w:hanging="0"/>
              <w:jc w:val="left"/>
              <w:rPr/>
            </w:pPr>
            <w:r>
              <w:rPr/>
              <w:t>​</w:t>
            </w:r>
          </w:p>
        </w:tc>
        <w:tc>
          <w:tcPr>
            <w:tcW w:w="378" w:type="dxa"/>
            <w:tcBorders/>
            <w:vAlign w:val="center"/>
          </w:tcPr>
          <w:p>
            <w:pPr>
              <w:pStyle w:val="TableContents"/>
              <w:bidi w:val="0"/>
              <w:spacing w:before="0" w:after="1"/>
              <w:ind w:left="0" w:right="0" w:hanging="0"/>
              <w:jc w:val="left"/>
              <w:rPr/>
            </w:pPr>
            <w:r>
              <w:rPr/>
              <w:t>​</w:t>
            </w:r>
          </w:p>
        </w:tc>
        <w:tc>
          <w:tcPr>
            <w:tcW w:w="1430" w:type="dxa"/>
            <w:tcBorders/>
            <w:vAlign w:val="center"/>
          </w:tcPr>
          <w:p>
            <w:pPr>
              <w:pStyle w:val="TableContents"/>
              <w:bidi w:val="0"/>
              <w:spacing w:before="0" w:after="1"/>
              <w:ind w:left="0" w:right="0" w:hanging="0"/>
              <w:jc w:val="right"/>
              <w:rPr/>
            </w:pPr>
            <w:r>
              <w:rPr/>
              <w:t>—</w:t>
            </w:r>
          </w:p>
        </w:tc>
      </w:tr>
      <w:tr>
        <w:trPr/>
        <w:tc>
          <w:tcPr>
            <w:tcW w:w="197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ecosio Cash Earn-outs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74,400</w:t>
            </w:r>
          </w:p>
        </w:tc>
        <w:tc>
          <w:tcPr>
            <w:tcW w:w="326" w:type="dxa"/>
            <w:tcBorders/>
            <w:shd w:fill="CCEEFF" w:val="clear"/>
            <w:vAlign w:val="center"/>
          </w:tcPr>
          <w:p>
            <w:pPr>
              <w:pStyle w:val="TableContents"/>
              <w:bidi w:val="0"/>
              <w:spacing w:before="0" w:after="1"/>
              <w:ind w:left="0" w:right="0" w:hanging="0"/>
              <w:jc w:val="left"/>
              <w:rPr/>
            </w:pPr>
            <w:r>
              <w:rPr/>
              <w:t>​</w:t>
            </w:r>
          </w:p>
        </w:tc>
        <w:tc>
          <w:tcPr>
            <w:tcW w:w="539" w:type="dxa"/>
            <w:tcBorders/>
            <w:shd w:fill="CCEEFF" w:val="clear"/>
            <w:vAlign w:val="center"/>
          </w:tcPr>
          <w:p>
            <w:pPr>
              <w:pStyle w:val="TableContents"/>
              <w:bidi w:val="0"/>
              <w:spacing w:before="0" w:after="1"/>
              <w:ind w:left="0" w:right="0" w:hanging="0"/>
              <w:jc w:val="left"/>
              <w:rPr/>
            </w:pPr>
            <w:r>
              <w:rPr/>
              <w:t>​</w:t>
            </w:r>
          </w:p>
        </w:tc>
        <w:tc>
          <w:tcPr>
            <w:tcW w:w="199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88" w:type="dxa"/>
            <w:tcBorders/>
            <w:shd w:fill="CCEEFF" w:val="clear"/>
            <w:vAlign w:val="center"/>
          </w:tcPr>
          <w:p>
            <w:pPr>
              <w:pStyle w:val="TableContents"/>
              <w:bidi w:val="0"/>
              <w:spacing w:before="0" w:after="1"/>
              <w:ind w:left="0" w:right="0" w:hanging="0"/>
              <w:jc w:val="left"/>
              <w:rPr/>
            </w:pPr>
            <w:r>
              <w:rPr/>
              <w:t>​</w:t>
            </w:r>
          </w:p>
        </w:tc>
        <w:tc>
          <w:tcPr>
            <w:tcW w:w="132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78" w:type="dxa"/>
            <w:tcBorders/>
            <w:shd w:fill="CCEEFF" w:val="clear"/>
            <w:vAlign w:val="center"/>
          </w:tcPr>
          <w:p>
            <w:pPr>
              <w:pStyle w:val="TableContents"/>
              <w:bidi w:val="0"/>
              <w:spacing w:before="0" w:after="1"/>
              <w:ind w:left="0" w:right="0" w:hanging="0"/>
              <w:jc w:val="left"/>
              <w:rPr/>
            </w:pPr>
            <w:r>
              <w:rPr/>
              <w:t>​</w:t>
            </w:r>
          </w:p>
        </w:tc>
        <w:tc>
          <w:tcPr>
            <w:tcW w:w="143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74,400</w:t>
            </w:r>
          </w:p>
        </w:tc>
      </w:tr>
      <w:tr>
        <w:trPr/>
        <w:tc>
          <w:tcPr>
            <w:tcW w:w="197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ecosio Stock Earn-outs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48,100</w:t>
            </w:r>
          </w:p>
        </w:tc>
        <w:tc>
          <w:tcPr>
            <w:tcW w:w="326" w:type="dxa"/>
            <w:tcBorders/>
            <w:vAlign w:val="center"/>
          </w:tcPr>
          <w:p>
            <w:pPr>
              <w:pStyle w:val="TableContents"/>
              <w:bidi w:val="0"/>
              <w:spacing w:before="0" w:after="1"/>
              <w:ind w:left="0" w:right="0" w:hanging="0"/>
              <w:jc w:val="left"/>
              <w:rPr/>
            </w:pPr>
            <w:r>
              <w:rPr/>
              <w:t>​</w:t>
            </w:r>
          </w:p>
        </w:tc>
        <w:tc>
          <w:tcPr>
            <w:tcW w:w="539" w:type="dxa"/>
            <w:tcBorders/>
            <w:vAlign w:val="center"/>
          </w:tcPr>
          <w:p>
            <w:pPr>
              <w:pStyle w:val="TableContents"/>
              <w:bidi w:val="0"/>
              <w:spacing w:before="0" w:after="1"/>
              <w:ind w:left="0" w:right="0" w:hanging="0"/>
              <w:jc w:val="left"/>
              <w:rPr/>
            </w:pPr>
            <w:r>
              <w:rPr/>
              <w:t>​</w:t>
            </w:r>
          </w:p>
        </w:tc>
        <w:tc>
          <w:tcPr>
            <w:tcW w:w="199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488" w:type="dxa"/>
            <w:tcBorders/>
            <w:vAlign w:val="center"/>
          </w:tcPr>
          <w:p>
            <w:pPr>
              <w:pStyle w:val="TableContents"/>
              <w:bidi w:val="0"/>
              <w:spacing w:before="0" w:after="1"/>
              <w:ind w:left="0" w:right="0" w:hanging="0"/>
              <w:jc w:val="left"/>
              <w:rPr/>
            </w:pPr>
            <w:r>
              <w:rPr/>
              <w:t>​</w:t>
            </w:r>
          </w:p>
        </w:tc>
        <w:tc>
          <w:tcPr>
            <w:tcW w:w="132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78" w:type="dxa"/>
            <w:tcBorders/>
            <w:vAlign w:val="center"/>
          </w:tcPr>
          <w:p>
            <w:pPr>
              <w:pStyle w:val="TableContents"/>
              <w:bidi w:val="0"/>
              <w:spacing w:before="0" w:after="1"/>
              <w:ind w:left="0" w:right="0" w:hanging="0"/>
              <w:jc w:val="left"/>
              <w:rPr/>
            </w:pPr>
            <w:r>
              <w:rPr/>
              <w:t>​</w:t>
            </w:r>
          </w:p>
        </w:tc>
        <w:tc>
          <w:tcPr>
            <w:tcW w:w="1430" w:type="dxa"/>
            <w:tcBorders/>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48,100</w:t>
            </w:r>
          </w:p>
        </w:tc>
      </w:tr>
    </w:tbl>
    <w:p>
      <w:pPr>
        <w:pStyle w:val="TextBody"/>
        <w:bidi w:val="0"/>
        <w:spacing w:before="0" w:after="240"/>
        <w:ind w:left="0" w:right="0" w:firstLine="360"/>
        <w:jc w:val="both"/>
        <w:rPr/>
      </w:pPr>
      <w:r>
        <w:rPr/>
        <w:t>​</w:t>
      </w:r>
    </w:p>
    <w:p>
      <w:pPr>
        <w:pStyle w:val="TextBody"/>
        <w:pBd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Company has investments in high quality, short-term money market instruments, which are issued and payable in U.S. dollars (“Money Market Funds”) and included in cash and cash equivalents on the condensed consolidated balance sheets. Fair value inputs for these investments are considered Level 1 measurements within the fair value hierarchy since Money Market Fund fair values are known and observable through daily published floating net asset values. Securities classified as available-for-sale are reported at fair value using Level 2 inputs. </w:t>
      </w:r>
    </w:p>
    <w:p>
      <w:pPr>
        <w:pStyle w:val="TextBody"/>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As of December 31, 2024, the Company had additional</w:t>
      </w:r>
      <w:r>
        <w:rPr>
          <w:rFonts w:ascii="Times New Roman;Times;serif" w:hAnsi="Times New Roman;Times;serif"/>
          <w:color w:val="FF0000"/>
          <w:sz w:val="20"/>
        </w:rPr>
        <w:t xml:space="preserve"> </w:t>
      </w:r>
      <w:r>
        <w:rPr>
          <w:rFonts w:ascii="Times New Roman;Times;serif" w:hAnsi="Times New Roman;Times;serif"/>
          <w:sz w:val="20"/>
        </w:rPr>
        <w:t>investments in bank and corporate issued commercial paper (“Commercial Paper”), corporate bonds (“Corporate Bonds”),</w:t>
      </w:r>
      <w:r>
        <w:rPr>
          <w:rFonts w:ascii="Times New Roman;Times;serif" w:hAnsi="Times New Roman;Times;serif"/>
          <w:color w:val="FF0000"/>
          <w:sz w:val="20"/>
        </w:rPr>
        <w:t xml:space="preserve"> </w:t>
      </w:r>
      <w:r>
        <w:rPr>
          <w:rFonts w:ascii="Times New Roman;Times;serif" w:hAnsi="Times New Roman;Times;serif"/>
          <w:sz w:val="20"/>
        </w:rPr>
        <w:t>and U.S. treasury securities (“U.S. Treasury Securities”). The Company believes that Level 2 designation was appropriate for these securities under Accounting Standards Codification  (“ASC”) 820-10, Fair Value Measurements and Disclosures, as these securities were fixed income securities, none were exchange-traded, and all were priced by correlation to observed market data. For these securities, the Company obtained fair value measurements from an independent pricing service. The fair value measurements considered observable data that may have included dealer quotes, market spreads, cash flows, U.S. government and agency yield curves, live trading levels, trade execution data, market consensus prepayment speeds, credit information, and the security’s terms and conditions, among other factors. These securities qualified as debt securities per ASC 320, Investments– Debt Securities, and were classified as available-for-sale as they could be liquidated and used for general corporate purposes. These securities were carried at fair value in the investment securities available-for-sale line in the condensed consolidated balance sheets, with the unrealized holding gains and (losses), net of tax, included in other comprehensive (income) loss until realized. During the three months ended March 31, 2025, the Company fully liquidated these securities, which resulted in a realized gain of $19, which is included in the interest expense (income), net line of the condensed consolidated statements of comprehensive income (loss).</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In connection with the August 2024 ecosio acquisition, the sellers are entitled to three annual earn-outs in the form of cash, with an aggregate of up to $94,355 (the “Cash Earn-outs”), and stock, with an aggregate value of up to $35,000 (the “Stock Earn-outs,” and together with the Cash Earn-outs, the “Earn-outs”), assuming maximum payouts. The Earn-outs are based on ecosio’s achievement of certain monthly software revenue targets over a three-year period, measured over an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646" w:type="dxa"/>
        <w:jc w:val="left"/>
        <w:tblInd w:w="0" w:type="dxa"/>
        <w:tblLayout w:type="fixed"/>
        <w:tblCellMar>
          <w:top w:w="0" w:type="dxa"/>
          <w:left w:w="0" w:type="dxa"/>
          <w:bottom w:w="0" w:type="dxa"/>
          <w:right w:w="0" w:type="dxa"/>
        </w:tblCellMar>
      </w:tblPr>
      <w:tblGrid>
        <w:gridCol w:w="6646"/>
      </w:tblGrid>
      <w:tr>
        <w:trPr/>
        <w:tc>
          <w:tcPr>
            <w:tcW w:w="6646" w:type="dxa"/>
            <w:tcBorders/>
            <w:vAlign w:val="center"/>
          </w:tcPr>
          <w:p>
            <w:pPr>
              <w:pStyle w:val="TableContents"/>
              <w:bidi w:val="0"/>
              <w:spacing w:before="0" w:after="283"/>
              <w:ind w:left="0" w:right="0" w:hanging="0"/>
              <w:jc w:val="left"/>
              <w:rPr>
                <w:sz w:val="4"/>
                <w:szCs w:val="4"/>
              </w:rPr>
            </w:pPr>
            <w:r>
              <w:rPr>
                <w:sz w:val="4"/>
                <w:szCs w:val="4"/>
              </w:rPr>
            </w:r>
          </w:p>
        </w:tc>
      </w:tr>
      <w:tr>
        <w:trPr/>
        <w:tc>
          <w:tcPr>
            <w:tcW w:w="66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Vertex, Inc. and Subsidiaries</w:t>
            </w:r>
          </w:p>
        </w:tc>
      </w:tr>
      <w:tr>
        <w:trPr/>
        <w:tc>
          <w:tcPr>
            <w:tcW w:w="66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Condensed Consolidated Financial Statements (unaudited) continued</w:t>
            </w:r>
          </w:p>
        </w:tc>
      </w:tr>
      <w:tr>
        <w:trPr/>
        <w:tc>
          <w:tcPr>
            <w:tcW w:w="66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(Amounts in thousands, except per share data) </w:t>
            </w:r>
          </w:p>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bookmarkStart w:id="918" w:name="Tc_JTCsaYBsYUKkjuYgATa1Gw_9_0"/>
      <w:bookmarkStart w:id="919" w:name="Tc_Kv-K-hQwHkKsd9tDuyRJ1A_8_0"/>
      <w:bookmarkStart w:id="920" w:name="Tc_r_xX6MHPSU-oI37R62Ulmw_6_10"/>
      <w:bookmarkStart w:id="921" w:name="Tc_Iy4-Vyr1vESTUSdiX1-6mw_6_7"/>
      <w:bookmarkStart w:id="922" w:name="Tc_DL2Se4KfUUe6JTuOTlAdEw_6_4"/>
      <w:bookmarkStart w:id="923" w:name="Tc_Ch_2aLBicUqswU9rflFNzg_6_1"/>
      <w:bookmarkStart w:id="924" w:name="Tc_0O3wnG66lk6vvm4WFgL3Ww_6_0"/>
      <w:bookmarkStart w:id="925" w:name="Tc_jnuwkgG8rUmpq5jwtAY4tw_5_0"/>
      <w:bookmarkStart w:id="926" w:name="Tc_g69Fxn0lt0unAS0T0dOE0Q_4_10"/>
      <w:bookmarkStart w:id="927" w:name="Tc__3y7y2MrBU-esyJf3zHloQ_4_7"/>
      <w:bookmarkStart w:id="928" w:name="Tc_9H6lu0NdxUqVNXcruUnleQ_4_4"/>
      <w:bookmarkStart w:id="929" w:name="Tc_R0oLCMQLkkCCWk0K8pE7_g_4_1"/>
      <w:bookmarkStart w:id="930" w:name="Tc_3CEUe3XP8k-3wl3GGkHSZQ_4_0"/>
      <w:bookmarkStart w:id="931" w:name="Tc_Kw65iBTr7UGftGDBBt27hA_3_10"/>
      <w:bookmarkStart w:id="932" w:name="Tc_KTEkSWk600SCdwD3IGVXLA_3_7"/>
      <w:bookmarkStart w:id="933" w:name="Tc_ESvZ01sOYku3S0pvQb2Oww_3_4"/>
      <w:bookmarkStart w:id="934" w:name="Tc_sq9-DQKEskagYYGGInsvgw_3_1"/>
      <w:bookmarkStart w:id="935" w:name="Tc_GF6z-RL6oUiQV5EqYC7h6w_2_1"/>
      <w:bookmarkStart w:id="936" w:name="Tc_RhKJq2w77UGMfrPHbV8LSg_1_7"/>
      <w:bookmarkStart w:id="937" w:name="Tc_py-ycZtpuEeSal8gLwl-9Q_1_1"/>
      <w:bookmarkStart w:id="938" w:name="Tc_LPy8RvJiLkG08S7MBXIlRQ_13_0"/>
      <w:bookmarkStart w:id="939" w:name="Tc_CIjujTtEeUaU0N01OzXpQg_12_8"/>
      <w:bookmarkStart w:id="940" w:name="Tc_JKREsSWUWkmN8jDm86wu7g_12_5"/>
      <w:bookmarkStart w:id="941" w:name="Tc_Y12iakPK50OtkGFEW8KxZw_12_2"/>
      <w:bookmarkStart w:id="942" w:name="Tc_SXSDZ0Ia2UyWRI8kW32Abw_12_0"/>
      <w:bookmarkStart w:id="943" w:name="Tc_T9JCcKDmzUqGvqRyyZaBpA_11_0"/>
      <w:bookmarkStart w:id="944" w:name="Tc_eCt2bvpKxEO5AjV_VMxQEQ_10_0"/>
      <w:bookmarkStart w:id="945" w:name="Tc_1od2HIiy0UuqRgbnv17GWw_9_8"/>
      <w:bookmarkStart w:id="946" w:name="Tc_K2zX6wF-jUeII3NsSJBIrg_9_5"/>
      <w:bookmarkStart w:id="947" w:name="Tc_kti3U13GS0e0CdG7x2oczA_9_2"/>
      <w:bookmarkStart w:id="948" w:name="Tc_4KMGqkm9YkGe5qdpchw2OQ_9_0"/>
      <w:bookmarkStart w:id="949" w:name="Tc_AtVmvI8u-EGwpGzQJav9sQ_8_8"/>
      <w:bookmarkStart w:id="950" w:name="Tc_JLu5ID7tDkWc_v9a5xnBcg_8_5"/>
      <w:bookmarkStart w:id="951" w:name="Tc_75CG4REK2EedzPtMk7ROtw_8_2"/>
      <w:bookmarkStart w:id="952" w:name="Tc_cXMOCybgMkSlNxgBY_GmMA_8_0"/>
      <w:bookmarkStart w:id="953" w:name="Tc_T4Z7eV7i1Emtp82SYLrokQ_7_8"/>
      <w:bookmarkStart w:id="954" w:name="Tc_iwIxHLrjG0iHhRcxb1q-8g_7_5"/>
      <w:bookmarkStart w:id="955" w:name="Tc_VvZTu_O9U0mOywhTmPN0cQ_7_2"/>
      <w:bookmarkStart w:id="956" w:name="Tc_FFSeLfPdaEq9DUtmwO6EgQ_6_8"/>
      <w:bookmarkStart w:id="957" w:name="Tc_U5uWZGi8AUiYgnRZsdHQHw_6_5"/>
      <w:bookmarkStart w:id="958" w:name="Tc_Vj-vEJ8amUmwcIcc_tIFsQ_6_2"/>
      <w:bookmarkStart w:id="959" w:name="Tc__dTgSNrDsUKdjAEMToXwhg_6_0"/>
      <w:bookmarkStart w:id="960" w:name="Tc_ai13HcqDZEO4smqM552tmw_5_0"/>
      <w:bookmarkStart w:id="961" w:name="Tc_kU72ksGdH02_16iIqZPhpg_4_0"/>
      <w:bookmarkStart w:id="962" w:name="Tc_rvhD_WM2B0KNM59wiHpZYQ_3_8"/>
      <w:bookmarkStart w:id="963" w:name="Tc_a_rf9lVOs0qLYDM3U5SeXA_3_5"/>
      <w:bookmarkStart w:id="964" w:name="Tc__71Tn2Bt60OTwg9_SMqgVw_3_2"/>
      <w:bookmarkStart w:id="965" w:name="Tc_q-p6xovPakKkWN7AaNuJUg_3_0"/>
      <w:bookmarkStart w:id="966" w:name="Tc_Cpn4eoOEWUauTUCwBcW0qw_2_8"/>
      <w:bookmarkStart w:id="967" w:name="Tc_0_XwEYHtPkSlTnycqrJHeQ_2_5"/>
      <w:bookmarkStart w:id="968" w:name="Tc_nMOPS2eJOka0TTK42vK_Lg_2_2"/>
      <w:bookmarkStart w:id="969" w:name="Tc_tw3JQOKSgk2G4j96lvauIw_2_0"/>
      <w:bookmarkStart w:id="970" w:name="Tc_8zN9ysugykqXtwQcZJ-ZjA_1_8"/>
      <w:bookmarkStart w:id="971" w:name="Tc_oOBZrTti2E2ZZ-bG7lP27w_1_5"/>
      <w:bookmarkStart w:id="972" w:name="Tc_0aPPsoK_tkqL9x3cB-exow_1_2"/>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r>
        <w:rPr>
          <w:rFonts w:ascii="Times New Roman;Times;serif" w:hAnsi="Times New Roman;Times;serif"/>
          <w:sz w:val="20"/>
        </w:rPr>
        <w:t>aggregate of 12 months and paid within 90 days after the relevant measurement period. At the acquisition date, the fair value of the Cash Earn-outs and Stock Earn-outs were $71,000 and $34,000, respectively. The fair value of the Cash Earn-out and the Stock Earn-out were measured on the acquisition date using a Monte Carlo simulation in a risk-neutral framework, calibrated to management’s revenue forecasts. Additional information on the Cash Earn-outs and the Stock Earn-outs is presented in the following table:</w:t>
      </w:r>
    </w:p>
    <w:p>
      <w:pPr>
        <w:pStyle w:val="TextBody"/>
        <w:bidi w:val="0"/>
        <w:spacing w:before="0" w:after="0"/>
        <w:ind w:left="0" w:right="0" w:firstLine="360"/>
        <w:jc w:val="both"/>
        <w:rPr/>
      </w:pPr>
      <w:r>
        <w:rPr/>
        <w:t>​</w:t>
      </w:r>
    </w:p>
    <w:tbl>
      <w:tblPr>
        <w:tblW w:w="9236" w:type="dxa"/>
        <w:jc w:val="left"/>
        <w:tblInd w:w="0" w:type="dxa"/>
        <w:tblLayout w:type="fixed"/>
        <w:tblCellMar>
          <w:top w:w="0" w:type="dxa"/>
          <w:left w:w="0" w:type="dxa"/>
          <w:bottom w:w="0" w:type="dxa"/>
          <w:right w:w="0" w:type="dxa"/>
        </w:tblCellMar>
      </w:tblPr>
      <w:tblGrid>
        <w:gridCol w:w="4542"/>
        <w:gridCol w:w="127"/>
        <w:gridCol w:w="246"/>
        <w:gridCol w:w="790"/>
        <w:gridCol w:w="127"/>
        <w:gridCol w:w="349"/>
        <w:gridCol w:w="1123"/>
        <w:gridCol w:w="127"/>
        <w:gridCol w:w="406"/>
        <w:gridCol w:w="1399"/>
      </w:tblGrid>
      <w:tr>
        <w:trPr/>
        <w:tc>
          <w:tcPr>
            <w:tcW w:w="45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884170" cy="175260"/>
                      <wp:effectExtent l="0" t="0" r="0" b="0"/>
                      <wp:wrapNone/>
                      <wp:docPr id="107" name="Frame107"/>
                      <a:graphic xmlns:a="http://schemas.openxmlformats.org/drawingml/2006/main">
                        <a:graphicData uri="http://schemas.microsoft.com/office/word/2010/wordprocessingShape">
                          <wps:wsp>
                            <wps:cNvSpPr txBox="1"/>
                            <wps:spPr>
                              <a:xfrm>
                                <a:off x="0" y="0"/>
                                <a:ext cx="28841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80645" cy="175260"/>
                      <wp:effectExtent l="0" t="0" r="0" b="0"/>
                      <wp:wrapNone/>
                      <wp:docPr id="108" name="Frame108"/>
                      <a:graphic xmlns:a="http://schemas.openxmlformats.org/drawingml/2006/main">
                        <a:graphicData uri="http://schemas.microsoft.com/office/word/2010/wordprocessingShape">
                          <wps:wsp>
                            <wps:cNvSpPr txBox="1"/>
                            <wps:spPr>
                              <a:xfrm>
                                <a:off x="0" y="0"/>
                                <a:ext cx="806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156210" cy="175260"/>
                      <wp:effectExtent l="0" t="0" r="0" b="0"/>
                      <wp:wrapNone/>
                      <wp:docPr id="109" name="Frame109"/>
                      <a:graphic xmlns:a="http://schemas.openxmlformats.org/drawingml/2006/main">
                        <a:graphicData uri="http://schemas.microsoft.com/office/word/2010/wordprocessingShape">
                          <wps:wsp>
                            <wps:cNvSpPr txBox="1"/>
                            <wps:spPr>
                              <a:xfrm>
                                <a:off x="0" y="0"/>
                                <a:ext cx="156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501650" cy="175260"/>
                      <wp:effectExtent l="0" t="0" r="0" b="0"/>
                      <wp:wrapNone/>
                      <wp:docPr id="110" name="Frame110"/>
                      <a:graphic xmlns:a="http://schemas.openxmlformats.org/drawingml/2006/main">
                        <a:graphicData uri="http://schemas.microsoft.com/office/word/2010/wordprocessingShape">
                          <wps:wsp>
                            <wps:cNvSpPr txBox="1"/>
                            <wps:spPr>
                              <a:xfrm>
                                <a:off x="0" y="0"/>
                                <a:ext cx="5016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80645" cy="175260"/>
                      <wp:effectExtent l="0" t="0" r="0" b="0"/>
                      <wp:wrapNone/>
                      <wp:docPr id="111" name="Frame111"/>
                      <a:graphic xmlns:a="http://schemas.openxmlformats.org/drawingml/2006/main">
                        <a:graphicData uri="http://schemas.microsoft.com/office/word/2010/wordprocessingShape">
                          <wps:wsp>
                            <wps:cNvSpPr txBox="1"/>
                            <wps:spPr>
                              <a:xfrm>
                                <a:off x="0" y="0"/>
                                <a:ext cx="806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21615" cy="175260"/>
                      <wp:effectExtent l="0" t="0" r="0" b="0"/>
                      <wp:wrapNone/>
                      <wp:docPr id="112" name="Frame112"/>
                      <a:graphic xmlns:a="http://schemas.openxmlformats.org/drawingml/2006/main">
                        <a:graphicData uri="http://schemas.microsoft.com/office/word/2010/wordprocessingShape">
                          <wps:wsp>
                            <wps:cNvSpPr txBox="1"/>
                            <wps:spPr>
                              <a:xfrm>
                                <a:off x="0" y="0"/>
                                <a:ext cx="2216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713105" cy="175260"/>
                      <wp:effectExtent l="0" t="0" r="0" b="0"/>
                      <wp:wrapNone/>
                      <wp:docPr id="113" name="Frame113"/>
                      <a:graphic xmlns:a="http://schemas.openxmlformats.org/drawingml/2006/main">
                        <a:graphicData uri="http://schemas.microsoft.com/office/word/2010/wordprocessingShape">
                          <wps:wsp>
                            <wps:cNvSpPr txBox="1"/>
                            <wps:spPr>
                              <a:xfrm>
                                <a:off x="0" y="0"/>
                                <a:ext cx="7131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80645" cy="175260"/>
                      <wp:effectExtent l="0" t="0" r="0" b="0"/>
                      <wp:wrapNone/>
                      <wp:docPr id="114" name="Frame114"/>
                      <a:graphic xmlns:a="http://schemas.openxmlformats.org/drawingml/2006/main">
                        <a:graphicData uri="http://schemas.microsoft.com/office/word/2010/wordprocessingShape">
                          <wps:wsp>
                            <wps:cNvSpPr txBox="1"/>
                            <wps:spPr>
                              <a:xfrm>
                                <a:off x="0" y="0"/>
                                <a:ext cx="806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57810" cy="175260"/>
                      <wp:effectExtent l="0" t="0" r="0" b="0"/>
                      <wp:wrapNone/>
                      <wp:docPr id="115" name="Frame115"/>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888365" cy="175260"/>
                      <wp:effectExtent l="0" t="0" r="0" b="0"/>
                      <wp:wrapNone/>
                      <wp:docPr id="116" name="Frame116"/>
                      <a:graphic xmlns:a="http://schemas.openxmlformats.org/drawingml/2006/main">
                        <a:graphicData uri="http://schemas.microsoft.com/office/word/2010/wordprocessingShape">
                          <wps:wsp>
                            <wps:cNvSpPr txBox="1"/>
                            <wps:spPr>
                              <a:xfrm>
                                <a:off x="0" y="0"/>
                                <a:ext cx="8883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542" w:type="dxa"/>
            <w:tcBorders/>
            <w:shd w:fill="FFFFFF" w:val="clear"/>
            <w:vAlign w:val="center"/>
          </w:tcPr>
          <w:p>
            <w:pPr>
              <w:pStyle w:val="TableContents"/>
              <w:bidi w:val="0"/>
              <w:spacing w:before="0" w:after="0"/>
              <w:ind w:left="0" w:right="0" w:hanging="0"/>
              <w:jc w:val="center"/>
              <w:rPr/>
            </w:pPr>
            <w:r>
              <w:rPr/>
              <w:t>​</w:t>
            </w:r>
          </w:p>
        </w:tc>
        <w:tc>
          <w:tcPr>
            <w:tcW w:w="127" w:type="dxa"/>
            <w:tcBorders/>
            <w:shd w:fill="FFFFFF" w:val="clear"/>
            <w:vAlign w:val="center"/>
          </w:tcPr>
          <w:p>
            <w:pPr>
              <w:pStyle w:val="TableContents"/>
              <w:bidi w:val="0"/>
              <w:spacing w:before="0" w:after="0"/>
              <w:ind w:left="0" w:right="0" w:hanging="0"/>
              <w:jc w:val="left"/>
              <w:rPr/>
            </w:pPr>
            <w:r>
              <w:rPr/>
              <w:t>​</w:t>
            </w:r>
          </w:p>
        </w:tc>
        <w:tc>
          <w:tcPr>
            <w:tcW w:w="1036"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Maximum </w:t>
            </w:r>
          </w:p>
        </w:tc>
        <w:tc>
          <w:tcPr>
            <w:tcW w:w="127" w:type="dxa"/>
            <w:tcBorders/>
            <w:shd w:fill="FFFFFF" w:val="clear"/>
            <w:vAlign w:val="center"/>
          </w:tcPr>
          <w:p>
            <w:pPr>
              <w:pStyle w:val="TableContents"/>
              <w:bidi w:val="0"/>
              <w:spacing w:before="0" w:after="0"/>
              <w:ind w:left="0" w:right="0" w:hanging="0"/>
              <w:jc w:val="left"/>
              <w:rPr/>
            </w:pPr>
            <w:r>
              <w:rPr/>
              <w:t>​</w:t>
            </w:r>
          </w:p>
        </w:tc>
        <w:tc>
          <w:tcPr>
            <w:tcW w:w="1472"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127" w:type="dxa"/>
            <w:tcBorders/>
            <w:shd w:fill="FFFFFF" w:val="clear"/>
            <w:vAlign w:val="center"/>
          </w:tcPr>
          <w:p>
            <w:pPr>
              <w:pStyle w:val="TableContents"/>
              <w:bidi w:val="0"/>
              <w:spacing w:before="0" w:after="0"/>
              <w:ind w:left="0" w:right="0" w:hanging="0"/>
              <w:jc w:val="center"/>
              <w:rPr/>
            </w:pPr>
            <w:r>
              <w:rPr/>
              <w:t>​</w:t>
            </w:r>
          </w:p>
        </w:tc>
        <w:tc>
          <w:tcPr>
            <w:tcW w:w="180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Fair Value </w:t>
            </w:r>
          </w:p>
        </w:tc>
      </w:tr>
      <w:tr>
        <w:trPr/>
        <w:tc>
          <w:tcPr>
            <w:tcW w:w="4542"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Cash Earn-outs/ Period (unaudited)</w:t>
            </w:r>
          </w:p>
        </w:tc>
        <w:tc>
          <w:tcPr>
            <w:tcW w:w="127" w:type="dxa"/>
            <w:tcBorders/>
            <w:shd w:fill="FFFFFF" w:val="clear"/>
            <w:vAlign w:val="center"/>
          </w:tcPr>
          <w:p>
            <w:pPr>
              <w:pStyle w:val="TableContents"/>
              <w:bidi w:val="0"/>
              <w:spacing w:before="0" w:after="0"/>
              <w:ind w:left="0" w:right="0" w:hanging="0"/>
              <w:jc w:val="left"/>
              <w:rPr/>
            </w:pPr>
            <w:r>
              <w:rPr/>
              <w:t>​</w:t>
            </w:r>
          </w:p>
        </w:tc>
        <w:tc>
          <w:tcPr>
            <w:tcW w:w="103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Payout </w:t>
            </w:r>
          </w:p>
        </w:tc>
        <w:tc>
          <w:tcPr>
            <w:tcW w:w="127" w:type="dxa"/>
            <w:tcBorders/>
            <w:shd w:fill="FFFFFF" w:val="clear"/>
            <w:vAlign w:val="center"/>
          </w:tcPr>
          <w:p>
            <w:pPr>
              <w:pStyle w:val="TableContents"/>
              <w:bidi w:val="0"/>
              <w:spacing w:before="0" w:after="0"/>
              <w:ind w:left="0" w:right="0" w:hanging="0"/>
              <w:jc w:val="left"/>
              <w:rPr/>
            </w:pPr>
            <w:r>
              <w:rPr/>
              <w:t>​</w:t>
            </w:r>
          </w:p>
        </w:tc>
        <w:tc>
          <w:tcPr>
            <w:tcW w:w="147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2025</w:t>
            </w:r>
          </w:p>
        </w:tc>
        <w:tc>
          <w:tcPr>
            <w:tcW w:w="127" w:type="dxa"/>
            <w:tcBorders/>
            <w:shd w:fill="FFFFFF" w:val="clear"/>
            <w:vAlign w:val="center"/>
          </w:tcPr>
          <w:p>
            <w:pPr>
              <w:pStyle w:val="TableContents"/>
              <w:bidi w:val="0"/>
              <w:spacing w:before="0" w:after="0"/>
              <w:ind w:left="0" w:right="0" w:hanging="0"/>
              <w:jc w:val="center"/>
              <w:rPr/>
            </w:pPr>
            <w:r>
              <w:rPr/>
              <w:t>​</w:t>
            </w:r>
          </w:p>
        </w:tc>
        <w:tc>
          <w:tcPr>
            <w:tcW w:w="18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2024</w:t>
            </w:r>
          </w:p>
        </w:tc>
      </w:tr>
      <w:tr>
        <w:trPr/>
        <w:tc>
          <w:tcPr>
            <w:tcW w:w="45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 1 - December 1, 2024 - December 1, 2025</w:t>
            </w:r>
          </w:p>
        </w:tc>
        <w:tc>
          <w:tcPr>
            <w:tcW w:w="127"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7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19,600</w:t>
            </w:r>
          </w:p>
        </w:tc>
        <w:tc>
          <w:tcPr>
            <w:tcW w:w="127" w:type="dxa"/>
            <w:tcBorders/>
            <w:shd w:fill="CCEEFF" w:val="clear"/>
            <w:vAlign w:val="center"/>
          </w:tcPr>
          <w:p>
            <w:pPr>
              <w:pStyle w:val="TableContents"/>
              <w:bidi w:val="0"/>
              <w:spacing w:before="0" w:after="0"/>
              <w:ind w:left="0" w:right="0" w:hanging="0"/>
              <w:jc w:val="left"/>
              <w:rPr/>
            </w:pPr>
            <w:r>
              <w:rPr/>
              <w:t>​</w:t>
            </w:r>
          </w:p>
        </w:tc>
        <w:tc>
          <w:tcPr>
            <w:tcW w:w="349"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1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18,300</w:t>
            </w:r>
          </w:p>
        </w:tc>
        <w:tc>
          <w:tcPr>
            <w:tcW w:w="127" w:type="dxa"/>
            <w:tcBorders/>
            <w:shd w:fill="CCEEFF" w:val="clear"/>
            <w:vAlign w:val="center"/>
          </w:tcPr>
          <w:p>
            <w:pPr>
              <w:pStyle w:val="TableContents"/>
              <w:bidi w:val="0"/>
              <w:spacing w:before="0" w:after="0"/>
              <w:ind w:left="0" w:right="0" w:hanging="0"/>
              <w:jc w:val="center"/>
              <w:rPr/>
            </w:pPr>
            <w:r>
              <w:rPr/>
              <w:t>​</w:t>
            </w:r>
          </w:p>
        </w:tc>
        <w:tc>
          <w:tcPr>
            <w:tcW w:w="40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3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17,900</w:t>
            </w:r>
          </w:p>
        </w:tc>
      </w:tr>
      <w:tr>
        <w:trPr/>
        <w:tc>
          <w:tcPr>
            <w:tcW w:w="45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 2 - December 1, 2025 - December 1, 2026</w:t>
            </w:r>
          </w:p>
        </w:tc>
        <w:tc>
          <w:tcPr>
            <w:tcW w:w="127"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center"/>
              <w:rPr/>
            </w:pPr>
            <w:r>
              <w:rPr/>
              <w:t>​</w:t>
            </w:r>
          </w:p>
        </w:tc>
        <w:tc>
          <w:tcPr>
            <w:tcW w:w="7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30,625</w:t>
            </w:r>
          </w:p>
        </w:tc>
        <w:tc>
          <w:tcPr>
            <w:tcW w:w="127" w:type="dxa"/>
            <w:tcBorders/>
            <w:vAlign w:val="center"/>
          </w:tcPr>
          <w:p>
            <w:pPr>
              <w:pStyle w:val="TableContents"/>
              <w:bidi w:val="0"/>
              <w:spacing w:before="0" w:after="0"/>
              <w:ind w:left="0" w:right="0" w:hanging="0"/>
              <w:jc w:val="left"/>
              <w:rPr/>
            </w:pPr>
            <w:r>
              <w:rPr/>
              <w:t>​</w:t>
            </w:r>
          </w:p>
        </w:tc>
        <w:tc>
          <w:tcPr>
            <w:tcW w:w="349" w:type="dxa"/>
            <w:tcBorders/>
            <w:vAlign w:val="center"/>
          </w:tcPr>
          <w:p>
            <w:pPr>
              <w:pStyle w:val="TableContents"/>
              <w:bidi w:val="0"/>
              <w:spacing w:before="0" w:after="0"/>
              <w:ind w:left="0" w:right="0" w:hanging="0"/>
              <w:jc w:val="center"/>
              <w:rPr/>
            </w:pPr>
            <w:r>
              <w:rPr/>
              <w:t>​</w:t>
            </w:r>
          </w:p>
        </w:tc>
        <w:tc>
          <w:tcPr>
            <w:tcW w:w="11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25,100</w:t>
            </w:r>
          </w:p>
        </w:tc>
        <w:tc>
          <w:tcPr>
            <w:tcW w:w="127" w:type="dxa"/>
            <w:tcBorders/>
            <w:vAlign w:val="center"/>
          </w:tcPr>
          <w:p>
            <w:pPr>
              <w:pStyle w:val="TableContents"/>
              <w:bidi w:val="0"/>
              <w:spacing w:before="0" w:after="0"/>
              <w:ind w:left="0" w:right="0" w:hanging="0"/>
              <w:jc w:val="center"/>
              <w:rPr/>
            </w:pPr>
            <w:r>
              <w:rPr/>
              <w:t>​</w:t>
            </w:r>
          </w:p>
        </w:tc>
        <w:tc>
          <w:tcPr>
            <w:tcW w:w="406" w:type="dxa"/>
            <w:tcBorders/>
            <w:vAlign w:val="center"/>
          </w:tcPr>
          <w:p>
            <w:pPr>
              <w:pStyle w:val="TableContents"/>
              <w:bidi w:val="0"/>
              <w:spacing w:before="0" w:after="0"/>
              <w:ind w:left="0" w:right="0" w:hanging="0"/>
              <w:jc w:val="center"/>
              <w:rPr/>
            </w:pPr>
            <w:r>
              <w:rPr/>
              <w:t>​</w:t>
            </w:r>
          </w:p>
        </w:tc>
        <w:tc>
          <w:tcPr>
            <w:tcW w:w="13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24,400</w:t>
            </w:r>
          </w:p>
        </w:tc>
      </w:tr>
      <w:tr>
        <w:trPr/>
        <w:tc>
          <w:tcPr>
            <w:tcW w:w="45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 3 - December 1, 2026 - December 1, 2027</w:t>
            </w:r>
          </w:p>
        </w:tc>
        <w:tc>
          <w:tcPr>
            <w:tcW w:w="127" w:type="dxa"/>
            <w:tcBorders/>
            <w:shd w:fill="CCEEFF" w:val="clear"/>
            <w:vAlign w:val="center"/>
          </w:tcPr>
          <w:p>
            <w:pPr>
              <w:pStyle w:val="TableContents"/>
              <w:bidi w:val="0"/>
              <w:spacing w:before="0" w:after="0"/>
              <w:ind w:left="0" w:right="0" w:hanging="0"/>
              <w:jc w:val="left"/>
              <w:rPr/>
            </w:pPr>
            <w:r>
              <w:rPr/>
              <w:t>​</w:t>
            </w:r>
          </w:p>
        </w:tc>
        <w:tc>
          <w:tcPr>
            <w:tcW w:w="24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7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44,130</w:t>
            </w:r>
          </w:p>
        </w:tc>
        <w:tc>
          <w:tcPr>
            <w:tcW w:w="127" w:type="dxa"/>
            <w:tcBorders/>
            <w:shd w:fill="CCEEFF" w:val="clear"/>
            <w:vAlign w:val="center"/>
          </w:tcPr>
          <w:p>
            <w:pPr>
              <w:pStyle w:val="TableContents"/>
              <w:bidi w:val="0"/>
              <w:spacing w:before="0" w:after="0"/>
              <w:ind w:left="0" w:right="0" w:hanging="0"/>
              <w:jc w:val="left"/>
              <w:rPr/>
            </w:pPr>
            <w:r>
              <w:rPr/>
              <w:t>​</w:t>
            </w:r>
          </w:p>
        </w:tc>
        <w:tc>
          <w:tcPr>
            <w:tcW w:w="349"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11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32,700</w:t>
            </w:r>
          </w:p>
        </w:tc>
        <w:tc>
          <w:tcPr>
            <w:tcW w:w="127" w:type="dxa"/>
            <w:tcBorders/>
            <w:shd w:fill="CCEEFF" w:val="clear"/>
            <w:vAlign w:val="center"/>
          </w:tcPr>
          <w:p>
            <w:pPr>
              <w:pStyle w:val="TableContents"/>
              <w:bidi w:val="0"/>
              <w:spacing w:before="0" w:after="0"/>
              <w:ind w:left="0" w:right="0" w:hanging="0"/>
              <w:jc w:val="center"/>
              <w:rPr/>
            </w:pPr>
            <w:r>
              <w:rPr/>
              <w:t>​</w:t>
            </w:r>
          </w:p>
        </w:tc>
        <w:tc>
          <w:tcPr>
            <w:tcW w:w="40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13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32,100</w:t>
            </w:r>
          </w:p>
        </w:tc>
      </w:tr>
      <w:tr>
        <w:trPr/>
        <w:tc>
          <w:tcPr>
            <w:tcW w:w="4542"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Cash Earn-outs</w:t>
            </w:r>
          </w:p>
        </w:tc>
        <w:tc>
          <w:tcPr>
            <w:tcW w:w="127" w:type="dxa"/>
            <w:tcBorders/>
            <w:vAlign w:val="center"/>
          </w:tcPr>
          <w:p>
            <w:pPr>
              <w:pStyle w:val="TableContents"/>
              <w:bidi w:val="0"/>
              <w:spacing w:before="0" w:after="0"/>
              <w:ind w:left="0" w:right="0" w:hanging="0"/>
              <w:jc w:val="left"/>
              <w:rPr/>
            </w:pPr>
            <w:r>
              <w:rPr/>
              <w:t>​</w:t>
            </w:r>
          </w:p>
        </w:tc>
        <w:tc>
          <w:tcPr>
            <w:tcW w:w="246"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79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94,355</w:t>
            </w:r>
          </w:p>
        </w:tc>
        <w:tc>
          <w:tcPr>
            <w:tcW w:w="127" w:type="dxa"/>
            <w:tcBorders/>
            <w:vAlign w:val="center"/>
          </w:tcPr>
          <w:p>
            <w:pPr>
              <w:pStyle w:val="TableContents"/>
              <w:bidi w:val="0"/>
              <w:spacing w:before="0" w:after="0"/>
              <w:ind w:left="0" w:right="0" w:hanging="0"/>
              <w:jc w:val="left"/>
              <w:rPr/>
            </w:pPr>
            <w:r>
              <w:rPr/>
              <w:t>​</w:t>
            </w:r>
          </w:p>
        </w:tc>
        <w:tc>
          <w:tcPr>
            <w:tcW w:w="349"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12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76,100</w:t>
            </w:r>
          </w:p>
        </w:tc>
        <w:tc>
          <w:tcPr>
            <w:tcW w:w="127" w:type="dxa"/>
            <w:tcBorders/>
            <w:vAlign w:val="center"/>
          </w:tcPr>
          <w:p>
            <w:pPr>
              <w:pStyle w:val="TableContents"/>
              <w:bidi w:val="0"/>
              <w:spacing w:before="0" w:after="0"/>
              <w:ind w:left="0" w:right="0" w:hanging="0"/>
              <w:jc w:val="center"/>
              <w:rPr/>
            </w:pPr>
            <w:r>
              <w:rPr/>
              <w:t>​</w:t>
            </w:r>
          </w:p>
        </w:tc>
        <w:tc>
          <w:tcPr>
            <w:tcW w:w="406"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39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74,400</w:t>
            </w:r>
          </w:p>
        </w:tc>
      </w:tr>
      <w:tr>
        <w:trPr/>
        <w:tc>
          <w:tcPr>
            <w:tcW w:w="4542" w:type="dxa"/>
            <w:tcBorders/>
            <w:vAlign w:val="center"/>
          </w:tcPr>
          <w:p>
            <w:pPr>
              <w:pStyle w:val="TableContents"/>
              <w:bidi w:val="0"/>
              <w:spacing w:before="0" w:after="0"/>
              <w:ind w:left="0" w:right="0" w:hanging="0"/>
              <w:jc w:val="center"/>
              <w:rPr/>
            </w:pPr>
            <w:r>
              <w:rPr/>
              <w:t>​</w:t>
            </w:r>
          </w:p>
        </w:tc>
        <w:tc>
          <w:tcPr>
            <w:tcW w:w="127" w:type="dxa"/>
            <w:tcBorders/>
            <w:vAlign w:val="center"/>
          </w:tcPr>
          <w:p>
            <w:pPr>
              <w:pStyle w:val="TableContents"/>
              <w:bidi w:val="0"/>
              <w:spacing w:before="0" w:after="0"/>
              <w:ind w:left="0" w:right="0" w:hanging="0"/>
              <w:jc w:val="left"/>
              <w:rPr/>
            </w:pPr>
            <w:r>
              <w:rPr/>
              <w:t>​</w:t>
            </w:r>
          </w:p>
        </w:tc>
        <w:tc>
          <w:tcPr>
            <w:tcW w:w="103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Maximum </w:t>
            </w:r>
          </w:p>
        </w:tc>
        <w:tc>
          <w:tcPr>
            <w:tcW w:w="127" w:type="dxa"/>
            <w:tcBorders/>
            <w:vAlign w:val="center"/>
          </w:tcPr>
          <w:p>
            <w:pPr>
              <w:pStyle w:val="TableContents"/>
              <w:bidi w:val="0"/>
              <w:spacing w:before="0" w:after="0"/>
              <w:ind w:left="0" w:right="0" w:hanging="0"/>
              <w:jc w:val="left"/>
              <w:rPr/>
            </w:pPr>
            <w:r>
              <w:rPr/>
              <w:t>​</w:t>
            </w:r>
          </w:p>
        </w:tc>
        <w:tc>
          <w:tcPr>
            <w:tcW w:w="147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127" w:type="dxa"/>
            <w:tcBorders/>
            <w:vAlign w:val="center"/>
          </w:tcPr>
          <w:p>
            <w:pPr>
              <w:pStyle w:val="TableContents"/>
              <w:bidi w:val="0"/>
              <w:spacing w:before="0" w:after="0"/>
              <w:ind w:left="0" w:right="0" w:hanging="0"/>
              <w:jc w:val="center"/>
              <w:rPr/>
            </w:pPr>
            <w:r>
              <w:rPr/>
              <w:t>​</w:t>
            </w:r>
          </w:p>
        </w:tc>
        <w:tc>
          <w:tcPr>
            <w:tcW w:w="180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Fair Value </w:t>
            </w:r>
          </w:p>
        </w:tc>
      </w:tr>
      <w:tr>
        <w:trPr/>
        <w:tc>
          <w:tcPr>
            <w:tcW w:w="454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 Earn-outs/ Period (unaudited)</w:t>
            </w:r>
          </w:p>
        </w:tc>
        <w:tc>
          <w:tcPr>
            <w:tcW w:w="127" w:type="dxa"/>
            <w:tcBorders/>
            <w:vAlign w:val="center"/>
          </w:tcPr>
          <w:p>
            <w:pPr>
              <w:pStyle w:val="TableContents"/>
              <w:bidi w:val="0"/>
              <w:spacing w:before="0" w:after="0"/>
              <w:ind w:left="0" w:right="0" w:hanging="0"/>
              <w:jc w:val="left"/>
              <w:rPr/>
            </w:pPr>
            <w:r>
              <w:rPr/>
              <w:t>​</w:t>
            </w:r>
          </w:p>
        </w:tc>
        <w:tc>
          <w:tcPr>
            <w:tcW w:w="1036"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 xml:space="preserve">Payout </w:t>
            </w:r>
            <w:r>
              <w:rPr>
                <w:rFonts w:ascii="Times New Roman;Times;serif" w:hAnsi="Times New Roman;Times;serif"/>
                <w:b/>
                <w:sz w:val="12"/>
              </w:rPr>
              <w:t>(1)</w:t>
            </w:r>
          </w:p>
        </w:tc>
        <w:tc>
          <w:tcPr>
            <w:tcW w:w="127" w:type="dxa"/>
            <w:tcBorders/>
            <w:vAlign w:val="center"/>
          </w:tcPr>
          <w:p>
            <w:pPr>
              <w:pStyle w:val="TableContents"/>
              <w:bidi w:val="0"/>
              <w:spacing w:before="0" w:after="0"/>
              <w:ind w:left="0" w:right="0" w:hanging="0"/>
              <w:jc w:val="left"/>
              <w:rPr/>
            </w:pPr>
            <w:r>
              <w:rPr/>
              <w:t>​</w:t>
            </w:r>
          </w:p>
        </w:tc>
        <w:tc>
          <w:tcPr>
            <w:tcW w:w="14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2025</w:t>
            </w:r>
          </w:p>
        </w:tc>
        <w:tc>
          <w:tcPr>
            <w:tcW w:w="127" w:type="dxa"/>
            <w:tcBorders/>
            <w:vAlign w:val="center"/>
          </w:tcPr>
          <w:p>
            <w:pPr>
              <w:pStyle w:val="TableContents"/>
              <w:bidi w:val="0"/>
              <w:spacing w:before="0" w:after="0"/>
              <w:ind w:left="0" w:right="0" w:hanging="0"/>
              <w:jc w:val="center"/>
              <w:rPr/>
            </w:pPr>
            <w:r>
              <w:rPr/>
              <w:t>​</w:t>
            </w:r>
          </w:p>
        </w:tc>
        <w:tc>
          <w:tcPr>
            <w:tcW w:w="18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2024</w:t>
            </w:r>
          </w:p>
        </w:tc>
      </w:tr>
      <w:tr>
        <w:trPr/>
        <w:tc>
          <w:tcPr>
            <w:tcW w:w="45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 1 - December 1, 2024 - December 1, 2025</w:t>
            </w:r>
          </w:p>
        </w:tc>
        <w:tc>
          <w:tcPr>
            <w:tcW w:w="127"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7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12,000</w:t>
            </w:r>
          </w:p>
        </w:tc>
        <w:tc>
          <w:tcPr>
            <w:tcW w:w="127" w:type="dxa"/>
            <w:tcBorders/>
            <w:shd w:fill="CCEEFF" w:val="clear"/>
            <w:vAlign w:val="center"/>
          </w:tcPr>
          <w:p>
            <w:pPr>
              <w:pStyle w:val="TableContents"/>
              <w:bidi w:val="0"/>
              <w:spacing w:before="0" w:after="0"/>
              <w:ind w:left="0" w:right="0" w:hanging="0"/>
              <w:jc w:val="left"/>
              <w:rPr/>
            </w:pPr>
            <w:r>
              <w:rPr/>
              <w:t>​</w:t>
            </w:r>
          </w:p>
        </w:tc>
        <w:tc>
          <w:tcPr>
            <w:tcW w:w="349"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1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11,300</w:t>
            </w:r>
          </w:p>
        </w:tc>
        <w:tc>
          <w:tcPr>
            <w:tcW w:w="127" w:type="dxa"/>
            <w:tcBorders/>
            <w:shd w:fill="CCEEFF" w:val="clear"/>
            <w:vAlign w:val="center"/>
          </w:tcPr>
          <w:p>
            <w:pPr>
              <w:pStyle w:val="TableContents"/>
              <w:bidi w:val="0"/>
              <w:spacing w:before="0" w:after="0"/>
              <w:ind w:left="0" w:right="0" w:hanging="0"/>
              <w:jc w:val="center"/>
              <w:rPr/>
            </w:pPr>
            <w:r>
              <w:rPr/>
              <w:t>​</w:t>
            </w:r>
          </w:p>
        </w:tc>
        <w:tc>
          <w:tcPr>
            <w:tcW w:w="40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3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17,200</w:t>
            </w:r>
          </w:p>
        </w:tc>
      </w:tr>
      <w:tr>
        <w:trPr/>
        <w:tc>
          <w:tcPr>
            <w:tcW w:w="45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 2 - December 1, 2025 - December 1, 2026</w:t>
            </w:r>
          </w:p>
        </w:tc>
        <w:tc>
          <w:tcPr>
            <w:tcW w:w="127"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center"/>
              <w:rPr/>
            </w:pPr>
            <w:r>
              <w:rPr/>
              <w:t>​</w:t>
            </w:r>
          </w:p>
        </w:tc>
        <w:tc>
          <w:tcPr>
            <w:tcW w:w="7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12,000</w:t>
            </w:r>
          </w:p>
        </w:tc>
        <w:tc>
          <w:tcPr>
            <w:tcW w:w="127" w:type="dxa"/>
            <w:tcBorders/>
            <w:vAlign w:val="center"/>
          </w:tcPr>
          <w:p>
            <w:pPr>
              <w:pStyle w:val="TableContents"/>
              <w:bidi w:val="0"/>
              <w:spacing w:before="0" w:after="0"/>
              <w:ind w:left="0" w:right="0" w:hanging="0"/>
              <w:jc w:val="left"/>
              <w:rPr/>
            </w:pPr>
            <w:r>
              <w:rPr/>
              <w:t>​</w:t>
            </w:r>
          </w:p>
        </w:tc>
        <w:tc>
          <w:tcPr>
            <w:tcW w:w="349" w:type="dxa"/>
            <w:tcBorders/>
            <w:vAlign w:val="center"/>
          </w:tcPr>
          <w:p>
            <w:pPr>
              <w:pStyle w:val="TableContents"/>
              <w:bidi w:val="0"/>
              <w:spacing w:before="0" w:after="0"/>
              <w:ind w:left="0" w:right="0" w:hanging="0"/>
              <w:jc w:val="center"/>
              <w:rPr/>
            </w:pPr>
            <w:r>
              <w:rPr/>
              <w:t>​</w:t>
            </w:r>
          </w:p>
        </w:tc>
        <w:tc>
          <w:tcPr>
            <w:tcW w:w="11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10,800</w:t>
            </w:r>
          </w:p>
        </w:tc>
        <w:tc>
          <w:tcPr>
            <w:tcW w:w="127" w:type="dxa"/>
            <w:tcBorders/>
            <w:vAlign w:val="center"/>
          </w:tcPr>
          <w:p>
            <w:pPr>
              <w:pStyle w:val="TableContents"/>
              <w:bidi w:val="0"/>
              <w:spacing w:before="0" w:after="0"/>
              <w:ind w:left="0" w:right="0" w:hanging="0"/>
              <w:jc w:val="center"/>
              <w:rPr/>
            </w:pPr>
            <w:r>
              <w:rPr/>
              <w:t>​</w:t>
            </w:r>
          </w:p>
        </w:tc>
        <w:tc>
          <w:tcPr>
            <w:tcW w:w="406" w:type="dxa"/>
            <w:tcBorders/>
            <w:vAlign w:val="center"/>
          </w:tcPr>
          <w:p>
            <w:pPr>
              <w:pStyle w:val="TableContents"/>
              <w:bidi w:val="0"/>
              <w:spacing w:before="0" w:after="0"/>
              <w:ind w:left="0" w:right="0" w:hanging="0"/>
              <w:jc w:val="center"/>
              <w:rPr/>
            </w:pPr>
            <w:r>
              <w:rPr/>
              <w:t>​</w:t>
            </w:r>
          </w:p>
        </w:tc>
        <w:tc>
          <w:tcPr>
            <w:tcW w:w="13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16,300</w:t>
            </w:r>
          </w:p>
        </w:tc>
      </w:tr>
      <w:tr>
        <w:trPr/>
        <w:tc>
          <w:tcPr>
            <w:tcW w:w="45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 3 - December 1, 2026 - December 1, 2027</w:t>
            </w:r>
          </w:p>
        </w:tc>
        <w:tc>
          <w:tcPr>
            <w:tcW w:w="127" w:type="dxa"/>
            <w:tcBorders/>
            <w:shd w:fill="CCEEFF" w:val="clear"/>
            <w:vAlign w:val="center"/>
          </w:tcPr>
          <w:p>
            <w:pPr>
              <w:pStyle w:val="TableContents"/>
              <w:bidi w:val="0"/>
              <w:spacing w:before="0" w:after="0"/>
              <w:ind w:left="0" w:right="0" w:hanging="0"/>
              <w:jc w:val="left"/>
              <w:rPr/>
            </w:pPr>
            <w:r>
              <w:rPr/>
              <w:t>​</w:t>
            </w:r>
          </w:p>
        </w:tc>
        <w:tc>
          <w:tcPr>
            <w:tcW w:w="24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7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11,000</w:t>
            </w:r>
          </w:p>
        </w:tc>
        <w:tc>
          <w:tcPr>
            <w:tcW w:w="127" w:type="dxa"/>
            <w:tcBorders/>
            <w:shd w:fill="CCEEFF" w:val="clear"/>
            <w:vAlign w:val="center"/>
          </w:tcPr>
          <w:p>
            <w:pPr>
              <w:pStyle w:val="TableContents"/>
              <w:bidi w:val="0"/>
              <w:spacing w:before="0" w:after="0"/>
              <w:ind w:left="0" w:right="0" w:hanging="0"/>
              <w:jc w:val="left"/>
              <w:rPr/>
            </w:pPr>
            <w:r>
              <w:rPr/>
              <w:t>​</w:t>
            </w:r>
          </w:p>
        </w:tc>
        <w:tc>
          <w:tcPr>
            <w:tcW w:w="349"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11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9,600</w:t>
            </w:r>
          </w:p>
        </w:tc>
        <w:tc>
          <w:tcPr>
            <w:tcW w:w="127" w:type="dxa"/>
            <w:tcBorders/>
            <w:shd w:fill="CCEEFF" w:val="clear"/>
            <w:vAlign w:val="center"/>
          </w:tcPr>
          <w:p>
            <w:pPr>
              <w:pStyle w:val="TableContents"/>
              <w:bidi w:val="0"/>
              <w:spacing w:before="0" w:after="0"/>
              <w:ind w:left="0" w:right="0" w:hanging="0"/>
              <w:jc w:val="center"/>
              <w:rPr/>
            </w:pPr>
            <w:r>
              <w:rPr/>
              <w:t>​</w:t>
            </w:r>
          </w:p>
        </w:tc>
        <w:tc>
          <w:tcPr>
            <w:tcW w:w="40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13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14,600</w:t>
            </w:r>
          </w:p>
        </w:tc>
      </w:tr>
      <w:tr>
        <w:trPr/>
        <w:tc>
          <w:tcPr>
            <w:tcW w:w="4542"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Stock Earn-outs</w:t>
            </w:r>
          </w:p>
        </w:tc>
        <w:tc>
          <w:tcPr>
            <w:tcW w:w="127" w:type="dxa"/>
            <w:tcBorders/>
            <w:vAlign w:val="center"/>
          </w:tcPr>
          <w:p>
            <w:pPr>
              <w:pStyle w:val="TableContents"/>
              <w:bidi w:val="0"/>
              <w:spacing w:before="0" w:after="0"/>
              <w:ind w:left="0" w:right="0" w:hanging="0"/>
              <w:jc w:val="left"/>
              <w:rPr/>
            </w:pPr>
            <w:r>
              <w:rPr/>
              <w:t>​</w:t>
            </w:r>
          </w:p>
        </w:tc>
        <w:tc>
          <w:tcPr>
            <w:tcW w:w="246"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79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35,000</w:t>
            </w:r>
          </w:p>
        </w:tc>
        <w:tc>
          <w:tcPr>
            <w:tcW w:w="127" w:type="dxa"/>
            <w:tcBorders/>
            <w:vAlign w:val="center"/>
          </w:tcPr>
          <w:p>
            <w:pPr>
              <w:pStyle w:val="TableContents"/>
              <w:bidi w:val="0"/>
              <w:spacing w:before="0" w:after="0"/>
              <w:ind w:left="0" w:right="0" w:hanging="0"/>
              <w:jc w:val="left"/>
              <w:rPr/>
            </w:pPr>
            <w:r>
              <w:rPr/>
              <w:t>​</w:t>
            </w:r>
          </w:p>
        </w:tc>
        <w:tc>
          <w:tcPr>
            <w:tcW w:w="349"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12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31,700</w:t>
            </w:r>
          </w:p>
        </w:tc>
        <w:tc>
          <w:tcPr>
            <w:tcW w:w="127" w:type="dxa"/>
            <w:tcBorders/>
            <w:vAlign w:val="center"/>
          </w:tcPr>
          <w:p>
            <w:pPr>
              <w:pStyle w:val="TableContents"/>
              <w:bidi w:val="0"/>
              <w:spacing w:before="0" w:after="0"/>
              <w:ind w:left="0" w:right="0" w:hanging="0"/>
              <w:jc w:val="center"/>
              <w:rPr/>
            </w:pPr>
            <w:r>
              <w:rPr/>
              <w:t>​</w:t>
            </w:r>
          </w:p>
        </w:tc>
        <w:tc>
          <w:tcPr>
            <w:tcW w:w="406"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39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48,100</w:t>
            </w:r>
          </w:p>
        </w:tc>
      </w:tr>
      <w:tr>
        <w:trPr/>
        <w:tc>
          <w:tcPr>
            <w:tcW w:w="9236" w:type="dxa"/>
            <w:gridSpan w:val="10"/>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4"/>
              </w:rPr>
              <w:t>(1)</w:t>
            </w:r>
            <w:r>
              <w:rPr>
                <w:rFonts w:ascii="Times New Roman;Times;serif" w:hAnsi="Times New Roman;Times;serif"/>
                <w:sz w:val="18"/>
              </w:rPr>
              <w:t xml:space="preserve"> Maximum payout based on Vertex's August 6, 2024 opening share price of $37.02, as referenced in the purchase agreement. </w:t>
            </w:r>
          </w:p>
        </w:tc>
      </w:tr>
      <w:tr>
        <w:trPr/>
        <w:tc>
          <w:tcPr>
            <w:tcW w:w="4542" w:type="dxa"/>
            <w:tcBorders/>
            <w:vAlign w:val="center"/>
          </w:tcPr>
          <w:p>
            <w:pPr>
              <w:pStyle w:val="TableContents"/>
              <w:bidi w:val="0"/>
              <w:spacing w:before="0" w:after="0"/>
              <w:ind w:left="0" w:right="0" w:hanging="0"/>
              <w:jc w:val="left"/>
              <w:rPr/>
            </w:pPr>
            <w:r>
              <w:rPr/>
              <w:t>​</w:t>
            </w:r>
          </w:p>
        </w:tc>
        <w:tc>
          <w:tcPr>
            <w:tcW w:w="127"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center"/>
              <w:rPr/>
            </w:pPr>
            <w:r>
              <w:rPr/>
              <w:t>​</w:t>
            </w:r>
          </w:p>
        </w:tc>
        <w:tc>
          <w:tcPr>
            <w:tcW w:w="790" w:type="dxa"/>
            <w:tcBorders/>
            <w:vAlign w:val="center"/>
          </w:tcPr>
          <w:p>
            <w:pPr>
              <w:pStyle w:val="TableContents"/>
              <w:bidi w:val="0"/>
              <w:spacing w:before="0" w:after="0"/>
              <w:ind w:left="0" w:right="0" w:hanging="0"/>
              <w:jc w:val="left"/>
              <w:rPr/>
            </w:pPr>
            <w:r>
              <w:rPr/>
              <w:t>​</w:t>
            </w:r>
          </w:p>
        </w:tc>
        <w:tc>
          <w:tcPr>
            <w:tcW w:w="127" w:type="dxa"/>
            <w:tcBorders/>
            <w:vAlign w:val="center"/>
          </w:tcPr>
          <w:p>
            <w:pPr>
              <w:pStyle w:val="TableContents"/>
              <w:bidi w:val="0"/>
              <w:spacing w:before="0" w:after="0"/>
              <w:ind w:left="0" w:right="0" w:hanging="0"/>
              <w:jc w:val="left"/>
              <w:rPr/>
            </w:pPr>
            <w:r>
              <w:rPr/>
              <w:t>​</w:t>
            </w:r>
          </w:p>
        </w:tc>
        <w:tc>
          <w:tcPr>
            <w:tcW w:w="349" w:type="dxa"/>
            <w:tcBorders/>
            <w:vAlign w:val="center"/>
          </w:tcPr>
          <w:p>
            <w:pPr>
              <w:pStyle w:val="TableContents"/>
              <w:bidi w:val="0"/>
              <w:spacing w:before="0" w:after="0"/>
              <w:ind w:left="0" w:right="0" w:hanging="0"/>
              <w:jc w:val="center"/>
              <w:rPr/>
            </w:pPr>
            <w:r>
              <w:rPr/>
              <w:t>​</w:t>
            </w:r>
          </w:p>
        </w:tc>
        <w:tc>
          <w:tcPr>
            <w:tcW w:w="1123" w:type="dxa"/>
            <w:tcBorders/>
            <w:vAlign w:val="center"/>
          </w:tcPr>
          <w:p>
            <w:pPr>
              <w:pStyle w:val="TableContents"/>
              <w:bidi w:val="0"/>
              <w:spacing w:before="0" w:after="0"/>
              <w:ind w:left="0" w:right="0" w:hanging="0"/>
              <w:jc w:val="center"/>
              <w:rPr/>
            </w:pPr>
            <w:r>
              <w:rPr/>
              <w:t>​</w:t>
            </w:r>
          </w:p>
        </w:tc>
        <w:tc>
          <w:tcPr>
            <w:tcW w:w="127" w:type="dxa"/>
            <w:tcBorders/>
            <w:vAlign w:val="center"/>
          </w:tcPr>
          <w:p>
            <w:pPr>
              <w:pStyle w:val="TableContents"/>
              <w:bidi w:val="0"/>
              <w:spacing w:before="0" w:after="0"/>
              <w:ind w:left="0" w:right="0" w:hanging="0"/>
              <w:jc w:val="center"/>
              <w:rPr/>
            </w:pPr>
            <w:r>
              <w:rPr/>
              <w:t>​</w:t>
            </w:r>
          </w:p>
        </w:tc>
        <w:tc>
          <w:tcPr>
            <w:tcW w:w="406" w:type="dxa"/>
            <w:tcBorders/>
            <w:vAlign w:val="center"/>
          </w:tcPr>
          <w:p>
            <w:pPr>
              <w:pStyle w:val="TableContents"/>
              <w:bidi w:val="0"/>
              <w:spacing w:before="0" w:after="0"/>
              <w:ind w:left="0" w:right="0" w:hanging="0"/>
              <w:jc w:val="center"/>
              <w:rPr/>
            </w:pPr>
            <w:r>
              <w:rPr/>
              <w:t>​</w:t>
            </w:r>
          </w:p>
        </w:tc>
        <w:tc>
          <w:tcPr>
            <w:tcW w:w="1399"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Actual payouts are further adjusted depending on ecosio’s software revenue attainment for each of the measurement periods. In the event that actual software revenues exceed 100% of the target, additional payments may be made up to a maximum of 122.5% of the annual target. If actual software revenues are below 85% of the target, no payouts are made for that measurement period. The Stock Earn-outs are paid in shares of the Company’s Class A common stock.</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Cash Earn-outs and Stock Earn-outs are recorded at fair value in the condensed consolidated balance sheets as follows: </w:t>
      </w:r>
    </w:p>
    <w:p>
      <w:pPr>
        <w:pStyle w:val="TextBody"/>
        <w:bidi w:val="0"/>
        <w:spacing w:before="0" w:after="0"/>
        <w:ind w:left="0" w:right="0" w:hanging="0"/>
        <w:jc w:val="left"/>
        <w:rPr/>
      </w:pPr>
      <w:r>
        <w:rPr/>
        <w:t>​</w:t>
      </w:r>
    </w:p>
    <w:tbl>
      <w:tblPr>
        <w:tblW w:w="7136" w:type="dxa"/>
        <w:jc w:val="left"/>
        <w:tblInd w:w="0" w:type="dxa"/>
        <w:tblLayout w:type="fixed"/>
        <w:tblCellMar>
          <w:top w:w="0" w:type="dxa"/>
          <w:left w:w="0" w:type="dxa"/>
          <w:bottom w:w="0" w:type="dxa"/>
          <w:right w:w="0" w:type="dxa"/>
        </w:tblCellMar>
      </w:tblPr>
      <w:tblGrid>
        <w:gridCol w:w="1662"/>
        <w:gridCol w:w="247"/>
        <w:gridCol w:w="796"/>
        <w:gridCol w:w="127"/>
        <w:gridCol w:w="348"/>
        <w:gridCol w:w="1117"/>
        <w:gridCol w:w="127"/>
        <w:gridCol w:w="252"/>
        <w:gridCol w:w="811"/>
        <w:gridCol w:w="130"/>
        <w:gridCol w:w="343"/>
        <w:gridCol w:w="1176"/>
      </w:tblGrid>
      <w:tr>
        <w:trPr/>
        <w:tc>
          <w:tcPr>
            <w:tcW w:w="16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1055370" cy="175260"/>
                      <wp:effectExtent l="0" t="0" r="0" b="0"/>
                      <wp:wrapNone/>
                      <wp:docPr id="117" name="Frame117"/>
                      <a:graphic xmlns:a="http://schemas.openxmlformats.org/drawingml/2006/main">
                        <a:graphicData uri="http://schemas.microsoft.com/office/word/2010/wordprocessingShape">
                          <wps:wsp>
                            <wps:cNvSpPr txBox="1"/>
                            <wps:spPr>
                              <a:xfrm>
                                <a:off x="0" y="0"/>
                                <a:ext cx="1055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156845" cy="175260"/>
                      <wp:effectExtent l="0" t="0" r="0" b="0"/>
                      <wp:wrapNone/>
                      <wp:docPr id="118" name="Frame118"/>
                      <a:graphic xmlns:a="http://schemas.openxmlformats.org/drawingml/2006/main">
                        <a:graphicData uri="http://schemas.microsoft.com/office/word/2010/wordprocessingShape">
                          <wps:wsp>
                            <wps:cNvSpPr txBox="1"/>
                            <wps:spPr>
                              <a:xfrm>
                                <a:off x="0" y="0"/>
                                <a:ext cx="156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505460" cy="175260"/>
                      <wp:effectExtent l="0" t="0" r="0" b="0"/>
                      <wp:wrapNone/>
                      <wp:docPr id="119" name="Frame119"/>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80645" cy="175260"/>
                      <wp:effectExtent l="0" t="0" r="0" b="0"/>
                      <wp:wrapNone/>
                      <wp:docPr id="120" name="Frame120"/>
                      <a:graphic xmlns:a="http://schemas.openxmlformats.org/drawingml/2006/main">
                        <a:graphicData uri="http://schemas.microsoft.com/office/word/2010/wordprocessingShape">
                          <wps:wsp>
                            <wps:cNvSpPr txBox="1"/>
                            <wps:spPr>
                              <a:xfrm>
                                <a:off x="0" y="0"/>
                                <a:ext cx="806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220980" cy="175260"/>
                      <wp:effectExtent l="0" t="0" r="0" b="0"/>
                      <wp:wrapNone/>
                      <wp:docPr id="121" name="Frame121"/>
                      <a:graphic xmlns:a="http://schemas.openxmlformats.org/drawingml/2006/main">
                        <a:graphicData uri="http://schemas.microsoft.com/office/word/2010/wordprocessingShape">
                          <wps:wsp>
                            <wps:cNvSpPr txBox="1"/>
                            <wps:spPr>
                              <a:xfrm>
                                <a:off x="0" y="0"/>
                                <a:ext cx="2209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709295" cy="175260"/>
                      <wp:effectExtent l="0" t="0" r="0" b="0"/>
                      <wp:wrapNone/>
                      <wp:docPr id="122" name="Frame122"/>
                      <a:graphic xmlns:a="http://schemas.openxmlformats.org/drawingml/2006/main">
                        <a:graphicData uri="http://schemas.microsoft.com/office/word/2010/wordprocessingShape">
                          <wps:wsp>
                            <wps:cNvSpPr txBox="1"/>
                            <wps:spPr>
                              <a:xfrm>
                                <a:off x="0" y="0"/>
                                <a:ext cx="709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80645" cy="175260"/>
                      <wp:effectExtent l="0" t="0" r="0" b="0"/>
                      <wp:wrapNone/>
                      <wp:docPr id="123" name="Frame123"/>
                      <a:graphic xmlns:a="http://schemas.openxmlformats.org/drawingml/2006/main">
                        <a:graphicData uri="http://schemas.microsoft.com/office/word/2010/wordprocessingShape">
                          <wps:wsp>
                            <wps:cNvSpPr txBox="1"/>
                            <wps:spPr>
                              <a:xfrm>
                                <a:off x="0" y="0"/>
                                <a:ext cx="806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160020" cy="175260"/>
                      <wp:effectExtent l="0" t="0" r="0" b="0"/>
                      <wp:wrapNone/>
                      <wp:docPr id="124" name="Frame124"/>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514985" cy="175260"/>
                      <wp:effectExtent l="0" t="0" r="0" b="0"/>
                      <wp:wrapNone/>
                      <wp:docPr id="125" name="Frame125"/>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82550" cy="175260"/>
                      <wp:effectExtent l="0" t="0" r="0" b="0"/>
                      <wp:wrapNone/>
                      <wp:docPr id="126" name="Frame126"/>
                      <a:graphic xmlns:a="http://schemas.openxmlformats.org/drawingml/2006/main">
                        <a:graphicData uri="http://schemas.microsoft.com/office/word/2010/wordprocessingShape">
                          <wps:wsp>
                            <wps:cNvSpPr txBox="1"/>
                            <wps:spPr>
                              <a:xfrm>
                                <a:off x="0" y="0"/>
                                <a:ext cx="825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17805" cy="175260"/>
                      <wp:effectExtent l="0" t="0" r="0" b="0"/>
                      <wp:wrapNone/>
                      <wp:docPr id="127" name="Frame127"/>
                      <a:graphic xmlns:a="http://schemas.openxmlformats.org/drawingml/2006/main">
                        <a:graphicData uri="http://schemas.microsoft.com/office/word/2010/wordprocessingShape">
                          <wps:wsp>
                            <wps:cNvSpPr txBox="1"/>
                            <wps:spPr>
                              <a:xfrm>
                                <a:off x="0" y="0"/>
                                <a:ext cx="2178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746760" cy="175260"/>
                      <wp:effectExtent l="0" t="0" r="0" b="0"/>
                      <wp:wrapNone/>
                      <wp:docPr id="128" name="Frame128"/>
                      <a:graphic xmlns:a="http://schemas.openxmlformats.org/drawingml/2006/main">
                        <a:graphicData uri="http://schemas.microsoft.com/office/word/2010/wordprocessingShape">
                          <wps:wsp>
                            <wps:cNvSpPr txBox="1"/>
                            <wps:spPr>
                              <a:xfrm>
                                <a:off x="0" y="0"/>
                                <a:ext cx="746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62" w:type="dxa"/>
            <w:tcBorders/>
            <w:vAlign w:val="center"/>
          </w:tcPr>
          <w:p>
            <w:pPr>
              <w:pStyle w:val="TableContents"/>
              <w:bidi w:val="0"/>
              <w:spacing w:before="0" w:after="0"/>
              <w:ind w:left="0" w:right="0" w:hanging="0"/>
              <w:jc w:val="left"/>
              <w:rPr/>
            </w:pPr>
            <w:r>
              <w:rPr/>
              <w:t>​</w:t>
            </w:r>
          </w:p>
        </w:tc>
        <w:tc>
          <w:tcPr>
            <w:tcW w:w="263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March 31, 2025</w:t>
            </w:r>
          </w:p>
        </w:tc>
        <w:tc>
          <w:tcPr>
            <w:tcW w:w="127" w:type="dxa"/>
            <w:tcBorders/>
            <w:vAlign w:val="center"/>
          </w:tcPr>
          <w:p>
            <w:pPr>
              <w:pStyle w:val="TableContents"/>
              <w:bidi w:val="0"/>
              <w:spacing w:before="0" w:after="0"/>
              <w:ind w:left="0" w:right="0" w:hanging="0"/>
              <w:jc w:val="center"/>
              <w:rPr/>
            </w:pPr>
            <w:r>
              <w:rPr/>
              <w:t>​</w:t>
            </w:r>
          </w:p>
        </w:tc>
        <w:tc>
          <w:tcPr>
            <w:tcW w:w="2712"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2024</w:t>
            </w:r>
          </w:p>
        </w:tc>
      </w:tr>
      <w:tr>
        <w:trPr/>
        <w:tc>
          <w:tcPr>
            <w:tcW w:w="1662" w:type="dxa"/>
            <w:tcBorders/>
            <w:vAlign w:val="center"/>
          </w:tcPr>
          <w:p>
            <w:pPr>
              <w:pStyle w:val="TableContents"/>
              <w:bidi w:val="0"/>
              <w:spacing w:before="0" w:after="0"/>
              <w:ind w:left="0" w:right="0" w:hanging="0"/>
              <w:jc w:val="left"/>
              <w:rPr/>
            </w:pPr>
            <w:r>
              <w:rPr/>
              <w:t>​</w:t>
            </w:r>
          </w:p>
        </w:tc>
        <w:tc>
          <w:tcPr>
            <w:tcW w:w="263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127"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center"/>
              <w:rPr/>
            </w:pPr>
            <w:r>
              <w:rPr/>
              <w:t>​</w:t>
            </w:r>
          </w:p>
        </w:tc>
        <w:tc>
          <w:tcPr>
            <w:tcW w:w="130" w:type="dxa"/>
            <w:tcBorders/>
            <w:vAlign w:val="center"/>
          </w:tcPr>
          <w:p>
            <w:pPr>
              <w:pStyle w:val="TableContents"/>
              <w:bidi w:val="0"/>
              <w:spacing w:before="0" w:after="0"/>
              <w:ind w:left="0" w:right="0" w:hanging="0"/>
              <w:jc w:val="center"/>
              <w:rPr/>
            </w:pPr>
            <w:r>
              <w:rPr/>
              <w:t>​</w:t>
            </w:r>
          </w:p>
        </w:tc>
        <w:tc>
          <w:tcPr>
            <w:tcW w:w="343" w:type="dxa"/>
            <w:tcBorders/>
            <w:vAlign w:val="center"/>
          </w:tcPr>
          <w:p>
            <w:pPr>
              <w:pStyle w:val="TableContents"/>
              <w:bidi w:val="0"/>
              <w:spacing w:before="0" w:after="0"/>
              <w:ind w:left="0" w:right="0" w:hanging="0"/>
              <w:jc w:val="center"/>
              <w:rPr/>
            </w:pPr>
            <w:r>
              <w:rPr/>
              <w:t>​</w:t>
            </w:r>
          </w:p>
        </w:tc>
        <w:tc>
          <w:tcPr>
            <w:tcW w:w="1176" w:type="dxa"/>
            <w:tcBorders/>
            <w:vAlign w:val="center"/>
          </w:tcPr>
          <w:p>
            <w:pPr>
              <w:pStyle w:val="TableContents"/>
              <w:bidi w:val="0"/>
              <w:spacing w:before="0" w:after="0"/>
              <w:ind w:left="0" w:right="0" w:hanging="0"/>
              <w:jc w:val="center"/>
              <w:rPr/>
            </w:pPr>
            <w:r>
              <w:rPr/>
              <w:t>​</w:t>
            </w:r>
          </w:p>
        </w:tc>
      </w:tr>
      <w:tr>
        <w:trPr/>
        <w:tc>
          <w:tcPr>
            <w:tcW w:w="1662" w:type="dxa"/>
            <w:tcBorders/>
            <w:vAlign w:val="center"/>
          </w:tcPr>
          <w:p>
            <w:pPr>
              <w:pStyle w:val="TableContents"/>
              <w:bidi w:val="0"/>
              <w:spacing w:before="0" w:after="0"/>
              <w:ind w:left="0" w:right="0" w:hanging="0"/>
              <w:jc w:val="left"/>
              <w:rPr/>
            </w:pPr>
            <w:r>
              <w:rPr/>
              <w:t>​</w:t>
            </w:r>
          </w:p>
        </w:tc>
        <w:tc>
          <w:tcPr>
            <w:tcW w:w="1043"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 xml:space="preserve">Current </w:t>
            </w:r>
            <w:r>
              <w:rPr>
                <w:rFonts w:ascii="Times New Roman;Times;serif" w:hAnsi="Times New Roman;Times;serif"/>
                <w:b/>
                <w:sz w:val="12"/>
              </w:rPr>
              <w:t>(1)</w:t>
            </w:r>
          </w:p>
        </w:tc>
        <w:tc>
          <w:tcPr>
            <w:tcW w:w="127" w:type="dxa"/>
            <w:tcBorders/>
            <w:vAlign w:val="center"/>
          </w:tcPr>
          <w:p>
            <w:pPr>
              <w:pStyle w:val="TableContents"/>
              <w:bidi w:val="0"/>
              <w:spacing w:before="0" w:after="0"/>
              <w:ind w:left="0" w:right="0" w:hanging="0"/>
              <w:jc w:val="center"/>
              <w:rPr/>
            </w:pPr>
            <w:r>
              <w:rPr/>
              <w:t>​</w:t>
            </w:r>
          </w:p>
        </w:tc>
        <w:tc>
          <w:tcPr>
            <w:tcW w:w="1465"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 xml:space="preserve">Non-Current </w:t>
            </w:r>
            <w:r>
              <w:rPr>
                <w:rFonts w:ascii="Times New Roman;Times;serif" w:hAnsi="Times New Roman;Times;serif"/>
                <w:b/>
                <w:sz w:val="12"/>
              </w:rPr>
              <w:t>(2)</w:t>
            </w:r>
          </w:p>
        </w:tc>
        <w:tc>
          <w:tcPr>
            <w:tcW w:w="127" w:type="dxa"/>
            <w:tcBorders/>
            <w:vAlign w:val="center"/>
          </w:tcPr>
          <w:p>
            <w:pPr>
              <w:pStyle w:val="TableContents"/>
              <w:bidi w:val="0"/>
              <w:spacing w:before="0" w:after="0"/>
              <w:ind w:left="0" w:right="0" w:hanging="0"/>
              <w:jc w:val="center"/>
              <w:rPr/>
            </w:pPr>
            <w:r>
              <w:rPr/>
              <w:t>​</w:t>
            </w:r>
          </w:p>
        </w:tc>
        <w:tc>
          <w:tcPr>
            <w:tcW w:w="1063"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 xml:space="preserve">Current </w:t>
            </w:r>
            <w:r>
              <w:rPr>
                <w:rFonts w:ascii="Times New Roman;Times;serif" w:hAnsi="Times New Roman;Times;serif"/>
                <w:b/>
                <w:sz w:val="12"/>
              </w:rPr>
              <w:t>(1)</w:t>
            </w:r>
          </w:p>
        </w:tc>
        <w:tc>
          <w:tcPr>
            <w:tcW w:w="130" w:type="dxa"/>
            <w:tcBorders/>
            <w:vAlign w:val="center"/>
          </w:tcPr>
          <w:p>
            <w:pPr>
              <w:pStyle w:val="TableContents"/>
              <w:bidi w:val="0"/>
              <w:spacing w:before="0" w:after="0"/>
              <w:ind w:left="0" w:right="0" w:hanging="0"/>
              <w:jc w:val="center"/>
              <w:rPr/>
            </w:pPr>
            <w:r>
              <w:rPr/>
              <w:t>​</w:t>
            </w:r>
          </w:p>
        </w:tc>
        <w:tc>
          <w:tcPr>
            <w:tcW w:w="1519"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Non-Current</w:t>
            </w:r>
            <w:r>
              <w:rPr>
                <w:rFonts w:ascii="Times New Roman;Times;serif" w:hAnsi="Times New Roman;Times;serif"/>
                <w:sz w:val="16"/>
              </w:rPr>
              <w:t xml:space="preserve"> </w:t>
            </w:r>
            <w:r>
              <w:rPr>
                <w:rFonts w:ascii="Times New Roman;Times;serif" w:hAnsi="Times New Roman;Times;serif"/>
                <w:b/>
                <w:sz w:val="12"/>
              </w:rPr>
              <w:t>(2)</w:t>
            </w:r>
          </w:p>
        </w:tc>
      </w:tr>
      <w:tr>
        <w:trPr/>
        <w:tc>
          <w:tcPr>
            <w:tcW w:w="16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Earn-outs</w:t>
            </w:r>
          </w:p>
        </w:tc>
        <w:tc>
          <w:tcPr>
            <w:tcW w:w="2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18,300</w:t>
            </w:r>
          </w:p>
        </w:tc>
        <w:tc>
          <w:tcPr>
            <w:tcW w:w="127" w:type="dxa"/>
            <w:tcBorders/>
            <w:shd w:fill="CCEEFF" w:val="clear"/>
            <w:vAlign w:val="center"/>
          </w:tcPr>
          <w:p>
            <w:pPr>
              <w:pStyle w:val="TableContents"/>
              <w:bidi w:val="0"/>
              <w:spacing w:before="0" w:after="0"/>
              <w:ind w:left="0" w:right="0" w:hanging="0"/>
              <w:jc w:val="left"/>
              <w:rPr/>
            </w:pPr>
            <w:r>
              <w:rPr/>
              <w:t>​</w:t>
            </w:r>
          </w:p>
        </w:tc>
        <w:tc>
          <w:tcPr>
            <w:tcW w:w="3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57,800</w:t>
            </w:r>
          </w:p>
        </w:tc>
        <w:tc>
          <w:tcPr>
            <w:tcW w:w="127"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17,900</w:t>
            </w:r>
          </w:p>
        </w:tc>
        <w:tc>
          <w:tcPr>
            <w:tcW w:w="130" w:type="dxa"/>
            <w:tcBorders/>
            <w:shd w:fill="CCEEFF" w:val="clear"/>
            <w:vAlign w:val="center"/>
          </w:tcPr>
          <w:p>
            <w:pPr>
              <w:pStyle w:val="TableContents"/>
              <w:bidi w:val="0"/>
              <w:spacing w:before="0" w:after="0"/>
              <w:ind w:left="0" w:right="0" w:hanging="0"/>
              <w:jc w:val="left"/>
              <w:rPr/>
            </w:pPr>
            <w:r>
              <w:rPr/>
              <w:t>​</w:t>
            </w:r>
          </w:p>
        </w:tc>
        <w:tc>
          <w:tcPr>
            <w:tcW w:w="34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56,500</w:t>
            </w:r>
          </w:p>
        </w:tc>
      </w:tr>
      <w:tr>
        <w:trPr/>
        <w:tc>
          <w:tcPr>
            <w:tcW w:w="16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 Earn-outs</w:t>
            </w:r>
          </w:p>
        </w:tc>
        <w:tc>
          <w:tcPr>
            <w:tcW w:w="24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11,300</w:t>
            </w:r>
          </w:p>
        </w:tc>
        <w:tc>
          <w:tcPr>
            <w:tcW w:w="127" w:type="dxa"/>
            <w:tcBorders/>
            <w:vAlign w:val="center"/>
          </w:tcPr>
          <w:p>
            <w:pPr>
              <w:pStyle w:val="TableContents"/>
              <w:bidi w:val="0"/>
              <w:spacing w:before="0" w:after="0"/>
              <w:ind w:left="0" w:right="0" w:hanging="0"/>
              <w:jc w:val="left"/>
              <w:rPr/>
            </w:pPr>
            <w:r>
              <w:rPr/>
              <w:t>​</w:t>
            </w:r>
          </w:p>
        </w:tc>
        <w:tc>
          <w:tcPr>
            <w:tcW w:w="34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1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20,400</w:t>
            </w:r>
          </w:p>
        </w:tc>
        <w:tc>
          <w:tcPr>
            <w:tcW w:w="127" w:type="dxa"/>
            <w:tcBorders/>
            <w:vAlign w:val="center"/>
          </w:tcPr>
          <w:p>
            <w:pPr>
              <w:pStyle w:val="TableContents"/>
              <w:bidi w:val="0"/>
              <w:spacing w:before="0" w:after="0"/>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17,200</w:t>
            </w:r>
          </w:p>
        </w:tc>
        <w:tc>
          <w:tcPr>
            <w:tcW w:w="130" w:type="dxa"/>
            <w:tcBorders/>
            <w:vAlign w:val="center"/>
          </w:tcPr>
          <w:p>
            <w:pPr>
              <w:pStyle w:val="TableContents"/>
              <w:bidi w:val="0"/>
              <w:spacing w:before="0" w:after="0"/>
              <w:ind w:left="0" w:right="0" w:hanging="0"/>
              <w:jc w:val="left"/>
              <w:rPr/>
            </w:pPr>
            <w:r>
              <w:rPr/>
              <w:t>​</w:t>
            </w:r>
          </w:p>
        </w:tc>
        <w:tc>
          <w:tcPr>
            <w:tcW w:w="34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30,900</w:t>
            </w:r>
          </w:p>
        </w:tc>
      </w:tr>
      <w:tr>
        <w:trPr/>
        <w:tc>
          <w:tcPr>
            <w:tcW w:w="16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w:t>
            </w:r>
          </w:p>
        </w:tc>
        <w:tc>
          <w:tcPr>
            <w:tcW w:w="24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29,600</w:t>
            </w:r>
          </w:p>
        </w:tc>
        <w:tc>
          <w:tcPr>
            <w:tcW w:w="127" w:type="dxa"/>
            <w:tcBorders/>
            <w:shd w:fill="CCEEFF" w:val="clear"/>
            <w:vAlign w:val="center"/>
          </w:tcPr>
          <w:p>
            <w:pPr>
              <w:pStyle w:val="TableContents"/>
              <w:bidi w:val="0"/>
              <w:spacing w:before="0" w:after="0"/>
              <w:ind w:left="0" w:right="0" w:hanging="0"/>
              <w:jc w:val="left"/>
              <w:rPr/>
            </w:pPr>
            <w:r>
              <w:rPr/>
              <w:t>​</w:t>
            </w:r>
          </w:p>
        </w:tc>
        <w:tc>
          <w:tcPr>
            <w:tcW w:w="34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78,200</w:t>
            </w:r>
          </w:p>
        </w:tc>
        <w:tc>
          <w:tcPr>
            <w:tcW w:w="127" w:type="dxa"/>
            <w:tcBorders/>
            <w:shd w:fill="CCEEFF" w:val="clear"/>
            <w:vAlign w:val="center"/>
          </w:tcPr>
          <w:p>
            <w:pPr>
              <w:pStyle w:val="TableContents"/>
              <w:bidi w:val="0"/>
              <w:spacing w:before="0" w:after="0"/>
              <w:ind w:left="0" w:right="0" w:hanging="0"/>
              <w:jc w:val="left"/>
              <w:rPr/>
            </w:pPr>
            <w:r>
              <w:rPr/>
              <w:t>​</w:t>
            </w:r>
          </w:p>
        </w:tc>
        <w:tc>
          <w:tcPr>
            <w:tcW w:w="25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35,100</w:t>
            </w:r>
          </w:p>
        </w:tc>
        <w:tc>
          <w:tcPr>
            <w:tcW w:w="130" w:type="dxa"/>
            <w:tcBorders/>
            <w:shd w:fill="CCEEFF" w:val="clear"/>
            <w:vAlign w:val="center"/>
          </w:tcPr>
          <w:p>
            <w:pPr>
              <w:pStyle w:val="TableContents"/>
              <w:bidi w:val="0"/>
              <w:spacing w:before="0" w:after="0"/>
              <w:ind w:left="0" w:right="0" w:hanging="0"/>
              <w:jc w:val="left"/>
              <w:rPr/>
            </w:pPr>
            <w:r>
              <w:rPr/>
              <w:t>​</w:t>
            </w:r>
          </w:p>
        </w:tc>
        <w:tc>
          <w:tcPr>
            <w:tcW w:w="34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87,400</w:t>
            </w:r>
          </w:p>
        </w:tc>
      </w:tr>
      <w:tr>
        <w:trPr/>
        <w:tc>
          <w:tcPr>
            <w:tcW w:w="7136" w:type="dxa"/>
            <w:gridSpan w:val="12"/>
            <w:tcBorders/>
            <w:vAlign w:val="center"/>
          </w:tcPr>
          <w:p>
            <w:pPr>
              <w:pStyle w:val="TableContents"/>
              <w:bidi w:val="0"/>
              <w:spacing w:before="0" w:after="0"/>
              <w:ind w:left="0" w:right="0" w:hanging="0"/>
              <w:jc w:val="left"/>
              <w:rPr/>
            </w:pPr>
            <w:r>
              <w:rPr/>
              <w:t>​</w:t>
            </w:r>
          </w:p>
        </w:tc>
      </w:tr>
      <w:tr>
        <w:trPr/>
        <w:tc>
          <w:tcPr>
            <w:tcW w:w="7136" w:type="dxa"/>
            <w:gridSpan w:val="12"/>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4"/>
              </w:rPr>
              <w:t xml:space="preserve">(1) </w:t>
            </w:r>
            <w:r>
              <w:rPr>
                <w:rFonts w:ascii="Times New Roman;Times;serif" w:hAnsi="Times New Roman;Times;serif"/>
                <w:sz w:val="18"/>
              </w:rPr>
              <w:t>Included in purchase commitment and contingent consideration liabilities, current.</w:t>
            </w:r>
          </w:p>
        </w:tc>
      </w:tr>
      <w:tr>
        <w:trPr/>
        <w:tc>
          <w:tcPr>
            <w:tcW w:w="7136" w:type="dxa"/>
            <w:gridSpan w:val="12"/>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4"/>
              </w:rPr>
              <w:t>(2)</w:t>
            </w:r>
            <w:r>
              <w:rPr>
                <w:rFonts w:ascii="Times New Roman;Times;serif" w:hAnsi="Times New Roman;Times;serif"/>
                <w:sz w:val="18"/>
              </w:rPr>
              <w:t xml:space="preserve"> Included in purchase commitment and contingent consideration liabilities, net of current portion.</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These Earn-outs represent recurring fair value measurements with significant unobservable inputs, which management considers to be Level 3 measurements under the fair value hierarchy. The final payments may be adjusted depending on the actual amount, above or below the target. The Earn-outs will be revalued and adjusted quarterly until the end of the Earn-out period, and any fair value adjustments will be recorded in the other operating expense (income), net line of the condensed consolidated statement of income.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During the three months ended March 31, 2025, the Company recorded fair value adjustments of $1,700 and $(16,400) to the Cash Earn-outs and Stock Earn-outs, respectively.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646" w:type="dxa"/>
        <w:jc w:val="left"/>
        <w:tblInd w:w="0" w:type="dxa"/>
        <w:tblLayout w:type="fixed"/>
        <w:tblCellMar>
          <w:top w:w="0" w:type="dxa"/>
          <w:left w:w="0" w:type="dxa"/>
          <w:bottom w:w="0" w:type="dxa"/>
          <w:right w:w="0" w:type="dxa"/>
        </w:tblCellMar>
      </w:tblPr>
      <w:tblGrid>
        <w:gridCol w:w="6646"/>
      </w:tblGrid>
      <w:tr>
        <w:trPr/>
        <w:tc>
          <w:tcPr>
            <w:tcW w:w="6646" w:type="dxa"/>
            <w:tcBorders/>
            <w:vAlign w:val="center"/>
          </w:tcPr>
          <w:p>
            <w:pPr>
              <w:pStyle w:val="TableContents"/>
              <w:bidi w:val="0"/>
              <w:spacing w:before="0" w:after="283"/>
              <w:ind w:left="0" w:right="0" w:hanging="0"/>
              <w:jc w:val="left"/>
              <w:rPr>
                <w:sz w:val="4"/>
                <w:szCs w:val="4"/>
              </w:rPr>
            </w:pPr>
            <w:r>
              <w:rPr>
                <w:sz w:val="4"/>
                <w:szCs w:val="4"/>
              </w:rPr>
            </w:r>
          </w:p>
        </w:tc>
      </w:tr>
      <w:tr>
        <w:trPr/>
        <w:tc>
          <w:tcPr>
            <w:tcW w:w="66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Vertex, Inc. and Subsidiaries</w:t>
            </w:r>
          </w:p>
        </w:tc>
      </w:tr>
      <w:tr>
        <w:trPr/>
        <w:tc>
          <w:tcPr>
            <w:tcW w:w="66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Condensed Consolidated Financial Statements (unaudited) continued</w:t>
            </w:r>
          </w:p>
        </w:tc>
      </w:tr>
      <w:tr>
        <w:trPr/>
        <w:tc>
          <w:tcPr>
            <w:tcW w:w="66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(Amounts in thousands, except per share data) </w:t>
            </w:r>
          </w:p>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bookmarkStart w:id="973" w:name="Tc_5ZMD_FkqakSrYX-Yeb1wzA_7_5"/>
      <w:bookmarkStart w:id="974" w:name="Tc_6iJU1UsDNECHMym7tLjPGw_7_2"/>
      <w:bookmarkStart w:id="975" w:name="Tc_Wig3i3YxEkyl8RLcs9l89A_7_0"/>
      <w:bookmarkStart w:id="976" w:name="Tc_l_2Q7YpqNkqchlepOXoJLA_5_5"/>
      <w:bookmarkStart w:id="977" w:name="Tc_GsO98gaH2U-UTH57S2T36A_5_2"/>
      <w:bookmarkStart w:id="978" w:name="Tc_GB79OwOnUkivO8uZHqPayw_5_0"/>
      <w:bookmarkStart w:id="979" w:name="Tc_zOjpRuzf-E6YlEQPpQ3-Ow_4_2"/>
      <w:bookmarkStart w:id="980" w:name="Tc_SrZOwbjQFEuyPNxJkeTL9Q_3_5"/>
      <w:bookmarkStart w:id="981" w:name="Tc_euD-_x86RE-ZbHwdOjunnA_3_2"/>
      <w:bookmarkStart w:id="982" w:name="Tc_HWPBqjD1E0W_9a3OJDpCOQ_2_2"/>
      <w:bookmarkStart w:id="983" w:name="Tc_D3nH-jcvI0aMyadBjIgewg_1_2"/>
      <w:bookmarkStart w:id="984" w:name="Tc_BZ3tJBli2UWNKkJWdwOtKA_19_8"/>
      <w:bookmarkStart w:id="985" w:name="Tc_O8BbiwRheEiy7HnRVmV95w_18_11"/>
      <w:bookmarkStart w:id="986" w:name="Tc_gH4YyzDA0EqZ7ADIHbizHQ_18_8"/>
      <w:bookmarkStart w:id="987" w:name="Tc_cD89-9XqEUOYp9V-xRAIBw_17_11"/>
      <w:bookmarkStart w:id="988" w:name="Tc_PC1TeOplt0Oq0s2nGmkAzg_17_8"/>
      <w:bookmarkStart w:id="989" w:name="Tc_vw5lXJSh2UuJESu-4Ut2pw_17_6"/>
      <w:bookmarkStart w:id="990" w:name="Tc__K-bTx9KdkqYTZ-keoJLfQ_17_2"/>
      <w:bookmarkStart w:id="991" w:name="Tc_KSF6wHuaxEeUpJrJLJWg5w_17_0"/>
      <w:bookmarkStart w:id="992" w:name="Tc_FywZPw6rxkqWlsslx89qww_15_8"/>
      <w:bookmarkStart w:id="993" w:name="Tc_qHh2qPxcLUuElXAydQ7Dpg_14_11"/>
      <w:bookmarkStart w:id="994" w:name="Tc_Jqx6YMHaiE-BI7bByF5Ufw_14_8"/>
      <w:bookmarkStart w:id="995" w:name="Tc_hKbHQ1NXCkKBkpR4rlJrlA_13_11"/>
      <w:bookmarkStart w:id="996" w:name="Tc_KK0tUwiDhkK5XQ1pwPlr-g_13_8"/>
      <w:bookmarkStart w:id="997" w:name="Tc_76xg27XCIEW8RS2IKaAl_g_13_6"/>
      <w:bookmarkStart w:id="998" w:name="Tc_5WmZOU45E0OJdp8-WOR93w_13_2"/>
      <w:bookmarkStart w:id="999" w:name="Tc_ySWBvj1WK0S_hhKRUmWCtg_13_0"/>
      <w:bookmarkStart w:id="1000" w:name="Tc_xXQx495UjkeSG8J1cfUrcw_12_8"/>
      <w:bookmarkStart w:id="1001" w:name="Tc_6JnUbdi8v0O96iid_OiXNQ_12_6"/>
      <w:bookmarkStart w:id="1002" w:name="Tc_klaxdktiIUmeKRkkiIhLjw_12_2"/>
      <w:bookmarkStart w:id="1003" w:name="Tc_L5zquT5Oy0m6fVqc2bAXig_12_0"/>
      <w:bookmarkStart w:id="1004" w:name="Tc__RvFWggjh0W6T7e5ZvwMzQ_11_2"/>
      <w:bookmarkStart w:id="1005" w:name="Tc_FhT5CUkG1E6h8KzV7VfNyQ_9_8"/>
      <w:bookmarkStart w:id="1006" w:name="Tc_5McuQQLF_U27htmIQFsvNA_8_11"/>
      <w:bookmarkStart w:id="1007" w:name="Tc_501JUXMOM0qn2ffb89OvXA_8_8"/>
      <w:bookmarkStart w:id="1008" w:name="Tc_O01jF1YNQk-Egn_4G_Efmg_7_11"/>
      <w:bookmarkStart w:id="1009" w:name="Tc_bcJjLNuu_UCivv5ypjyH2Q_7_8"/>
      <w:bookmarkStart w:id="1010" w:name="Tc_OzeK5MtXE0u62ac7Czn9CQ_7_6"/>
      <w:bookmarkStart w:id="1011" w:name="Tc_E1m_uBZDGE-fA-prsfO7RA_7_2"/>
      <w:bookmarkStart w:id="1012" w:name="Tc_kuK-n2BvjUikteS_2pjk4w_7_0"/>
      <w:bookmarkStart w:id="1013" w:name="Tc_TkbfNBiWkkC3eq2Z1CzuhQ_5_8"/>
      <w:bookmarkStart w:id="1014" w:name="Tc_9e12qzfAXkeggscEJHstzg_4_11"/>
      <w:bookmarkStart w:id="1015" w:name="Tc_Ly2ozd5aDkea4l9wRbbrBw_4_8"/>
      <w:bookmarkStart w:id="1016" w:name="Tc_MxbyLKkJLUSt6Fqswaes4g_3_11"/>
      <w:bookmarkStart w:id="1017" w:name="Tc_iRoweV-So06xeGXH_yL5FQ_3_8"/>
      <w:bookmarkStart w:id="1018" w:name="Tc_T9pFb2iGLkGFbcpGLE-G1A_3_6"/>
      <w:bookmarkStart w:id="1019" w:name="Tc_bzx7DA-UKEiPxgwJ94BbUw_3_2"/>
      <w:bookmarkStart w:id="1020" w:name="Tc__mOo4JBm3USUU4XKgXJNCw_3_0"/>
      <w:bookmarkStart w:id="1021" w:name="Tc_q9kjxindmUu3EddJo94-Eg_2_8"/>
      <w:bookmarkStart w:id="1022" w:name="Tc_R3IRQNDa1Uqlpl4j6N-Stg_2_6"/>
      <w:bookmarkStart w:id="1023" w:name="Tc_ApdeMz97oUKF0fxxmosJyw_2_2"/>
      <w:bookmarkStart w:id="1024" w:name="Tc_ugkDDVcXd062MyeHqp0V1w_2_0"/>
      <w:bookmarkStart w:id="1025" w:name="Tc_u6uokifbOk-i7VrBfRYZNw_1_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r>
        <w:rPr>
          <w:rFonts w:ascii="Times New Roman;Times;serif" w:hAnsi="Times New Roman;Times;serif"/>
          <w:sz w:val="20"/>
        </w:rPr>
        <w:t xml:space="preserve">The fair values of the Cash Earn-outs and the Stock Earn-outs and unobservable inputs used for the Monte Carlo Simulation valuation are shown in the table below. </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996"/>
        <w:gridCol w:w="326"/>
        <w:gridCol w:w="211"/>
        <w:gridCol w:w="676"/>
        <w:gridCol w:w="326"/>
        <w:gridCol w:w="109"/>
        <w:gridCol w:w="1732"/>
        <w:gridCol w:w="109"/>
        <w:gridCol w:w="1828"/>
        <w:gridCol w:w="109"/>
        <w:gridCol w:w="466"/>
        <w:gridCol w:w="317"/>
      </w:tblGrid>
      <w:tr>
        <w:trPr/>
        <w:tc>
          <w:tcPr>
            <w:tcW w:w="39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537460" cy="175260"/>
                      <wp:effectExtent l="0" t="0" r="0" b="0"/>
                      <wp:wrapNone/>
                      <wp:docPr id="129" name="Frame129"/>
                      <a:graphic xmlns:a="http://schemas.openxmlformats.org/drawingml/2006/main">
                        <a:graphicData uri="http://schemas.microsoft.com/office/word/2010/wordprocessingShape">
                          <wps:wsp>
                            <wps:cNvSpPr txBox="1"/>
                            <wps:spPr>
                              <a:xfrm>
                                <a:off x="0" y="0"/>
                                <a:ext cx="2537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207010" cy="175260"/>
                      <wp:effectExtent l="0" t="0" r="0" b="0"/>
                      <wp:wrapNone/>
                      <wp:docPr id="130" name="Frame1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133985" cy="175260"/>
                      <wp:effectExtent l="0" t="0" r="0" b="0"/>
                      <wp:wrapNone/>
                      <wp:docPr id="131" name="Frame1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429260" cy="175260"/>
                      <wp:effectExtent l="0" t="0" r="0" b="0"/>
                      <wp:wrapNone/>
                      <wp:docPr id="132" name="Frame13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07010" cy="175260"/>
                      <wp:effectExtent l="0" t="0" r="0" b="0"/>
                      <wp:wrapNone/>
                      <wp:docPr id="133" name="Frame1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9215" cy="175260"/>
                      <wp:effectExtent l="0" t="0" r="0" b="0"/>
                      <wp:wrapNone/>
                      <wp:docPr id="134" name="Frame13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7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1099820" cy="175260"/>
                      <wp:effectExtent l="0" t="0" r="0" b="0"/>
                      <wp:wrapNone/>
                      <wp:docPr id="135" name="Frame135"/>
                      <a:graphic xmlns:a="http://schemas.openxmlformats.org/drawingml/2006/main">
                        <a:graphicData uri="http://schemas.microsoft.com/office/word/2010/wordprocessingShape">
                          <wps:wsp>
                            <wps:cNvSpPr txBox="1"/>
                            <wps:spPr>
                              <a:xfrm>
                                <a:off x="0" y="0"/>
                                <a:ext cx="10998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9215" cy="175260"/>
                      <wp:effectExtent l="0" t="0" r="0" b="0"/>
                      <wp:wrapNone/>
                      <wp:docPr id="136" name="Frame13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1160780" cy="175260"/>
                      <wp:effectExtent l="0" t="0" r="0" b="0"/>
                      <wp:wrapNone/>
                      <wp:docPr id="137" name="Frame137"/>
                      <a:graphic xmlns:a="http://schemas.openxmlformats.org/drawingml/2006/main">
                        <a:graphicData uri="http://schemas.microsoft.com/office/word/2010/wordprocessingShape">
                          <wps:wsp>
                            <wps:cNvSpPr txBox="1"/>
                            <wps:spPr>
                              <a:xfrm>
                                <a:off x="0" y="0"/>
                                <a:ext cx="1160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9215" cy="175260"/>
                      <wp:effectExtent l="0" t="0" r="0" b="0"/>
                      <wp:wrapNone/>
                      <wp:docPr id="138" name="Frame13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95910" cy="175260"/>
                      <wp:effectExtent l="0" t="0" r="0" b="0"/>
                      <wp:wrapNone/>
                      <wp:docPr id="139" name="Frame139"/>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01295" cy="175260"/>
                      <wp:effectExtent l="0" t="0" r="0" b="0"/>
                      <wp:wrapNone/>
                      <wp:docPr id="140" name="Frame140"/>
                      <a:graphic xmlns:a="http://schemas.openxmlformats.org/drawingml/2006/main">
                        <a:graphicData uri="http://schemas.microsoft.com/office/word/2010/wordprocessingShape">
                          <wps:wsp>
                            <wps:cNvSpPr txBox="1"/>
                            <wps:spPr>
                              <a:xfrm>
                                <a:off x="0" y="0"/>
                                <a:ext cx="201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883"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2025 (unaudited)</w:t>
            </w:r>
          </w:p>
        </w:tc>
      </w:tr>
      <w:tr>
        <w:trPr/>
        <w:tc>
          <w:tcPr>
            <w:tcW w:w="39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Liabilities</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32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173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Valuation Technique</w:t>
            </w:r>
          </w:p>
        </w:tc>
        <w:tc>
          <w:tcPr>
            <w:tcW w:w="109" w:type="dxa"/>
            <w:tcBorders/>
            <w:vAlign w:val="center"/>
          </w:tcPr>
          <w:p>
            <w:pPr>
              <w:pStyle w:val="TableContents"/>
              <w:bidi w:val="0"/>
              <w:spacing w:before="0" w:after="0"/>
              <w:ind w:left="0" w:right="0" w:hanging="0"/>
              <w:jc w:val="left"/>
              <w:rPr/>
            </w:pPr>
            <w:r>
              <w:rPr/>
              <w:t>​</w:t>
            </w:r>
          </w:p>
        </w:tc>
        <w:tc>
          <w:tcPr>
            <w:tcW w:w="2720"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Unobservable Inputs</w:t>
            </w:r>
          </w:p>
        </w:tc>
      </w:tr>
      <w:tr>
        <w:trPr/>
        <w:tc>
          <w:tcPr>
            <w:tcW w:w="39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ecosio Contingent Consideration - Cash Earn-outs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76,100</w:t>
            </w:r>
          </w:p>
        </w:tc>
        <w:tc>
          <w:tcPr>
            <w:tcW w:w="3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73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Monte Carlo Simulation</w:t>
            </w:r>
          </w:p>
        </w:tc>
        <w:tc>
          <w:tcPr>
            <w:tcW w:w="109" w:type="dxa"/>
            <w:tcBorders/>
            <w:shd w:fill="CCEEFF" w:val="clear"/>
            <w:vAlign w:val="center"/>
          </w:tcPr>
          <w:p>
            <w:pPr>
              <w:pStyle w:val="TableContents"/>
              <w:bidi w:val="0"/>
              <w:spacing w:before="0" w:after="0"/>
              <w:ind w:left="0" w:right="0" w:hanging="0"/>
              <w:jc w:val="left"/>
              <w:rPr/>
            </w:pPr>
            <w:r>
              <w:rPr/>
              <w:t>​</w:t>
            </w:r>
          </w:p>
        </w:tc>
        <w:tc>
          <w:tcPr>
            <w:tcW w:w="18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 volatility</w:t>
            </w:r>
          </w:p>
        </w:tc>
        <w:tc>
          <w:tcPr>
            <w:tcW w:w="109"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w:t>
            </w:r>
          </w:p>
        </w:tc>
        <w:tc>
          <w:tcPr>
            <w:tcW w:w="3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73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 discount rate</w:t>
            </w:r>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w:t>
            </w:r>
          </w:p>
        </w:tc>
        <w:tc>
          <w:tcPr>
            <w:tcW w:w="3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9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732"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Term (in years)</w:t>
            </w:r>
          </w:p>
        </w:tc>
        <w:tc>
          <w:tcPr>
            <w:tcW w:w="109"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317" w:type="dxa"/>
            <w:tcBorders/>
            <w:shd w:fill="CCEEFF" w:val="clear"/>
            <w:vAlign w:val="center"/>
          </w:tcPr>
          <w:p>
            <w:pPr>
              <w:pStyle w:val="TableContents"/>
              <w:bidi w:val="0"/>
              <w:spacing w:before="0" w:after="0"/>
              <w:ind w:left="0" w:right="0" w:hanging="0"/>
              <w:jc w:val="left"/>
              <w:rPr/>
            </w:pPr>
            <w:r>
              <w:rPr/>
              <w:t>​</w:t>
            </w:r>
          </w:p>
        </w:tc>
      </w:tr>
      <w:tr>
        <w:trPr/>
        <w:tc>
          <w:tcPr>
            <w:tcW w:w="39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73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2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r>
      <w:tr>
        <w:trPr/>
        <w:tc>
          <w:tcPr>
            <w:tcW w:w="39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ecosio Contingent Consideration - Stock Earn-outs</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31,700</w:t>
            </w:r>
          </w:p>
        </w:tc>
        <w:tc>
          <w:tcPr>
            <w:tcW w:w="3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73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Monte Carlo Simulation</w:t>
            </w:r>
          </w:p>
        </w:tc>
        <w:tc>
          <w:tcPr>
            <w:tcW w:w="109" w:type="dxa"/>
            <w:tcBorders/>
            <w:shd w:fill="CCEEFF" w:val="clear"/>
            <w:vAlign w:val="center"/>
          </w:tcPr>
          <w:p>
            <w:pPr>
              <w:pStyle w:val="TableContents"/>
              <w:bidi w:val="0"/>
              <w:spacing w:before="0" w:after="0"/>
              <w:ind w:left="0" w:right="0" w:hanging="0"/>
              <w:jc w:val="left"/>
              <w:rPr/>
            </w:pPr>
            <w:r>
              <w:rPr/>
              <w:t>​</w:t>
            </w:r>
          </w:p>
        </w:tc>
        <w:tc>
          <w:tcPr>
            <w:tcW w:w="18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 volatility</w:t>
            </w:r>
          </w:p>
        </w:tc>
        <w:tc>
          <w:tcPr>
            <w:tcW w:w="109"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w:t>
            </w:r>
          </w:p>
        </w:tc>
        <w:tc>
          <w:tcPr>
            <w:tcW w:w="3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73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 discount rate</w:t>
            </w:r>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w:t>
            </w:r>
          </w:p>
        </w:tc>
        <w:tc>
          <w:tcPr>
            <w:tcW w:w="3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9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732"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Term (in years)</w:t>
            </w:r>
          </w:p>
        </w:tc>
        <w:tc>
          <w:tcPr>
            <w:tcW w:w="109"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317" w:type="dxa"/>
            <w:tcBorders/>
            <w:shd w:fill="CCEEFF" w:val="clear"/>
            <w:vAlign w:val="center"/>
          </w:tcPr>
          <w:p>
            <w:pPr>
              <w:pStyle w:val="TableContents"/>
              <w:bidi w:val="0"/>
              <w:spacing w:before="0" w:after="0"/>
              <w:ind w:left="0" w:right="0" w:hanging="0"/>
              <w:jc w:val="left"/>
              <w:rPr/>
            </w:pPr>
            <w:r>
              <w:rPr/>
              <w:t>​</w:t>
            </w:r>
          </w:p>
        </w:tc>
      </w:tr>
      <w:tr>
        <w:trPr/>
        <w:tc>
          <w:tcPr>
            <w:tcW w:w="39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73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2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r>
      <w:tr>
        <w:trPr/>
        <w:tc>
          <w:tcPr>
            <w:tcW w:w="39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883"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2024</w:t>
            </w:r>
          </w:p>
        </w:tc>
      </w:tr>
      <w:tr>
        <w:trPr/>
        <w:tc>
          <w:tcPr>
            <w:tcW w:w="39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Liabilities</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32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173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Valuation Technique</w:t>
            </w:r>
          </w:p>
        </w:tc>
        <w:tc>
          <w:tcPr>
            <w:tcW w:w="109" w:type="dxa"/>
            <w:tcBorders/>
            <w:vAlign w:val="center"/>
          </w:tcPr>
          <w:p>
            <w:pPr>
              <w:pStyle w:val="TableContents"/>
              <w:bidi w:val="0"/>
              <w:spacing w:before="0" w:after="0"/>
              <w:ind w:left="0" w:right="0" w:hanging="0"/>
              <w:jc w:val="left"/>
              <w:rPr/>
            </w:pPr>
            <w:r>
              <w:rPr/>
              <w:t>​</w:t>
            </w:r>
          </w:p>
        </w:tc>
        <w:tc>
          <w:tcPr>
            <w:tcW w:w="2720"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Unobservable Inputs</w:t>
            </w:r>
          </w:p>
        </w:tc>
      </w:tr>
      <w:tr>
        <w:trPr/>
        <w:tc>
          <w:tcPr>
            <w:tcW w:w="39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ecosio Contingent Consideration - Cash Earn-outs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74,400</w:t>
            </w:r>
          </w:p>
        </w:tc>
        <w:tc>
          <w:tcPr>
            <w:tcW w:w="3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73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Monte Carlo Simulation</w:t>
            </w:r>
          </w:p>
        </w:tc>
        <w:tc>
          <w:tcPr>
            <w:tcW w:w="109" w:type="dxa"/>
            <w:tcBorders/>
            <w:shd w:fill="CCEEFF" w:val="clear"/>
            <w:vAlign w:val="center"/>
          </w:tcPr>
          <w:p>
            <w:pPr>
              <w:pStyle w:val="TableContents"/>
              <w:bidi w:val="0"/>
              <w:spacing w:before="0" w:after="0"/>
              <w:ind w:left="0" w:right="0" w:hanging="0"/>
              <w:jc w:val="left"/>
              <w:rPr/>
            </w:pPr>
            <w:r>
              <w:rPr/>
              <w:t>​</w:t>
            </w:r>
          </w:p>
        </w:tc>
        <w:tc>
          <w:tcPr>
            <w:tcW w:w="18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 volatility</w:t>
            </w:r>
          </w:p>
        </w:tc>
        <w:tc>
          <w:tcPr>
            <w:tcW w:w="109"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w:t>
            </w:r>
          </w:p>
        </w:tc>
        <w:tc>
          <w:tcPr>
            <w:tcW w:w="3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73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 discount rate</w:t>
            </w:r>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w:t>
            </w:r>
          </w:p>
        </w:tc>
        <w:tc>
          <w:tcPr>
            <w:tcW w:w="3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9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732"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Term (in years)</w:t>
            </w:r>
          </w:p>
        </w:tc>
        <w:tc>
          <w:tcPr>
            <w:tcW w:w="109"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317" w:type="dxa"/>
            <w:tcBorders/>
            <w:shd w:fill="CCEEFF" w:val="clear"/>
            <w:vAlign w:val="center"/>
          </w:tcPr>
          <w:p>
            <w:pPr>
              <w:pStyle w:val="TableContents"/>
              <w:bidi w:val="0"/>
              <w:spacing w:before="0" w:after="0"/>
              <w:ind w:left="0" w:right="0" w:hanging="0"/>
              <w:jc w:val="left"/>
              <w:rPr/>
            </w:pPr>
            <w:r>
              <w:rPr/>
              <w:t>​</w:t>
            </w:r>
          </w:p>
        </w:tc>
      </w:tr>
      <w:tr>
        <w:trPr/>
        <w:tc>
          <w:tcPr>
            <w:tcW w:w="39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73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2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r>
      <w:tr>
        <w:trPr/>
        <w:tc>
          <w:tcPr>
            <w:tcW w:w="39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ecosio Contingent Consideration - Stock Earn-outs</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48,100</w:t>
            </w:r>
          </w:p>
        </w:tc>
        <w:tc>
          <w:tcPr>
            <w:tcW w:w="3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73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Monte Carlo Simulation</w:t>
            </w:r>
          </w:p>
        </w:tc>
        <w:tc>
          <w:tcPr>
            <w:tcW w:w="109" w:type="dxa"/>
            <w:tcBorders/>
            <w:shd w:fill="CCEEFF" w:val="clear"/>
            <w:vAlign w:val="center"/>
          </w:tcPr>
          <w:p>
            <w:pPr>
              <w:pStyle w:val="TableContents"/>
              <w:bidi w:val="0"/>
              <w:spacing w:before="0" w:after="0"/>
              <w:ind w:left="0" w:right="0" w:hanging="0"/>
              <w:jc w:val="left"/>
              <w:rPr/>
            </w:pPr>
            <w:r>
              <w:rPr/>
              <w:t>​</w:t>
            </w:r>
          </w:p>
        </w:tc>
        <w:tc>
          <w:tcPr>
            <w:tcW w:w="18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 volatility</w:t>
            </w:r>
          </w:p>
        </w:tc>
        <w:tc>
          <w:tcPr>
            <w:tcW w:w="109"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w:t>
            </w:r>
          </w:p>
        </w:tc>
        <w:tc>
          <w:tcPr>
            <w:tcW w:w="3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73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 discount rate</w:t>
            </w:r>
          </w:p>
        </w:tc>
        <w:tc>
          <w:tcPr>
            <w:tcW w:w="109"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w:t>
            </w:r>
          </w:p>
        </w:tc>
        <w:tc>
          <w:tcPr>
            <w:tcW w:w="3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9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732"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8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Term (in years)</w:t>
            </w:r>
          </w:p>
        </w:tc>
        <w:tc>
          <w:tcPr>
            <w:tcW w:w="109"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317"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connection with the January 2021 Tellutax LLC (“Tellutax”) acquisition, the sellers were entitled to contingent consideration if sales targets are met during a period of time following the acquisition (the “Tellutax Contingent Consideration”). The Tellutax Contingent Consideration was based on three potential earn-out payments determined by periodic revenue achievements over a thirty-month period. Such estimates represented a recurring fair value measurement with significant unobservable inputs, which management considered to be Level 3 measurements under the fair value hierarchy. The significant assumptions used in these calculations included forecasted results and the estimated likelihood for each performance scenario. The fair value of Tellutax Contingent Consideration was estimated using a Monte Carlo Simulation to compute the expected cash flows from the payments specified in the purchase agreement. Such payments have no maximum limit, but if certain targets are not met, there will be no payment for the applicable measurement period.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 fair value adjustment of $(800) was recorded in other operating expense (income), net for the three months ended March 31, 2024. As of March 31, 2025 and December 31, 2024, the Tellutax consideration balance was $0.</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Changes in the fair value of the Company’s level 3 liabilities during the three months ended March 31, 2025, were as follows:</w:t>
      </w:r>
    </w:p>
    <w:p>
      <w:pPr>
        <w:pStyle w:val="TextBody"/>
        <w:bidi w:val="0"/>
        <w:spacing w:before="0" w:after="0"/>
        <w:ind w:left="0" w:right="0" w:hanging="0"/>
        <w:jc w:val="left"/>
        <w:rPr/>
      </w:pPr>
      <w:r>
        <w:rPr/>
        <w:t>​</w:t>
      </w:r>
    </w:p>
    <w:tbl>
      <w:tblPr>
        <w:tblW w:w="4929" w:type="dxa"/>
        <w:jc w:val="left"/>
        <w:tblInd w:w="0" w:type="dxa"/>
        <w:tblLayout w:type="fixed"/>
        <w:tblCellMar>
          <w:top w:w="0" w:type="dxa"/>
          <w:left w:w="0" w:type="dxa"/>
          <w:bottom w:w="0" w:type="dxa"/>
          <w:right w:w="0" w:type="dxa"/>
        </w:tblCellMar>
      </w:tblPr>
      <w:tblGrid>
        <w:gridCol w:w="2161"/>
        <w:gridCol w:w="109"/>
        <w:gridCol w:w="292"/>
        <w:gridCol w:w="938"/>
        <w:gridCol w:w="109"/>
        <w:gridCol w:w="264"/>
        <w:gridCol w:w="1056"/>
      </w:tblGrid>
      <w:tr>
        <w:trPr/>
        <w:tc>
          <w:tcPr>
            <w:tcW w:w="21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1372235" cy="175260"/>
                      <wp:effectExtent l="0" t="0" r="0" b="0"/>
                      <wp:wrapNone/>
                      <wp:docPr id="141" name="Frame141"/>
                      <a:graphic xmlns:a="http://schemas.openxmlformats.org/drawingml/2006/main">
                        <a:graphicData uri="http://schemas.microsoft.com/office/word/2010/wordprocessingShape">
                          <wps:wsp>
                            <wps:cNvSpPr txBox="1"/>
                            <wps:spPr>
                              <a:xfrm>
                                <a:off x="0" y="0"/>
                                <a:ext cx="1372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9215" cy="175260"/>
                      <wp:effectExtent l="0" t="0" r="0" b="0"/>
                      <wp:wrapNone/>
                      <wp:docPr id="142" name="Frame14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185420" cy="175260"/>
                      <wp:effectExtent l="0" t="0" r="0" b="0"/>
                      <wp:wrapNone/>
                      <wp:docPr id="143" name="Frame143"/>
                      <a:graphic xmlns:a="http://schemas.openxmlformats.org/drawingml/2006/main">
                        <a:graphicData uri="http://schemas.microsoft.com/office/word/2010/wordprocessingShape">
                          <wps:wsp>
                            <wps:cNvSpPr txBox="1"/>
                            <wps:spPr>
                              <a:xfrm>
                                <a:off x="0" y="0"/>
                                <a:ext cx="1854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595630" cy="175260"/>
                      <wp:effectExtent l="0" t="0" r="0" b="0"/>
                      <wp:wrapNone/>
                      <wp:docPr id="144" name="Frame144"/>
                      <a:graphic xmlns:a="http://schemas.openxmlformats.org/drawingml/2006/main">
                        <a:graphicData uri="http://schemas.microsoft.com/office/word/2010/wordprocessingShape">
                          <wps:wsp>
                            <wps:cNvSpPr txBox="1"/>
                            <wps:spPr>
                              <a:xfrm>
                                <a:off x="0" y="0"/>
                                <a:ext cx="5956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9215" cy="175260"/>
                      <wp:effectExtent l="0" t="0" r="0" b="0"/>
                      <wp:wrapNone/>
                      <wp:docPr id="145" name="Frame14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167640" cy="175260"/>
                      <wp:effectExtent l="0" t="0" r="0" b="0"/>
                      <wp:wrapNone/>
                      <wp:docPr id="146" name="Frame146"/>
                      <a:graphic xmlns:a="http://schemas.openxmlformats.org/drawingml/2006/main">
                        <a:graphicData uri="http://schemas.microsoft.com/office/word/2010/wordprocessingShape">
                          <wps:wsp>
                            <wps:cNvSpPr txBox="1"/>
                            <wps:spPr>
                              <a:xfrm>
                                <a:off x="0" y="0"/>
                                <a:ext cx="1676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70560" cy="175260"/>
                      <wp:effectExtent l="0" t="0" r="0" b="0"/>
                      <wp:wrapNone/>
                      <wp:docPr id="147" name="Frame147"/>
                      <a:graphic xmlns:a="http://schemas.openxmlformats.org/drawingml/2006/main">
                        <a:graphicData uri="http://schemas.microsoft.com/office/word/2010/wordprocessingShape">
                          <wps:wsp>
                            <wps:cNvSpPr txBox="1"/>
                            <wps:spPr>
                              <a:xfrm>
                                <a:off x="0" y="0"/>
                                <a:ext cx="670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6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2659"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ecosio </w:t>
            </w:r>
          </w:p>
        </w:tc>
      </w:tr>
      <w:tr>
        <w:trPr/>
        <w:tc>
          <w:tcPr>
            <w:tcW w:w="216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265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Contingent Consideration</w:t>
            </w:r>
          </w:p>
        </w:tc>
      </w:tr>
      <w:tr>
        <w:trPr/>
        <w:tc>
          <w:tcPr>
            <w:tcW w:w="216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23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Cash Earn-outs</w:t>
            </w:r>
          </w:p>
        </w:tc>
        <w:tc>
          <w:tcPr>
            <w:tcW w:w="109" w:type="dxa"/>
            <w:tcBorders/>
            <w:vAlign w:val="center"/>
          </w:tcPr>
          <w:p>
            <w:pPr>
              <w:pStyle w:val="TableContents"/>
              <w:bidi w:val="0"/>
              <w:spacing w:before="0" w:after="1"/>
              <w:ind w:left="0" w:right="0" w:hanging="0"/>
              <w:jc w:val="left"/>
              <w:rPr/>
            </w:pPr>
            <w:r>
              <w:rPr/>
              <w:t>​</w:t>
            </w:r>
          </w:p>
        </w:tc>
        <w:tc>
          <w:tcPr>
            <w:tcW w:w="132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 Earn-outs</w:t>
            </w:r>
          </w:p>
        </w:tc>
      </w:tr>
      <w:tr>
        <w:trPr/>
        <w:tc>
          <w:tcPr>
            <w:tcW w:w="4929"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21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2659"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r>
      <w:tr>
        <w:trPr/>
        <w:tc>
          <w:tcPr>
            <w:tcW w:w="21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January 1, 2025</w:t>
            </w:r>
          </w:p>
        </w:tc>
        <w:tc>
          <w:tcPr>
            <w:tcW w:w="109" w:type="dxa"/>
            <w:tcBorders/>
            <w:shd w:fill="CCEEFF" w:val="clear"/>
            <w:vAlign w:val="center"/>
          </w:tcPr>
          <w:p>
            <w:pPr>
              <w:pStyle w:val="TableContents"/>
              <w:bidi w:val="0"/>
              <w:spacing w:before="0" w:after="1"/>
              <w:ind w:left="0" w:right="0" w:hanging="0"/>
              <w:jc w:val="left"/>
              <w:rPr/>
            </w:pPr>
            <w:r>
              <w:rPr/>
              <w:t>​</w:t>
            </w:r>
          </w:p>
        </w:tc>
        <w:tc>
          <w:tcPr>
            <w:tcW w:w="29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93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74,400</w:t>
            </w:r>
          </w:p>
        </w:tc>
        <w:tc>
          <w:tcPr>
            <w:tcW w:w="109" w:type="dxa"/>
            <w:tcBorders/>
            <w:shd w:fill="CCEEFF" w:val="clear"/>
            <w:vAlign w:val="center"/>
          </w:tcPr>
          <w:p>
            <w:pPr>
              <w:pStyle w:val="TableContents"/>
              <w:bidi w:val="0"/>
              <w:spacing w:before="0" w:after="1"/>
              <w:ind w:left="0" w:right="0" w:hanging="0"/>
              <w:jc w:val="right"/>
              <w:rPr/>
            </w:pPr>
            <w:r>
              <w:rPr/>
              <w:t>​</w:t>
            </w:r>
          </w:p>
        </w:tc>
        <w:tc>
          <w:tcPr>
            <w:tcW w:w="26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0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48,100</w:t>
            </w:r>
          </w:p>
        </w:tc>
      </w:tr>
      <w:tr>
        <w:trPr/>
        <w:tc>
          <w:tcPr>
            <w:tcW w:w="2161" w:type="dxa"/>
            <w:tcBorders/>
            <w:vAlign w:val="center"/>
          </w:tcPr>
          <w:p>
            <w:pPr>
              <w:pStyle w:val="TableContents"/>
              <w:bidi w:val="0"/>
              <w:spacing w:before="0" w:after="1"/>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adjustments</w:t>
            </w:r>
          </w:p>
        </w:tc>
        <w:tc>
          <w:tcPr>
            <w:tcW w:w="109" w:type="dxa"/>
            <w:tcBorders/>
            <w:vAlign w:val="center"/>
          </w:tcPr>
          <w:p>
            <w:pPr>
              <w:pStyle w:val="TableContents"/>
              <w:bidi w:val="0"/>
              <w:spacing w:before="0" w:after="1"/>
              <w:ind w:left="0" w:right="0" w:hanging="0"/>
              <w:jc w:val="left"/>
              <w:rPr/>
            </w:pPr>
            <w:r>
              <w:rPr/>
              <w:t>​</w:t>
            </w:r>
          </w:p>
        </w:tc>
        <w:tc>
          <w:tcPr>
            <w:tcW w:w="29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1,700</w:t>
            </w:r>
          </w:p>
        </w:tc>
        <w:tc>
          <w:tcPr>
            <w:tcW w:w="109" w:type="dxa"/>
            <w:tcBorders/>
            <w:vAlign w:val="center"/>
          </w:tcPr>
          <w:p>
            <w:pPr>
              <w:pStyle w:val="TableContents"/>
              <w:bidi w:val="0"/>
              <w:spacing w:before="0" w:after="1"/>
              <w:ind w:left="0" w:right="0" w:hanging="0"/>
              <w:jc w:val="right"/>
              <w:rPr/>
            </w:pPr>
            <w:r>
              <w:rPr/>
              <w:t>​</w:t>
            </w:r>
          </w:p>
        </w:tc>
        <w:tc>
          <w:tcPr>
            <w:tcW w:w="26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5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(16,400)</w:t>
            </w:r>
          </w:p>
        </w:tc>
      </w:tr>
      <w:tr>
        <w:trPr/>
        <w:tc>
          <w:tcPr>
            <w:tcW w:w="21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March 31, 2025</w:t>
            </w:r>
          </w:p>
        </w:tc>
        <w:tc>
          <w:tcPr>
            <w:tcW w:w="109" w:type="dxa"/>
            <w:tcBorders/>
            <w:shd w:fill="CCEEFF" w:val="clear"/>
            <w:vAlign w:val="center"/>
          </w:tcPr>
          <w:p>
            <w:pPr>
              <w:pStyle w:val="TableContents"/>
              <w:bidi w:val="0"/>
              <w:spacing w:before="0" w:after="1"/>
              <w:ind w:left="0" w:right="0" w:hanging="0"/>
              <w:jc w:val="left"/>
              <w:rPr/>
            </w:pPr>
            <w:r>
              <w:rPr/>
              <w:t>​</w:t>
            </w:r>
          </w:p>
        </w:tc>
        <w:tc>
          <w:tcPr>
            <w:tcW w:w="29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93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76,100</w:t>
            </w:r>
          </w:p>
        </w:tc>
        <w:tc>
          <w:tcPr>
            <w:tcW w:w="109" w:type="dxa"/>
            <w:tcBorders/>
            <w:shd w:fill="CCEEFF" w:val="clear"/>
            <w:vAlign w:val="center"/>
          </w:tcPr>
          <w:p>
            <w:pPr>
              <w:pStyle w:val="TableContents"/>
              <w:bidi w:val="0"/>
              <w:spacing w:before="0" w:after="1"/>
              <w:ind w:left="0" w:right="0" w:hanging="0"/>
              <w:jc w:val="right"/>
              <w:rPr/>
            </w:pPr>
            <w:r>
              <w:rPr/>
              <w:t>​</w:t>
            </w:r>
          </w:p>
        </w:tc>
        <w:tc>
          <w:tcPr>
            <w:tcW w:w="26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056"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31,700</w:t>
            </w:r>
          </w:p>
        </w:tc>
      </w:tr>
    </w:tbl>
    <w:p>
      <w:pPr>
        <w:pStyle w:val="TextBody"/>
        <w:bidi w:val="0"/>
        <w:spacing w:before="0" w:after="240"/>
        <w:ind w:left="0" w:right="0" w:firstLine="360"/>
        <w:jc w:val="both"/>
        <w:rPr/>
      </w:pPr>
      <w:r>
        <w:rPr/>
        <w:t>​</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646" w:type="dxa"/>
        <w:jc w:val="left"/>
        <w:tblInd w:w="0" w:type="dxa"/>
        <w:tblLayout w:type="fixed"/>
        <w:tblCellMar>
          <w:top w:w="0" w:type="dxa"/>
          <w:left w:w="0" w:type="dxa"/>
          <w:bottom w:w="0" w:type="dxa"/>
          <w:right w:w="0" w:type="dxa"/>
        </w:tblCellMar>
      </w:tblPr>
      <w:tblGrid>
        <w:gridCol w:w="6646"/>
      </w:tblGrid>
      <w:tr>
        <w:trPr/>
        <w:tc>
          <w:tcPr>
            <w:tcW w:w="6646" w:type="dxa"/>
            <w:tcBorders/>
            <w:vAlign w:val="center"/>
          </w:tcPr>
          <w:p>
            <w:pPr>
              <w:pStyle w:val="TableContents"/>
              <w:bidi w:val="0"/>
              <w:spacing w:before="0" w:after="283"/>
              <w:ind w:left="0" w:right="0" w:hanging="0"/>
              <w:jc w:val="left"/>
              <w:rPr>
                <w:sz w:val="4"/>
                <w:szCs w:val="4"/>
              </w:rPr>
            </w:pPr>
            <w:r>
              <w:rPr>
                <w:sz w:val="4"/>
                <w:szCs w:val="4"/>
              </w:rPr>
            </w:r>
          </w:p>
        </w:tc>
      </w:tr>
      <w:tr>
        <w:trPr/>
        <w:tc>
          <w:tcPr>
            <w:tcW w:w="66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Vertex, Inc. and Subsidiaries</w:t>
            </w:r>
          </w:p>
        </w:tc>
      </w:tr>
      <w:tr>
        <w:trPr/>
        <w:tc>
          <w:tcPr>
            <w:tcW w:w="66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Condensed Consolidated Financial Statements (unaudited) continued</w:t>
            </w:r>
          </w:p>
        </w:tc>
      </w:tr>
      <w:tr>
        <w:trPr/>
        <w:tc>
          <w:tcPr>
            <w:tcW w:w="66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(Amounts in thousands, except per share data) </w:t>
            </w:r>
          </w:p>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b/>
          <w:sz w:val="20"/>
        </w:rPr>
      </w:pPr>
      <w:r>
        <w:rPr>
          <w:rFonts w:ascii="Times New Roman;Times;serif" w:hAnsi="Times New Roman;Times;serif"/>
          <w:b/>
          <w:sz w:val="20"/>
        </w:rPr>
        <w:t>Assets and Liabilities for Which Fair Value is Only Disclosed</w:t>
      </w:r>
    </w:p>
    <w:p>
      <w:pPr>
        <w:pStyle w:val="TextBody"/>
        <w:bidi w:val="0"/>
        <w:spacing w:before="0" w:after="0"/>
        <w:ind w:left="0" w:right="0" w:hanging="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carrying amounts of cash and cash equivalents and the carrying amount of funds held for customers were the same as their respective fair values and are considered Level 1 measurements.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carrying amount of our bank debt approximates fair value as the variable rates on the debt approximate those commercially available in the market and is considered a Level 3 measurement.</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 xml:space="preserve">Non-recurring Fair Value Measurements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ecosio acquisition on August 30, 2024 and the Tellutax acquisition on January 25, 2021 were accounted for as business combinations, and the total purchase price for each acquisition was allocated to the net assets acquired and liabilities assumed based on their estimated fair values. </w:t>
      </w:r>
    </w:p>
    <w:p>
      <w:pPr>
        <w:pStyle w:val="TextBody"/>
        <w:bidi w:val="0"/>
        <w:spacing w:before="0" w:after="0"/>
        <w:ind w:left="0" w:right="0" w:firstLine="360"/>
        <w:jc w:val="both"/>
        <w:rPr>
          <w:rFonts w:ascii="Times New Roman;Times;serif" w:hAnsi="Times New Roman;Times;serif"/>
          <w:b/>
          <w:sz w:val="20"/>
        </w:rPr>
      </w:pPr>
      <w:r>
        <w:rPr>
          <w:rFonts w:ascii="Times New Roman;Times;serif" w:hAnsi="Times New Roman;Times;serif"/>
          <w:b/>
          <w:sz w:val="20"/>
        </w:rPr>
        <w:t xml:space="preserve">Derivative Instruments </w:t>
      </w:r>
    </w:p>
    <w:p>
      <w:pPr>
        <w:pStyle w:val="TextBody"/>
        <w:bidi w:val="0"/>
        <w:spacing w:lineRule="atLeast" w:line="229" w:before="0" w:after="0"/>
        <w:ind w:left="0" w:right="0" w:hanging="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may periodically enter into derivative contracts to reduce our exposure to foreign currency exchange rates. Historically, the Company has not designated derivative contracts as hedges. Such derivative contracts are typically designed to manage specific risks according to our strategies, which may change from time to time.</w:t>
      </w:r>
    </w:p>
    <w:p>
      <w:pPr>
        <w:pStyle w:val="TextBody"/>
        <w:bidi w:val="0"/>
        <w:spacing w:before="0" w:after="0"/>
        <w:ind w:left="0" w:right="0" w:firstLine="360"/>
        <w:jc w:val="both"/>
        <w:rPr>
          <w:rFonts w:ascii="Times New Roman;Times;serif" w:hAnsi="Times New Roman;Times;serif"/>
          <w:b/>
          <w:sz w:val="20"/>
        </w:rPr>
      </w:pPr>
      <w:r>
        <w:rPr>
          <w:rFonts w:ascii="Times New Roman;Times;serif" w:hAnsi="Times New Roman;Times;serif"/>
          <w:b/>
          <w:sz w:val="20"/>
        </w:rPr>
        <w:t>Convertible Senior Notes</w:t>
      </w:r>
    </w:p>
    <w:p>
      <w:pPr>
        <w:pStyle w:val="TextBody"/>
        <w:bidi w:val="0"/>
        <w:spacing w:before="0" w:after="24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As of March 31, 2025 and December 31, 2024, the Notes (as defined in Note 7, “Debt”) was $407,838 and $539,494, respectively. The fair value was determined based on the quoted price of the Notes in an over-the-counter market on the last trading day of the reporting period and has been classified as Level 2 in the fair value hierarchy. For further information on the Notes, refer to Note 7, “Debt”.</w:t>
      </w:r>
    </w:p>
    <w:p>
      <w:pPr>
        <w:pStyle w:val="TextBody"/>
        <w:bidi w:val="0"/>
        <w:spacing w:before="0" w:after="0"/>
        <w:ind w:left="0" w:right="0" w:firstLine="360"/>
        <w:jc w:val="left"/>
        <w:rPr>
          <w:color w:val="7030A0"/>
        </w:rPr>
      </w:pPr>
      <w:r>
        <w:rPr>
          <w:color w:val="7030A0"/>
        </w:rPr>
        <w:t>​</w:t>
      </w:r>
    </w:p>
    <w:p>
      <w:pPr>
        <w:pStyle w:val="TextBody"/>
        <w:bidi w:val="0"/>
        <w:spacing w:before="0" w:after="24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646" w:type="dxa"/>
        <w:jc w:val="left"/>
        <w:tblInd w:w="0" w:type="dxa"/>
        <w:tblLayout w:type="fixed"/>
        <w:tblCellMar>
          <w:top w:w="0" w:type="dxa"/>
          <w:left w:w="0" w:type="dxa"/>
          <w:bottom w:w="0" w:type="dxa"/>
          <w:right w:w="0" w:type="dxa"/>
        </w:tblCellMar>
      </w:tblPr>
      <w:tblGrid>
        <w:gridCol w:w="6646"/>
      </w:tblGrid>
      <w:tr>
        <w:trPr/>
        <w:tc>
          <w:tcPr>
            <w:tcW w:w="6646" w:type="dxa"/>
            <w:tcBorders/>
            <w:vAlign w:val="center"/>
          </w:tcPr>
          <w:p>
            <w:pPr>
              <w:pStyle w:val="TableContents"/>
              <w:bidi w:val="0"/>
              <w:spacing w:before="0" w:after="283"/>
              <w:ind w:left="0" w:right="0" w:hanging="0"/>
              <w:jc w:val="left"/>
              <w:rPr>
                <w:sz w:val="4"/>
                <w:szCs w:val="4"/>
              </w:rPr>
            </w:pPr>
            <w:r>
              <w:rPr>
                <w:sz w:val="4"/>
                <w:szCs w:val="4"/>
              </w:rPr>
            </w:r>
          </w:p>
        </w:tc>
      </w:tr>
      <w:tr>
        <w:trPr/>
        <w:tc>
          <w:tcPr>
            <w:tcW w:w="66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Vertex, Inc. and Subsidiaries</w:t>
            </w:r>
          </w:p>
        </w:tc>
      </w:tr>
      <w:tr>
        <w:trPr/>
        <w:tc>
          <w:tcPr>
            <w:tcW w:w="66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Condensed Consolidated Financial Statements (unaudited) continued</w:t>
            </w:r>
          </w:p>
        </w:tc>
      </w:tr>
      <w:tr>
        <w:trPr/>
        <w:tc>
          <w:tcPr>
            <w:tcW w:w="66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(Amounts in thousands, except per share data) </w:t>
            </w:r>
          </w:p>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sz w:val="20"/>
        </w:rPr>
      </w:pPr>
      <w:bookmarkStart w:id="1026" w:name="Tc_av6PwhhN1UOYT4pgEZyPGA_8_5"/>
      <w:bookmarkStart w:id="1027" w:name="Tc_M669m4tPVUW99lVc95l-FQ_8_2"/>
      <w:bookmarkStart w:id="1028" w:name="Tc_rI2qtvPJk0SoljCvoDb1DA_8_0"/>
      <w:bookmarkStart w:id="1029" w:name="Tc_jAmB3-AP4U6dsLDUZY6Xgw_7_0"/>
      <w:bookmarkStart w:id="1030" w:name="Tc_3Na2RFdez06O7AhdUsuswg_6_0"/>
      <w:bookmarkStart w:id="1031" w:name="Tc_n9arG4h7tE2UHYn--rGtaA_5_0"/>
      <w:bookmarkStart w:id="1032" w:name="Tc_eWrzRGbSGEKS1uYzWxFlfg_4_5"/>
      <w:bookmarkStart w:id="1033" w:name="Tc_7y8IpX9j9EqeYzhHEV2gwg_4_2"/>
      <w:bookmarkStart w:id="1034" w:name="Tc_6oNuF-i5H0iaFmO3Oi0ldg_4_0"/>
      <w:bookmarkStart w:id="1035" w:name="Tc_GX-3aVDMpk62b0fQp7S5jw_3_2"/>
      <w:bookmarkStart w:id="1036" w:name="Tc_SaX9lGSJWkCYFUNiuG_Phw_2_5"/>
      <w:bookmarkStart w:id="1037" w:name="Tc_HFmENCWjiEyPHxNSk_jxdg_2_2"/>
      <w:bookmarkStart w:id="1038" w:name="Tc_gVSPflY3UEerer1Nq4uaKg_1_5"/>
      <w:bookmarkStart w:id="1039" w:name="Tc_l77rLDYYDku8uAwD_BOYDQ_1_2"/>
      <w:bookmarkStart w:id="1040" w:name="_4b1e73d2_51af_4a01_aa1f_6603e284e9cf_3"/>
      <w:bookmarkStart w:id="1041" w:name="_4b1e73d2_51af_4a01_aa1f_6603e284e9cf_2"/>
      <w:bookmarkStart w:id="1042" w:name="_4b1e73d2_51af_4a01_aa1f_6603e284e9cf"/>
      <w:bookmarkStart w:id="1043" w:name="Tc_N8jTSbbLlEmu4AwL3p8YPg_14_5"/>
      <w:bookmarkStart w:id="1044" w:name="Tc_v32Fvo54Dk-Vp6D85kM1Uw_14_2"/>
      <w:bookmarkStart w:id="1045" w:name="Tc_V2n1z-OK3EGbKgsFk6gfdg_14_0"/>
      <w:bookmarkStart w:id="1046" w:name="Tc_qVHIAVQaw0-l-rHVcIBx6g_13_0"/>
      <w:bookmarkStart w:id="1047" w:name="Tc_dQsfXuen0USOzRcEDfHTiQ_12_0"/>
      <w:bookmarkStart w:id="1048" w:name="Tc_B-RbagvrsE6NN9r-71skVQ_11_0"/>
      <w:bookmarkStart w:id="1049" w:name="Tc_lOAvIjcgA0CKmUo-O7EhEQ_10_0"/>
      <w:bookmarkStart w:id="1050" w:name="Tc_Qkn5isEpFEKu_bay8XtOYg_9_0"/>
      <w:bookmarkStart w:id="1051" w:name="Tc_rzKkWdzTK0-FLsGtNNqfyg_8_0"/>
      <w:bookmarkStart w:id="1052" w:name="Tc_fpA1H3N3CkGQVsq1Hqgx8w_7_0"/>
      <w:bookmarkStart w:id="1053" w:name="Tc_GfyP0Igct0mQiNhMWtPLMg_6_0"/>
      <w:bookmarkStart w:id="1054" w:name="Tc_mGECc4tjIE-MmJrKS8yoNw_5_0"/>
      <w:bookmarkStart w:id="1055" w:name="Tc_afv3x0PcgkSnZrYwPr_6SQ_4_5"/>
      <w:bookmarkStart w:id="1056" w:name="Tc_hlVjWOEVwUmYajEFAJnexQ_4_2"/>
      <w:bookmarkStart w:id="1057" w:name="Tc_7ABwJMxytE-c1A6wxhYPcA_4_0"/>
      <w:bookmarkStart w:id="1058" w:name="Tc_39GoYAkHQESo1wf1BUy2gw_3_2"/>
      <w:bookmarkStart w:id="1059" w:name="Tc_qn7MJWac2Euwq4dsC6TZHg_2_5"/>
      <w:bookmarkStart w:id="1060" w:name="Tc_p9jWS3q6mEK6EPNCZfB5wg_2_2"/>
      <w:bookmarkStart w:id="1061" w:name="Tc_SIOTdLkuT06dgVsFcCF53w_1_5"/>
      <w:bookmarkStart w:id="1062" w:name="Tc_Zl5Z5FrII0qtboaEBgWwlQ_1_2"/>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r>
        <w:rPr>
          <w:rFonts w:ascii="Times New Roman;Times;serif" w:hAnsi="Times New Roman;Times;serif"/>
          <w:b/>
          <w:sz w:val="20"/>
        </w:rPr>
        <w:t>4.      PROPERTY AND EQUIPMENT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major components of property and equipment are as follows:</w:t>
      </w:r>
    </w:p>
    <w:p>
      <w:pPr>
        <w:pStyle w:val="TextBody"/>
        <w:bidi w:val="0"/>
        <w:spacing w:before="0" w:after="0"/>
        <w:ind w:left="0" w:right="0" w:hanging="0"/>
        <w:jc w:val="both"/>
        <w:rPr/>
      </w:pPr>
      <w:r>
        <w:rPr/>
        <w:t>​</w:t>
      </w:r>
    </w:p>
    <w:tbl>
      <w:tblPr>
        <w:tblW w:w="7583" w:type="dxa"/>
        <w:jc w:val="left"/>
        <w:tblInd w:w="0" w:type="dxa"/>
        <w:tblLayout w:type="fixed"/>
        <w:tblCellMar>
          <w:top w:w="0" w:type="dxa"/>
          <w:left w:w="0" w:type="dxa"/>
          <w:bottom w:w="0" w:type="dxa"/>
          <w:right w:w="0" w:type="dxa"/>
        </w:tblCellMar>
      </w:tblPr>
      <w:tblGrid>
        <w:gridCol w:w="4096"/>
        <w:gridCol w:w="326"/>
        <w:gridCol w:w="242"/>
        <w:gridCol w:w="1033"/>
        <w:gridCol w:w="326"/>
        <w:gridCol w:w="284"/>
        <w:gridCol w:w="1276"/>
      </w:tblGrid>
      <w:tr>
        <w:trPr/>
        <w:tc>
          <w:tcPr>
            <w:tcW w:w="4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2600960" cy="175260"/>
                      <wp:effectExtent l="0" t="0" r="0" b="0"/>
                      <wp:wrapNone/>
                      <wp:docPr id="148" name="Frame148"/>
                      <a:graphic xmlns:a="http://schemas.openxmlformats.org/drawingml/2006/main">
                        <a:graphicData uri="http://schemas.microsoft.com/office/word/2010/wordprocessingShape">
                          <wps:wsp>
                            <wps:cNvSpPr txBox="1"/>
                            <wps:spPr>
                              <a:xfrm>
                                <a:off x="0" y="0"/>
                                <a:ext cx="2600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07010" cy="175260"/>
                      <wp:effectExtent l="0" t="0" r="0" b="0"/>
                      <wp:wrapNone/>
                      <wp:docPr id="149" name="Frame1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153670" cy="175260"/>
                      <wp:effectExtent l="0" t="0" r="0" b="0"/>
                      <wp:wrapNone/>
                      <wp:docPr id="150" name="Frame150"/>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55955" cy="175260"/>
                      <wp:effectExtent l="0" t="0" r="0" b="0"/>
                      <wp:wrapNone/>
                      <wp:docPr id="151" name="Frame151"/>
                      <a:graphic xmlns:a="http://schemas.openxmlformats.org/drawingml/2006/main">
                        <a:graphicData uri="http://schemas.microsoft.com/office/word/2010/wordprocessingShape">
                          <wps:wsp>
                            <wps:cNvSpPr txBox="1"/>
                            <wps:spPr>
                              <a:xfrm>
                                <a:off x="0" y="0"/>
                                <a:ext cx="6559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07010" cy="175260"/>
                      <wp:effectExtent l="0" t="0" r="0" b="0"/>
                      <wp:wrapNone/>
                      <wp:docPr id="152" name="Frame1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180340" cy="175260"/>
                      <wp:effectExtent l="0" t="0" r="0" b="0"/>
                      <wp:wrapNone/>
                      <wp:docPr id="153" name="Frame153"/>
                      <a:graphic xmlns:a="http://schemas.openxmlformats.org/drawingml/2006/main">
                        <a:graphicData uri="http://schemas.microsoft.com/office/word/2010/wordprocessingShape">
                          <wps:wsp>
                            <wps:cNvSpPr txBox="1"/>
                            <wps:spPr>
                              <a:xfrm>
                                <a:off x="0" y="0"/>
                                <a:ext cx="1803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810260" cy="175260"/>
                      <wp:effectExtent l="0" t="0" r="0" b="0"/>
                      <wp:wrapNone/>
                      <wp:docPr id="154" name="Frame154"/>
                      <a:graphic xmlns:a="http://schemas.openxmlformats.org/drawingml/2006/main">
                        <a:graphicData uri="http://schemas.microsoft.com/office/word/2010/wordprocessingShape">
                          <wps:wsp>
                            <wps:cNvSpPr txBox="1"/>
                            <wps:spPr>
                              <a:xfrm>
                                <a:off x="0" y="0"/>
                                <a:ext cx="810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0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27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March 31,</w:t>
            </w:r>
          </w:p>
        </w:tc>
        <w:tc>
          <w:tcPr>
            <w:tcW w:w="326" w:type="dxa"/>
            <w:tcBorders/>
            <w:vAlign w:val="center"/>
          </w:tcPr>
          <w:p>
            <w:pPr>
              <w:pStyle w:val="TableContents"/>
              <w:bidi w:val="0"/>
              <w:spacing w:before="0" w:after="1"/>
              <w:ind w:left="0" w:right="0" w:hanging="0"/>
              <w:jc w:val="center"/>
              <w:rPr/>
            </w:pPr>
            <w:r>
              <w:rPr/>
              <w:t>​</w:t>
            </w:r>
          </w:p>
        </w:tc>
        <w:tc>
          <w:tcPr>
            <w:tcW w:w="156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40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27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1"/>
              <w:ind w:left="0" w:right="0" w:hanging="0"/>
              <w:jc w:val="center"/>
              <w:rPr/>
            </w:pPr>
            <w:r>
              <w:rPr/>
              <w:t>​</w:t>
            </w:r>
          </w:p>
        </w:tc>
        <w:tc>
          <w:tcPr>
            <w:tcW w:w="156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0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27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26" w:type="dxa"/>
            <w:tcBorders/>
            <w:vAlign w:val="center"/>
          </w:tcPr>
          <w:p>
            <w:pPr>
              <w:pStyle w:val="TableContents"/>
              <w:bidi w:val="0"/>
              <w:spacing w:before="0" w:after="1"/>
              <w:ind w:left="0" w:right="0" w:hanging="0"/>
              <w:jc w:val="center"/>
              <w:rPr/>
            </w:pPr>
            <w:r>
              <w:rPr/>
              <w:t>    </w:t>
            </w:r>
          </w:p>
        </w:tc>
        <w:tc>
          <w:tcPr>
            <w:tcW w:w="1560" w:type="dxa"/>
            <w:gridSpan w:val="2"/>
            <w:tcBorders/>
            <w:vAlign w:val="center"/>
          </w:tcPr>
          <w:p>
            <w:pPr>
              <w:pStyle w:val="TableContents"/>
              <w:bidi w:val="0"/>
              <w:spacing w:before="0" w:after="1"/>
              <w:ind w:left="0" w:right="0" w:hanging="0"/>
              <w:jc w:val="center"/>
              <w:rPr/>
            </w:pPr>
            <w:r>
              <w:rPr/>
              <w:t>​</w:t>
            </w:r>
          </w:p>
        </w:tc>
      </w:tr>
      <w:tr>
        <w:trPr/>
        <w:tc>
          <w:tcPr>
            <w:tcW w:w="409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Leasehold improvements</w:t>
            </w:r>
          </w:p>
        </w:tc>
        <w:tc>
          <w:tcPr>
            <w:tcW w:w="326"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20,107</w:t>
            </w:r>
          </w:p>
        </w:tc>
        <w:tc>
          <w:tcPr>
            <w:tcW w:w="326" w:type="dxa"/>
            <w:tcBorders/>
            <w:shd w:fill="CCEEFF" w:val="clear"/>
            <w:vAlign w:val="center"/>
          </w:tcPr>
          <w:p>
            <w:pPr>
              <w:pStyle w:val="TableContents"/>
              <w:bidi w:val="0"/>
              <w:spacing w:before="0" w:after="1"/>
              <w:ind w:left="0" w:right="0" w:hanging="0"/>
              <w:jc w:val="left"/>
              <w:rPr/>
            </w:pPr>
            <w:r>
              <w:rPr/>
              <w:t>​</w:t>
            </w:r>
          </w:p>
        </w:tc>
        <w:tc>
          <w:tcPr>
            <w:tcW w:w="28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20,096</w:t>
            </w:r>
          </w:p>
        </w:tc>
      </w:tr>
      <w:tr>
        <w:trPr/>
        <w:tc>
          <w:tcPr>
            <w:tcW w:w="409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Equipment</w:t>
            </w:r>
          </w:p>
        </w:tc>
        <w:tc>
          <w:tcPr>
            <w:tcW w:w="326"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pPr>
            <w:r>
              <w:rPr/>
              <w:t> </w:t>
            </w:r>
          </w:p>
        </w:tc>
        <w:tc>
          <w:tcPr>
            <w:tcW w:w="103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15,943</w:t>
            </w:r>
          </w:p>
        </w:tc>
        <w:tc>
          <w:tcPr>
            <w:tcW w:w="326" w:type="dxa"/>
            <w:tcBorders/>
            <w:vAlign w:val="center"/>
          </w:tcPr>
          <w:p>
            <w:pPr>
              <w:pStyle w:val="TableContents"/>
              <w:bidi w:val="0"/>
              <w:spacing w:before="0" w:after="1"/>
              <w:ind w:left="0" w:right="0" w:hanging="0"/>
              <w:jc w:val="left"/>
              <w:rPr/>
            </w:pPr>
            <w:r>
              <w:rPr/>
              <w:t>​</w:t>
            </w:r>
          </w:p>
        </w:tc>
        <w:tc>
          <w:tcPr>
            <w:tcW w:w="284" w:type="dxa"/>
            <w:tcBorders/>
            <w:vAlign w:val="center"/>
          </w:tcPr>
          <w:p>
            <w:pPr>
              <w:pStyle w:val="TableContents"/>
              <w:bidi w:val="0"/>
              <w:spacing w:before="0" w:after="1"/>
              <w:ind w:left="0" w:right="0" w:hanging="0"/>
              <w:jc w:val="left"/>
              <w:rPr/>
            </w:pPr>
            <w:r>
              <w:rPr/>
              <w:t> </w:t>
            </w:r>
          </w:p>
        </w:tc>
        <w:tc>
          <w:tcPr>
            <w:tcW w:w="12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14,386</w:t>
            </w:r>
          </w:p>
        </w:tc>
      </w:tr>
      <w:tr>
        <w:trPr/>
        <w:tc>
          <w:tcPr>
            <w:tcW w:w="409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Computer software purchased</w:t>
            </w:r>
          </w:p>
        </w:tc>
        <w:tc>
          <w:tcPr>
            <w:tcW w:w="326"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pPr>
            <w:r>
              <w:rPr/>
              <w:t> </w:t>
            </w:r>
          </w:p>
        </w:tc>
        <w:tc>
          <w:tcPr>
            <w:tcW w:w="103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1,356</w:t>
            </w:r>
          </w:p>
        </w:tc>
        <w:tc>
          <w:tcPr>
            <w:tcW w:w="326" w:type="dxa"/>
            <w:tcBorders/>
            <w:shd w:fill="CCEEFF" w:val="clear"/>
            <w:vAlign w:val="center"/>
          </w:tcPr>
          <w:p>
            <w:pPr>
              <w:pStyle w:val="TableContents"/>
              <w:bidi w:val="0"/>
              <w:spacing w:before="0" w:after="1"/>
              <w:ind w:left="0" w:right="0" w:hanging="0"/>
              <w:jc w:val="left"/>
              <w:rPr/>
            </w:pPr>
            <w:r>
              <w:rPr/>
              <w:t>​</w:t>
            </w:r>
          </w:p>
        </w:tc>
        <w:tc>
          <w:tcPr>
            <w:tcW w:w="284" w:type="dxa"/>
            <w:tcBorders/>
            <w:shd w:fill="CCEEFF" w:val="clear"/>
            <w:vAlign w:val="center"/>
          </w:tcPr>
          <w:p>
            <w:pPr>
              <w:pStyle w:val="TableContents"/>
              <w:bidi w:val="0"/>
              <w:spacing w:before="0" w:after="1"/>
              <w:ind w:left="0" w:right="0" w:hanging="0"/>
              <w:jc w:val="left"/>
              <w:rPr/>
            </w:pPr>
            <w:r>
              <w:rPr/>
              <w:t> </w:t>
            </w:r>
          </w:p>
        </w:tc>
        <w:tc>
          <w:tcPr>
            <w:tcW w:w="12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1,344</w:t>
            </w:r>
          </w:p>
        </w:tc>
      </w:tr>
      <w:tr>
        <w:trPr/>
        <w:tc>
          <w:tcPr>
            <w:tcW w:w="409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Internal-use software developed:</w:t>
            </w:r>
          </w:p>
        </w:tc>
        <w:tc>
          <w:tcPr>
            <w:tcW w:w="326"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pPr>
            <w:r>
              <w:rPr/>
              <w:t> </w:t>
            </w:r>
          </w:p>
        </w:tc>
        <w:tc>
          <w:tcPr>
            <w:tcW w:w="103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84" w:type="dxa"/>
            <w:tcBorders/>
            <w:vAlign w:val="center"/>
          </w:tcPr>
          <w:p>
            <w:pPr>
              <w:pStyle w:val="TableContents"/>
              <w:bidi w:val="0"/>
              <w:spacing w:before="0" w:after="1"/>
              <w:ind w:left="0" w:right="0" w:hanging="0"/>
              <w:jc w:val="left"/>
              <w:rPr/>
            </w:pPr>
            <w:r>
              <w:rPr/>
              <w:t> </w:t>
            </w:r>
          </w:p>
        </w:tc>
        <w:tc>
          <w:tcPr>
            <w:tcW w:w="1276" w:type="dxa"/>
            <w:tcBorders/>
            <w:vAlign w:val="center"/>
          </w:tcPr>
          <w:p>
            <w:pPr>
              <w:pStyle w:val="TableContents"/>
              <w:bidi w:val="0"/>
              <w:spacing w:before="0" w:after="1"/>
              <w:ind w:left="0" w:right="0" w:hanging="0"/>
              <w:jc w:val="right"/>
              <w:rPr/>
            </w:pPr>
            <w:r>
              <w:rPr/>
              <w:t>​</w:t>
            </w:r>
          </w:p>
        </w:tc>
      </w:tr>
      <w:tr>
        <w:trPr/>
        <w:tc>
          <w:tcPr>
            <w:tcW w:w="409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Cloud-based customer solutions </w:t>
            </w:r>
          </w:p>
        </w:tc>
        <w:tc>
          <w:tcPr>
            <w:tcW w:w="326"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pPr>
            <w:r>
              <w:rPr/>
              <w:t> </w:t>
            </w:r>
          </w:p>
        </w:tc>
        <w:tc>
          <w:tcPr>
            <w:tcW w:w="103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260,506</w:t>
            </w:r>
          </w:p>
        </w:tc>
        <w:tc>
          <w:tcPr>
            <w:tcW w:w="326" w:type="dxa"/>
            <w:tcBorders/>
            <w:shd w:fill="CCEEFF" w:val="clear"/>
            <w:vAlign w:val="center"/>
          </w:tcPr>
          <w:p>
            <w:pPr>
              <w:pStyle w:val="TableContents"/>
              <w:bidi w:val="0"/>
              <w:spacing w:before="0" w:after="1"/>
              <w:ind w:left="0" w:right="0" w:hanging="0"/>
              <w:jc w:val="left"/>
              <w:rPr/>
            </w:pPr>
            <w:r>
              <w:rPr/>
              <w:t>​</w:t>
            </w:r>
          </w:p>
        </w:tc>
        <w:tc>
          <w:tcPr>
            <w:tcW w:w="284" w:type="dxa"/>
            <w:tcBorders/>
            <w:shd w:fill="CCEEFF" w:val="clear"/>
            <w:vAlign w:val="center"/>
          </w:tcPr>
          <w:p>
            <w:pPr>
              <w:pStyle w:val="TableContents"/>
              <w:bidi w:val="0"/>
              <w:spacing w:before="0" w:after="1"/>
              <w:ind w:left="0" w:right="0" w:hanging="0"/>
              <w:jc w:val="left"/>
              <w:rPr/>
            </w:pPr>
            <w:r>
              <w:rPr/>
              <w:t> </w:t>
            </w:r>
          </w:p>
        </w:tc>
        <w:tc>
          <w:tcPr>
            <w:tcW w:w="12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237,232</w:t>
            </w:r>
          </w:p>
        </w:tc>
      </w:tr>
      <w:tr>
        <w:trPr/>
        <w:tc>
          <w:tcPr>
            <w:tcW w:w="40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Internal systems and tools </w:t>
            </w:r>
          </w:p>
        </w:tc>
        <w:tc>
          <w:tcPr>
            <w:tcW w:w="326"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pPr>
            <w:r>
              <w:rPr/>
              <w:t> </w:t>
            </w:r>
          </w:p>
        </w:tc>
        <w:tc>
          <w:tcPr>
            <w:tcW w:w="103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75,946</w:t>
            </w:r>
          </w:p>
        </w:tc>
        <w:tc>
          <w:tcPr>
            <w:tcW w:w="326" w:type="dxa"/>
            <w:tcBorders/>
            <w:vAlign w:val="center"/>
          </w:tcPr>
          <w:p>
            <w:pPr>
              <w:pStyle w:val="TableContents"/>
              <w:bidi w:val="0"/>
              <w:spacing w:before="0" w:after="1"/>
              <w:ind w:left="0" w:right="0" w:hanging="0"/>
              <w:jc w:val="left"/>
              <w:rPr/>
            </w:pPr>
            <w:r>
              <w:rPr/>
              <w:t>​</w:t>
            </w:r>
          </w:p>
        </w:tc>
        <w:tc>
          <w:tcPr>
            <w:tcW w:w="284" w:type="dxa"/>
            <w:tcBorders/>
            <w:vAlign w:val="center"/>
          </w:tcPr>
          <w:p>
            <w:pPr>
              <w:pStyle w:val="TableContents"/>
              <w:bidi w:val="0"/>
              <w:spacing w:before="0" w:after="1"/>
              <w:ind w:left="0" w:right="0" w:hanging="0"/>
              <w:jc w:val="left"/>
              <w:rPr/>
            </w:pPr>
            <w:r>
              <w:rPr/>
              <w:t> </w:t>
            </w:r>
          </w:p>
        </w:tc>
        <w:tc>
          <w:tcPr>
            <w:tcW w:w="12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72,406</w:t>
            </w:r>
          </w:p>
        </w:tc>
      </w:tr>
      <w:tr>
        <w:trPr/>
        <w:tc>
          <w:tcPr>
            <w:tcW w:w="409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Furniture and fixtures</w:t>
            </w:r>
          </w:p>
        </w:tc>
        <w:tc>
          <w:tcPr>
            <w:tcW w:w="326"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pPr>
            <w:r>
              <w:rPr/>
              <w:t> </w:t>
            </w:r>
          </w:p>
        </w:tc>
        <w:tc>
          <w:tcPr>
            <w:tcW w:w="103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7,303</w:t>
            </w:r>
          </w:p>
        </w:tc>
        <w:tc>
          <w:tcPr>
            <w:tcW w:w="326" w:type="dxa"/>
            <w:tcBorders/>
            <w:shd w:fill="CCEEFF" w:val="clear"/>
            <w:vAlign w:val="center"/>
          </w:tcPr>
          <w:p>
            <w:pPr>
              <w:pStyle w:val="TableContents"/>
              <w:bidi w:val="0"/>
              <w:spacing w:before="0" w:after="1"/>
              <w:ind w:left="0" w:right="0" w:hanging="0"/>
              <w:jc w:val="left"/>
              <w:rPr/>
            </w:pPr>
            <w:r>
              <w:rPr/>
              <w:t>​</w:t>
            </w:r>
          </w:p>
        </w:tc>
        <w:tc>
          <w:tcPr>
            <w:tcW w:w="284" w:type="dxa"/>
            <w:tcBorders/>
            <w:shd w:fill="CCEEFF" w:val="clear"/>
            <w:vAlign w:val="center"/>
          </w:tcPr>
          <w:p>
            <w:pPr>
              <w:pStyle w:val="TableContents"/>
              <w:bidi w:val="0"/>
              <w:spacing w:before="0" w:after="1"/>
              <w:ind w:left="0" w:right="0" w:hanging="0"/>
              <w:jc w:val="left"/>
              <w:rPr/>
            </w:pPr>
            <w:r>
              <w:rPr/>
              <w:t> </w:t>
            </w:r>
          </w:p>
        </w:tc>
        <w:tc>
          <w:tcPr>
            <w:tcW w:w="12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7,292</w:t>
            </w:r>
          </w:p>
        </w:tc>
      </w:tr>
      <w:tr>
        <w:trPr/>
        <w:tc>
          <w:tcPr>
            <w:tcW w:w="409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In-process internal-use software</w:t>
            </w:r>
          </w:p>
        </w:tc>
        <w:tc>
          <w:tcPr>
            <w:tcW w:w="326" w:type="dxa"/>
            <w:tcBorders/>
            <w:vAlign w:val="center"/>
          </w:tcPr>
          <w:p>
            <w:pPr>
              <w:pStyle w:val="TableContents"/>
              <w:bidi w:val="0"/>
              <w:spacing w:before="0" w:after="1"/>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26,191</w:t>
            </w:r>
          </w:p>
        </w:tc>
        <w:tc>
          <w:tcPr>
            <w:tcW w:w="326" w:type="dxa"/>
            <w:tcBorders/>
            <w:vAlign w:val="center"/>
          </w:tcPr>
          <w:p>
            <w:pPr>
              <w:pStyle w:val="TableContents"/>
              <w:bidi w:val="0"/>
              <w:spacing w:before="0" w:after="1"/>
              <w:ind w:left="0" w:right="0" w:hanging="0"/>
              <w:jc w:val="left"/>
              <w:rPr/>
            </w:pPr>
            <w:r>
              <w:rPr/>
              <w:t>​</w:t>
            </w:r>
          </w:p>
        </w:tc>
        <w:tc>
          <w:tcPr>
            <w:tcW w:w="28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28,916</w:t>
            </w:r>
          </w:p>
        </w:tc>
      </w:tr>
      <w:tr>
        <w:trPr/>
        <w:tc>
          <w:tcPr>
            <w:tcW w:w="40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Property and equipment</w:t>
            </w:r>
          </w:p>
        </w:tc>
        <w:tc>
          <w:tcPr>
            <w:tcW w:w="326"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pPr>
            <w:r>
              <w:rPr/>
              <w:t> </w:t>
            </w:r>
          </w:p>
        </w:tc>
        <w:tc>
          <w:tcPr>
            <w:tcW w:w="103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407,352</w:t>
            </w:r>
          </w:p>
        </w:tc>
        <w:tc>
          <w:tcPr>
            <w:tcW w:w="326" w:type="dxa"/>
            <w:tcBorders/>
            <w:shd w:fill="CCEEFF" w:val="clear"/>
            <w:vAlign w:val="center"/>
          </w:tcPr>
          <w:p>
            <w:pPr>
              <w:pStyle w:val="TableContents"/>
              <w:bidi w:val="0"/>
              <w:spacing w:before="0" w:after="1"/>
              <w:ind w:left="0" w:right="0" w:hanging="0"/>
              <w:jc w:val="left"/>
              <w:rPr/>
            </w:pPr>
            <w:r>
              <w:rPr/>
              <w:t>​</w:t>
            </w:r>
          </w:p>
        </w:tc>
        <w:tc>
          <w:tcPr>
            <w:tcW w:w="284" w:type="dxa"/>
            <w:tcBorders/>
            <w:shd w:fill="CCEEFF" w:val="clear"/>
            <w:vAlign w:val="center"/>
          </w:tcPr>
          <w:p>
            <w:pPr>
              <w:pStyle w:val="TableContents"/>
              <w:bidi w:val="0"/>
              <w:spacing w:before="0" w:after="1"/>
              <w:ind w:left="0" w:right="0" w:hanging="0"/>
              <w:jc w:val="left"/>
              <w:rPr/>
            </w:pPr>
            <w:r>
              <w:rPr/>
              <w:t> </w:t>
            </w:r>
          </w:p>
        </w:tc>
        <w:tc>
          <w:tcPr>
            <w:tcW w:w="12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381,672</w:t>
            </w:r>
          </w:p>
        </w:tc>
      </w:tr>
      <w:tr>
        <w:trPr/>
        <w:tc>
          <w:tcPr>
            <w:tcW w:w="4096" w:type="dxa"/>
            <w:tcBorders/>
            <w:vAlign w:val="center"/>
          </w:tcPr>
          <w:p>
            <w:pPr>
              <w:pStyle w:val="TableContents"/>
              <w:bidi w:val="0"/>
              <w:spacing w:lineRule="auto" w:line="240" w:before="0" w:after="1"/>
              <w:ind w:left="0" w:right="0" w:hanging="0"/>
              <w:jc w:val="both"/>
              <w:rPr>
                <w:rFonts w:ascii="Times New Roman;Times;serif" w:hAnsi="Times New Roman;Times;serif"/>
                <w:sz w:val="20"/>
              </w:rPr>
            </w:pPr>
            <w:r>
              <w:rPr>
                <w:rFonts w:ascii="Times New Roman;Times;serif" w:hAnsi="Times New Roman;Times;serif"/>
                <w:sz w:val="20"/>
              </w:rPr>
              <w:t xml:space="preserve">Less accumulated depreciation and amortization </w:t>
            </w:r>
          </w:p>
        </w:tc>
        <w:tc>
          <w:tcPr>
            <w:tcW w:w="326" w:type="dxa"/>
            <w:tcBorders/>
            <w:vAlign w:val="center"/>
          </w:tcPr>
          <w:p>
            <w:pPr>
              <w:pStyle w:val="TableContents"/>
              <w:bidi w:val="0"/>
              <w:spacing w:before="0" w:after="1"/>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(221,795)</w:t>
            </w:r>
          </w:p>
        </w:tc>
        <w:tc>
          <w:tcPr>
            <w:tcW w:w="326" w:type="dxa"/>
            <w:tcBorders/>
            <w:vAlign w:val="center"/>
          </w:tcPr>
          <w:p>
            <w:pPr>
              <w:pStyle w:val="TableContents"/>
              <w:bidi w:val="0"/>
              <w:spacing w:before="0" w:after="1"/>
              <w:ind w:left="0" w:right="0" w:hanging="0"/>
              <w:jc w:val="left"/>
              <w:rPr/>
            </w:pPr>
            <w:r>
              <w:rPr/>
              <w:t>​</w:t>
            </w:r>
          </w:p>
        </w:tc>
        <w:tc>
          <w:tcPr>
            <w:tcW w:w="28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(204,113)</w:t>
            </w:r>
          </w:p>
        </w:tc>
      </w:tr>
      <w:tr>
        <w:trPr/>
        <w:tc>
          <w:tcPr>
            <w:tcW w:w="40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326" w:type="dxa"/>
            <w:tcBorders/>
            <w:shd w:fill="CCEEFF" w:val="clear"/>
            <w:vAlign w:val="center"/>
          </w:tcPr>
          <w:p>
            <w:pPr>
              <w:pStyle w:val="TableContents"/>
              <w:bidi w:val="0"/>
              <w:spacing w:before="0" w:after="1"/>
              <w:ind w:left="0" w:right="0" w:hanging="0"/>
              <w:jc w:val="left"/>
              <w:rPr/>
            </w:pPr>
            <w:r>
              <w:rPr/>
              <w:t>​</w:t>
            </w:r>
          </w:p>
        </w:tc>
        <w:tc>
          <w:tcPr>
            <w:tcW w:w="24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185,557</w:t>
            </w:r>
          </w:p>
        </w:tc>
        <w:tc>
          <w:tcPr>
            <w:tcW w:w="326" w:type="dxa"/>
            <w:tcBorders/>
            <w:shd w:fill="CCEEFF" w:val="clear"/>
            <w:vAlign w:val="center"/>
          </w:tcPr>
          <w:p>
            <w:pPr>
              <w:pStyle w:val="TableContents"/>
              <w:bidi w:val="0"/>
              <w:spacing w:before="0" w:after="1"/>
              <w:ind w:left="0" w:right="0" w:hanging="0"/>
              <w:jc w:val="left"/>
              <w:rPr/>
            </w:pPr>
            <w:r>
              <w:rPr/>
              <w:t>​</w:t>
            </w:r>
          </w:p>
        </w:tc>
        <w:tc>
          <w:tcPr>
            <w:tcW w:w="28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177,559</w:t>
            </w:r>
          </w:p>
        </w:tc>
      </w:tr>
      <w:tr>
        <w:trPr/>
        <w:tc>
          <w:tcPr>
            <w:tcW w:w="40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pPr>
            <w:r>
              <w:rPr/>
              <w:t>​</w:t>
            </w:r>
          </w:p>
        </w:tc>
        <w:tc>
          <w:tcPr>
            <w:tcW w:w="103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84" w:type="dxa"/>
            <w:tcBorders/>
            <w:vAlign w:val="center"/>
          </w:tcPr>
          <w:p>
            <w:pPr>
              <w:pStyle w:val="TableContents"/>
              <w:bidi w:val="0"/>
              <w:spacing w:before="0" w:after="1"/>
              <w:ind w:left="0" w:right="0" w:hanging="0"/>
              <w:jc w:val="left"/>
              <w:rPr/>
            </w:pPr>
            <w:r>
              <w:rPr/>
              <w:t>​</w:t>
            </w:r>
          </w:p>
        </w:tc>
        <w:tc>
          <w:tcPr>
            <w:tcW w:w="1276" w:type="dxa"/>
            <w:tcBorders/>
            <w:vAlign w:val="center"/>
          </w:tcPr>
          <w:p>
            <w:pPr>
              <w:pStyle w:val="TableContents"/>
              <w:bidi w:val="0"/>
              <w:spacing w:before="0" w:after="1"/>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Depreciation expense for property and equipment, excluding all internal-use software developed and finance leases, was $1,056 and $1,245 for the three months ended March 31, 2025 and 2024, respectively, and is included in depreciation and amortization in the condensed consolidated statements of comprehensive income (loss).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Finance lease amortization was $19 and $22 for the three months ended March 31, 2025 and 2024, respectively, and is included in depreciation and amortization expense in the condensed consolidated statements of comprehensive income (loss).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Assets under finance leases of $172 and $172, net of accumulated amortization of $116 and $97, respectively, at March 31, 2025 and December 31, 2024, respectively, are included in property and equipment in the condensed consolidated balance sheets.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major components of internal-use software developed are as follows:</w:t>
      </w:r>
    </w:p>
    <w:p>
      <w:pPr>
        <w:pStyle w:val="TextBody"/>
        <w:bidi w:val="0"/>
        <w:spacing w:before="0" w:after="0"/>
        <w:ind w:left="0" w:right="0" w:hanging="0"/>
        <w:jc w:val="both"/>
        <w:rPr/>
      </w:pPr>
      <w:r>
        <w:rPr/>
        <w:t>​</w:t>
      </w:r>
    </w:p>
    <w:tbl>
      <w:tblPr>
        <w:tblW w:w="8933" w:type="dxa"/>
        <w:jc w:val="left"/>
        <w:tblInd w:w="0" w:type="dxa"/>
        <w:tblLayout w:type="fixed"/>
        <w:tblCellMar>
          <w:top w:w="0" w:type="dxa"/>
          <w:left w:w="0" w:type="dxa"/>
          <w:bottom w:w="0" w:type="dxa"/>
          <w:right w:w="0" w:type="dxa"/>
        </w:tblCellMar>
      </w:tblPr>
      <w:tblGrid>
        <w:gridCol w:w="5401"/>
        <w:gridCol w:w="326"/>
        <w:gridCol w:w="250"/>
        <w:gridCol w:w="1070"/>
        <w:gridCol w:w="326"/>
        <w:gridCol w:w="284"/>
        <w:gridCol w:w="1276"/>
      </w:tblGrid>
      <w:tr>
        <w:trPr/>
        <w:tc>
          <w:tcPr>
            <w:tcW w:w="54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3429635" cy="175260"/>
                      <wp:effectExtent l="0" t="0" r="0" b="0"/>
                      <wp:wrapNone/>
                      <wp:docPr id="155" name="Frame155"/>
                      <a:graphic xmlns:a="http://schemas.openxmlformats.org/drawingml/2006/main">
                        <a:graphicData uri="http://schemas.microsoft.com/office/word/2010/wordprocessingShape">
                          <wps:wsp>
                            <wps:cNvSpPr txBox="1"/>
                            <wps:spPr>
                              <a:xfrm>
                                <a:off x="0" y="0"/>
                                <a:ext cx="3429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207010" cy="175260"/>
                      <wp:effectExtent l="0" t="0" r="0" b="0"/>
                      <wp:wrapNone/>
                      <wp:docPr id="156" name="Frame1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158750" cy="175260"/>
                      <wp:effectExtent l="0" t="0" r="0" b="0"/>
                      <wp:wrapNone/>
                      <wp:docPr id="157" name="Frame157"/>
                      <a:graphic xmlns:a="http://schemas.openxmlformats.org/drawingml/2006/main">
                        <a:graphicData uri="http://schemas.microsoft.com/office/word/2010/wordprocessingShape">
                          <wps:wsp>
                            <wps:cNvSpPr txBox="1"/>
                            <wps:spPr>
                              <a:xfrm>
                                <a:off x="0" y="0"/>
                                <a:ext cx="158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79450" cy="175260"/>
                      <wp:effectExtent l="0" t="0" r="0" b="0"/>
                      <wp:wrapNone/>
                      <wp:docPr id="158" name="Frame158"/>
                      <a:graphic xmlns:a="http://schemas.openxmlformats.org/drawingml/2006/main">
                        <a:graphicData uri="http://schemas.microsoft.com/office/word/2010/wordprocessingShape">
                          <wps:wsp>
                            <wps:cNvSpPr txBox="1"/>
                            <wps:spPr>
                              <a:xfrm>
                                <a:off x="0" y="0"/>
                                <a:ext cx="6794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207010" cy="175260"/>
                      <wp:effectExtent l="0" t="0" r="0" b="0"/>
                      <wp:wrapNone/>
                      <wp:docPr id="159" name="Frame1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180340" cy="175260"/>
                      <wp:effectExtent l="0" t="0" r="0" b="0"/>
                      <wp:wrapNone/>
                      <wp:docPr id="160" name="Frame160"/>
                      <a:graphic xmlns:a="http://schemas.openxmlformats.org/drawingml/2006/main">
                        <a:graphicData uri="http://schemas.microsoft.com/office/word/2010/wordprocessingShape">
                          <wps:wsp>
                            <wps:cNvSpPr txBox="1"/>
                            <wps:spPr>
                              <a:xfrm>
                                <a:off x="0" y="0"/>
                                <a:ext cx="180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810260" cy="175260"/>
                      <wp:effectExtent l="0" t="0" r="0" b="0"/>
                      <wp:wrapNone/>
                      <wp:docPr id="161" name="Frame161"/>
                      <a:graphic xmlns:a="http://schemas.openxmlformats.org/drawingml/2006/main">
                        <a:graphicData uri="http://schemas.microsoft.com/office/word/2010/wordprocessingShape">
                          <wps:wsp>
                            <wps:cNvSpPr txBox="1"/>
                            <wps:spPr>
                              <a:xfrm>
                                <a:off x="0" y="0"/>
                                <a:ext cx="810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4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32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March 31, </w:t>
            </w:r>
          </w:p>
        </w:tc>
        <w:tc>
          <w:tcPr>
            <w:tcW w:w="326" w:type="dxa"/>
            <w:tcBorders/>
            <w:vAlign w:val="center"/>
          </w:tcPr>
          <w:p>
            <w:pPr>
              <w:pStyle w:val="TableContents"/>
              <w:bidi w:val="0"/>
              <w:spacing w:before="0" w:after="0"/>
              <w:ind w:left="0" w:right="0" w:hanging="0"/>
              <w:jc w:val="left"/>
              <w:rPr/>
            </w:pPr>
            <w:r>
              <w:rPr/>
              <w:t>​</w:t>
            </w:r>
          </w:p>
        </w:tc>
        <w:tc>
          <w:tcPr>
            <w:tcW w:w="156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54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3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center"/>
              <w:rPr/>
            </w:pPr>
            <w:r>
              <w:rPr/>
              <w:t>​</w:t>
            </w:r>
          </w:p>
        </w:tc>
        <w:tc>
          <w:tcPr>
            <w:tcW w:w="15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54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32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26" w:type="dxa"/>
            <w:tcBorders/>
            <w:vAlign w:val="center"/>
          </w:tcPr>
          <w:p>
            <w:pPr>
              <w:pStyle w:val="TableContents"/>
              <w:bidi w:val="0"/>
              <w:spacing w:before="0" w:after="0"/>
              <w:ind w:left="0" w:right="0" w:hanging="0"/>
              <w:jc w:val="center"/>
              <w:rPr/>
            </w:pPr>
            <w:r>
              <w:rPr/>
              <w:t>    </w:t>
            </w:r>
          </w:p>
        </w:tc>
        <w:tc>
          <w:tcPr>
            <w:tcW w:w="284" w:type="dxa"/>
            <w:tcBorders/>
            <w:vAlign w:val="center"/>
          </w:tcPr>
          <w:p>
            <w:pPr>
              <w:pStyle w:val="TableContents"/>
              <w:bidi w:val="0"/>
              <w:spacing w:before="0" w:after="0"/>
              <w:ind w:left="0" w:right="0" w:hanging="0"/>
              <w:jc w:val="center"/>
              <w:rPr/>
            </w:pPr>
            <w:r>
              <w:rPr/>
              <w:t>​</w:t>
            </w:r>
          </w:p>
        </w:tc>
        <w:tc>
          <w:tcPr>
            <w:tcW w:w="1276" w:type="dxa"/>
            <w:tcBorders/>
            <w:vAlign w:val="center"/>
          </w:tcPr>
          <w:p>
            <w:pPr>
              <w:pStyle w:val="TableContents"/>
              <w:bidi w:val="0"/>
              <w:spacing w:before="0" w:after="0"/>
              <w:ind w:left="0" w:right="0" w:hanging="0"/>
              <w:jc w:val="center"/>
              <w:rPr/>
            </w:pPr>
            <w:r>
              <w:rPr/>
              <w:t>​</w:t>
            </w:r>
          </w:p>
        </w:tc>
      </w:tr>
      <w:tr>
        <w:trPr/>
        <w:tc>
          <w:tcPr>
            <w:tcW w:w="540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Internal-use software developed</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336,452</w:t>
            </w:r>
          </w:p>
        </w:tc>
        <w:tc>
          <w:tcPr>
            <w:tcW w:w="326"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309,638</w:t>
            </w:r>
          </w:p>
        </w:tc>
      </w:tr>
      <w:tr>
        <w:trPr/>
        <w:tc>
          <w:tcPr>
            <w:tcW w:w="540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Less accumulated depreciation</w:t>
            </w:r>
          </w:p>
        </w:tc>
        <w:tc>
          <w:tcPr>
            <w:tcW w:w="326" w:type="dxa"/>
            <w:tcBorders/>
            <w:vAlign w:val="center"/>
          </w:tcPr>
          <w:p>
            <w:pPr>
              <w:pStyle w:val="TableContents"/>
              <w:bidi w:val="0"/>
              <w:spacing w:before="0" w:after="0"/>
              <w:ind w:left="0" w:right="0" w:hanging="0"/>
              <w:jc w:val="left"/>
              <w:rPr/>
            </w:pPr>
            <w:r>
              <w:rPr/>
              <w:t>​</w:t>
            </w:r>
          </w:p>
        </w:tc>
        <w:tc>
          <w:tcPr>
            <w:tcW w:w="25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7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(187,759)</w:t>
            </w:r>
          </w:p>
        </w:tc>
        <w:tc>
          <w:tcPr>
            <w:tcW w:w="326" w:type="dxa"/>
            <w:tcBorders/>
            <w:vAlign w:val="center"/>
          </w:tcPr>
          <w:p>
            <w:pPr>
              <w:pStyle w:val="TableContents"/>
              <w:bidi w:val="0"/>
              <w:spacing w:before="0" w:after="0"/>
              <w:ind w:left="0" w:right="0" w:hanging="0"/>
              <w:jc w:val="left"/>
              <w:rPr/>
            </w:pPr>
            <w:r>
              <w:rPr/>
              <w:t>​</w:t>
            </w:r>
          </w:p>
        </w:tc>
        <w:tc>
          <w:tcPr>
            <w:tcW w:w="28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(171,181)</w:t>
            </w:r>
          </w:p>
        </w:tc>
      </w:tr>
      <w:tr>
        <w:trPr/>
        <w:tc>
          <w:tcPr>
            <w:tcW w:w="54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Internal-use software developed, net of accumulated depreciation</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 </w:t>
            </w:r>
          </w:p>
        </w:tc>
        <w:tc>
          <w:tcPr>
            <w:tcW w:w="10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148,693</w:t>
            </w:r>
          </w:p>
        </w:tc>
        <w:tc>
          <w:tcPr>
            <w:tcW w:w="326"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left"/>
              <w:rPr/>
            </w:pPr>
            <w:r>
              <w:rPr/>
              <w:t> </w:t>
            </w:r>
          </w:p>
        </w:tc>
        <w:tc>
          <w:tcPr>
            <w:tcW w:w="12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138,457</w:t>
            </w:r>
          </w:p>
        </w:tc>
      </w:tr>
      <w:tr>
        <w:trPr/>
        <w:tc>
          <w:tcPr>
            <w:tcW w:w="540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In-process internal-use software</w:t>
            </w:r>
          </w:p>
        </w:tc>
        <w:tc>
          <w:tcPr>
            <w:tcW w:w="326" w:type="dxa"/>
            <w:tcBorders/>
            <w:vAlign w:val="center"/>
          </w:tcPr>
          <w:p>
            <w:pPr>
              <w:pStyle w:val="TableContents"/>
              <w:bidi w:val="0"/>
              <w:spacing w:before="0" w:after="0"/>
              <w:ind w:left="0" w:right="0" w:hanging="0"/>
              <w:jc w:val="left"/>
              <w:rPr/>
            </w:pPr>
            <w:r>
              <w:rPr/>
              <w:t>​</w:t>
            </w:r>
          </w:p>
        </w:tc>
        <w:tc>
          <w:tcPr>
            <w:tcW w:w="25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7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26,191</w:t>
            </w:r>
          </w:p>
        </w:tc>
        <w:tc>
          <w:tcPr>
            <w:tcW w:w="326" w:type="dxa"/>
            <w:tcBorders/>
            <w:vAlign w:val="center"/>
          </w:tcPr>
          <w:p>
            <w:pPr>
              <w:pStyle w:val="TableContents"/>
              <w:bidi w:val="0"/>
              <w:spacing w:before="0" w:after="0"/>
              <w:ind w:left="0" w:right="0" w:hanging="0"/>
              <w:jc w:val="left"/>
              <w:rPr/>
            </w:pPr>
            <w:r>
              <w:rPr/>
              <w:t>​</w:t>
            </w:r>
          </w:p>
        </w:tc>
        <w:tc>
          <w:tcPr>
            <w:tcW w:w="28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28,916</w:t>
            </w:r>
          </w:p>
        </w:tc>
      </w:tr>
      <w:tr>
        <w:trPr/>
        <w:tc>
          <w:tcPr>
            <w:tcW w:w="54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Internal-use software developed, net</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7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174,884</w:t>
            </w:r>
          </w:p>
        </w:tc>
        <w:tc>
          <w:tcPr>
            <w:tcW w:w="326" w:type="dxa"/>
            <w:tcBorders/>
            <w:shd w:fill="CCEEFF" w:val="clear"/>
            <w:vAlign w:val="center"/>
          </w:tcPr>
          <w:p>
            <w:pPr>
              <w:pStyle w:val="TableContents"/>
              <w:bidi w:val="0"/>
              <w:spacing w:before="0" w:after="0"/>
              <w:ind w:left="0" w:right="0" w:hanging="0"/>
              <w:jc w:val="left"/>
              <w:rPr/>
            </w:pPr>
            <w:r>
              <w:rPr/>
              <w:t>​</w:t>
            </w:r>
          </w:p>
        </w:tc>
        <w:tc>
          <w:tcPr>
            <w:tcW w:w="28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76"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167,373</w:t>
            </w:r>
          </w:p>
        </w:tc>
      </w:tr>
    </w:tbl>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646" w:type="dxa"/>
        <w:jc w:val="left"/>
        <w:tblInd w:w="0" w:type="dxa"/>
        <w:tblLayout w:type="fixed"/>
        <w:tblCellMar>
          <w:top w:w="0" w:type="dxa"/>
          <w:left w:w="0" w:type="dxa"/>
          <w:bottom w:w="0" w:type="dxa"/>
          <w:right w:w="0" w:type="dxa"/>
        </w:tblCellMar>
      </w:tblPr>
      <w:tblGrid>
        <w:gridCol w:w="6646"/>
      </w:tblGrid>
      <w:tr>
        <w:trPr/>
        <w:tc>
          <w:tcPr>
            <w:tcW w:w="6646" w:type="dxa"/>
            <w:tcBorders/>
            <w:vAlign w:val="center"/>
          </w:tcPr>
          <w:p>
            <w:pPr>
              <w:pStyle w:val="TableContents"/>
              <w:bidi w:val="0"/>
              <w:spacing w:before="0" w:after="283"/>
              <w:ind w:left="0" w:right="0" w:hanging="0"/>
              <w:jc w:val="left"/>
              <w:rPr>
                <w:sz w:val="4"/>
                <w:szCs w:val="4"/>
              </w:rPr>
            </w:pPr>
            <w:r>
              <w:rPr>
                <w:sz w:val="4"/>
                <w:szCs w:val="4"/>
              </w:rPr>
            </w:r>
          </w:p>
        </w:tc>
      </w:tr>
      <w:tr>
        <w:trPr/>
        <w:tc>
          <w:tcPr>
            <w:tcW w:w="66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Vertex, Inc. and Subsidiaries</w:t>
            </w:r>
          </w:p>
        </w:tc>
      </w:tr>
      <w:tr>
        <w:trPr/>
        <w:tc>
          <w:tcPr>
            <w:tcW w:w="66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Condensed Consolidated Financial Statements (unaudited) continued</w:t>
            </w:r>
          </w:p>
        </w:tc>
      </w:tr>
      <w:tr>
        <w:trPr/>
        <w:tc>
          <w:tcPr>
            <w:tcW w:w="66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(Amounts in thousands, except per share data) </w:t>
            </w:r>
          </w:p>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bookmarkStart w:id="1063" w:name="Tc_I2uE2wvXgEiBYEQ3eur5Dw_6_5"/>
      <w:bookmarkStart w:id="1064" w:name="Tc_WNw_PyeJdES83ZAVQTX-mg_6_2"/>
      <w:bookmarkStart w:id="1065" w:name="Tc_aqkm8AByHE2Bdk3tbH9G7g_6_0"/>
      <w:bookmarkStart w:id="1066" w:name="Tc_voegOv5PVE2idVGIwioJQQ_5_0"/>
      <w:bookmarkStart w:id="1067" w:name="Tc_Plamx2mw4UCz2snmwyujfg_4_5"/>
      <w:bookmarkStart w:id="1068" w:name="Tc_B2MbUlG1TkaQxd_iHJ290w_4_2"/>
      <w:bookmarkStart w:id="1069" w:name="Tc_KE1mMiFBTUueA7XjpHRA1g_4_0"/>
      <w:bookmarkStart w:id="1070" w:name="Tc_lFhzLKT-OkikJqiCmYLtmg_3_2"/>
      <w:bookmarkStart w:id="1071" w:name="Tc_K_5q-_MGfk-HzE7kjM-n_w_2_5"/>
      <w:bookmarkStart w:id="1072" w:name="Tc_R23WkauUIkWZ7XhJt53Hig_2_2"/>
      <w:bookmarkStart w:id="1073" w:name="Tc_4JHeq_8M2kSBW_wQVGkIwg_1_2"/>
      <w:bookmarkEnd w:id="1063"/>
      <w:bookmarkEnd w:id="1064"/>
      <w:bookmarkEnd w:id="1065"/>
      <w:bookmarkEnd w:id="1066"/>
      <w:bookmarkEnd w:id="1067"/>
      <w:bookmarkEnd w:id="1068"/>
      <w:bookmarkEnd w:id="1069"/>
      <w:bookmarkEnd w:id="1070"/>
      <w:bookmarkEnd w:id="1071"/>
      <w:bookmarkEnd w:id="1072"/>
      <w:bookmarkEnd w:id="1073"/>
      <w:r>
        <w:rPr>
          <w:rFonts w:ascii="Times New Roman;Times;serif" w:hAnsi="Times New Roman;Times;serif"/>
          <w:sz w:val="20"/>
        </w:rPr>
        <w:t>Amounts included in property and equipment additions related to capitalized internal-use software on the condensed consolidated statements of cash flows are as follows:</w:t>
      </w:r>
      <w:r>
        <w:rPr>
          <w:rFonts w:ascii="Times New Roman;Times;serif" w:hAnsi="Times New Roman;Times;serif"/>
          <w:color w:val="FF0000"/>
          <w:sz w:val="20"/>
        </w:rPr>
        <w:t xml:space="preserve"> </w:t>
      </w:r>
    </w:p>
    <w:p>
      <w:pPr>
        <w:pStyle w:val="TextBody"/>
        <w:bidi w:val="0"/>
        <w:spacing w:before="0" w:after="0"/>
        <w:ind w:left="0" w:right="0" w:hanging="0"/>
        <w:jc w:val="both"/>
        <w:rPr/>
      </w:pPr>
      <w:r>
        <w:rPr/>
        <w:t>​</w:t>
      </w:r>
    </w:p>
    <w:tbl>
      <w:tblPr>
        <w:tblW w:w="6041" w:type="dxa"/>
        <w:jc w:val="left"/>
        <w:tblInd w:w="0" w:type="dxa"/>
        <w:tblLayout w:type="fixed"/>
        <w:tblCellMar>
          <w:top w:w="0" w:type="dxa"/>
          <w:left w:w="0" w:type="dxa"/>
          <w:bottom w:w="0" w:type="dxa"/>
          <w:right w:w="0" w:type="dxa"/>
        </w:tblCellMar>
      </w:tblPr>
      <w:tblGrid>
        <w:gridCol w:w="2731"/>
        <w:gridCol w:w="326"/>
        <w:gridCol w:w="315"/>
        <w:gridCol w:w="1010"/>
        <w:gridCol w:w="162"/>
        <w:gridCol w:w="315"/>
        <w:gridCol w:w="1182"/>
      </w:tblGrid>
      <w:tr>
        <w:trPr/>
        <w:tc>
          <w:tcPr>
            <w:tcW w:w="27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1734185" cy="175260"/>
                      <wp:effectExtent l="0" t="0" r="0" b="0"/>
                      <wp:wrapNone/>
                      <wp:docPr id="162" name="Frame162"/>
                      <a:graphic xmlns:a="http://schemas.openxmlformats.org/drawingml/2006/main">
                        <a:graphicData uri="http://schemas.microsoft.com/office/word/2010/wordprocessingShape">
                          <wps:wsp>
                            <wps:cNvSpPr txBox="1"/>
                            <wps:spPr>
                              <a:xfrm>
                                <a:off x="0" y="0"/>
                                <a:ext cx="1734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207010" cy="175260"/>
                      <wp:effectExtent l="0" t="0" r="0" b="0"/>
                      <wp:wrapNone/>
                      <wp:docPr id="163" name="Frame1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200025" cy="175260"/>
                      <wp:effectExtent l="0" t="0" r="0" b="0"/>
                      <wp:wrapNone/>
                      <wp:docPr id="164" name="Frame164"/>
                      <a:graphic xmlns:a="http://schemas.openxmlformats.org/drawingml/2006/main">
                        <a:graphicData uri="http://schemas.microsoft.com/office/word/2010/wordprocessingShape">
                          <wps:wsp>
                            <wps:cNvSpPr txBox="1"/>
                            <wps:spPr>
                              <a:xfrm>
                                <a:off x="0" y="0"/>
                                <a:ext cx="2000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1350" cy="175260"/>
                      <wp:effectExtent l="0" t="0" r="0" b="0"/>
                      <wp:wrapNone/>
                      <wp:docPr id="165" name="Frame165"/>
                      <a:graphic xmlns:a="http://schemas.openxmlformats.org/drawingml/2006/main">
                        <a:graphicData uri="http://schemas.microsoft.com/office/word/2010/wordprocessingShape">
                          <wps:wsp>
                            <wps:cNvSpPr txBox="1"/>
                            <wps:spPr>
                              <a:xfrm>
                                <a:off x="0" y="0"/>
                                <a:ext cx="6413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102870" cy="175260"/>
                      <wp:effectExtent l="0" t="0" r="0" b="0"/>
                      <wp:wrapNone/>
                      <wp:docPr id="166" name="Frame166"/>
                      <a:graphic xmlns:a="http://schemas.openxmlformats.org/drawingml/2006/main">
                        <a:graphicData uri="http://schemas.microsoft.com/office/word/2010/wordprocessingShape">
                          <wps:wsp>
                            <wps:cNvSpPr txBox="1"/>
                            <wps:spPr>
                              <a:xfrm>
                                <a:off x="0" y="0"/>
                                <a:ext cx="1028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200025" cy="175260"/>
                      <wp:effectExtent l="0" t="0" r="0" b="0"/>
                      <wp:wrapNone/>
                      <wp:docPr id="167" name="Frame167"/>
                      <a:graphic xmlns:a="http://schemas.openxmlformats.org/drawingml/2006/main">
                        <a:graphicData uri="http://schemas.microsoft.com/office/word/2010/wordprocessingShape">
                          <wps:wsp>
                            <wps:cNvSpPr txBox="1"/>
                            <wps:spPr>
                              <a:xfrm>
                                <a:off x="0" y="0"/>
                                <a:ext cx="2000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750570" cy="175260"/>
                      <wp:effectExtent l="0" t="0" r="0" b="0"/>
                      <wp:wrapNone/>
                      <wp:docPr id="168" name="Frame168"/>
                      <a:graphic xmlns:a="http://schemas.openxmlformats.org/drawingml/2006/main">
                        <a:graphicData uri="http://schemas.microsoft.com/office/word/2010/wordprocessingShape">
                          <wps:wsp>
                            <wps:cNvSpPr txBox="1"/>
                            <wps:spPr>
                              <a:xfrm>
                                <a:off x="0" y="0"/>
                                <a:ext cx="750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98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three months ended March 31, </w:t>
            </w:r>
          </w:p>
        </w:tc>
      </w:tr>
      <w:tr>
        <w:trPr/>
        <w:tc>
          <w:tcPr>
            <w:tcW w:w="27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3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62" w:type="dxa"/>
            <w:tcBorders/>
            <w:vAlign w:val="center"/>
          </w:tcPr>
          <w:p>
            <w:pPr>
              <w:pStyle w:val="TableContents"/>
              <w:bidi w:val="0"/>
              <w:spacing w:before="0" w:after="0"/>
              <w:ind w:left="0" w:right="0" w:hanging="0"/>
              <w:jc w:val="center"/>
              <w:rPr/>
            </w:pPr>
            <w:r>
              <w:rPr/>
              <w:t>​</w:t>
            </w:r>
          </w:p>
        </w:tc>
        <w:tc>
          <w:tcPr>
            <w:tcW w:w="14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6041"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27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984"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r>
      <w:tr>
        <w:trPr/>
        <w:tc>
          <w:tcPr>
            <w:tcW w:w="273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Cloud-based customer solutions</w:t>
            </w:r>
          </w:p>
        </w:tc>
        <w:tc>
          <w:tcPr>
            <w:tcW w:w="326" w:type="dxa"/>
            <w:tcBorders/>
            <w:shd w:fill="CCEEFF" w:val="clear"/>
            <w:vAlign w:val="center"/>
          </w:tcPr>
          <w:p>
            <w:pPr>
              <w:pStyle w:val="TableContents"/>
              <w:bidi w:val="0"/>
              <w:spacing w:before="0" w:after="0"/>
              <w:ind w:left="0" w:right="0" w:hanging="0"/>
              <w:jc w:val="left"/>
              <w:rPr/>
            </w:pPr>
            <w:r>
              <w:rPr/>
              <w:t>    </w:t>
            </w:r>
          </w:p>
        </w:tc>
        <w:tc>
          <w:tcPr>
            <w:tcW w:w="3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15,084</w:t>
            </w:r>
          </w:p>
        </w:tc>
        <w:tc>
          <w:tcPr>
            <w:tcW w:w="162" w:type="dxa"/>
            <w:tcBorders/>
            <w:shd w:fill="CCEEFF" w:val="clear"/>
            <w:vAlign w:val="center"/>
          </w:tcPr>
          <w:p>
            <w:pPr>
              <w:pStyle w:val="TableContents"/>
              <w:bidi w:val="0"/>
              <w:spacing w:before="0" w:after="0"/>
              <w:ind w:left="0" w:right="0" w:hanging="0"/>
              <w:jc w:val="left"/>
              <w:rPr/>
            </w:pPr>
            <w:r>
              <w:rPr/>
              <w:t>​</w:t>
            </w:r>
          </w:p>
        </w:tc>
        <w:tc>
          <w:tcPr>
            <w:tcW w:w="3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9,687</w:t>
            </w:r>
          </w:p>
        </w:tc>
      </w:tr>
      <w:tr>
        <w:trPr/>
        <w:tc>
          <w:tcPr>
            <w:tcW w:w="273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Internal systems and tools</w:t>
            </w:r>
          </w:p>
        </w:tc>
        <w:tc>
          <w:tcPr>
            <w:tcW w:w="326" w:type="dxa"/>
            <w:tcBorders/>
            <w:vAlign w:val="center"/>
          </w:tcPr>
          <w:p>
            <w:pPr>
              <w:pStyle w:val="TableContents"/>
              <w:bidi w:val="0"/>
              <w:spacing w:before="0" w:after="0"/>
              <w:ind w:left="0" w:right="0" w:hanging="0"/>
              <w:jc w:val="left"/>
              <w:rPr/>
            </w:pPr>
            <w:r>
              <w:rPr/>
              <w:t>​</w:t>
            </w:r>
          </w:p>
        </w:tc>
        <w:tc>
          <w:tcPr>
            <w:tcW w:w="31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1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4,762</w:t>
            </w:r>
          </w:p>
        </w:tc>
        <w:tc>
          <w:tcPr>
            <w:tcW w:w="162" w:type="dxa"/>
            <w:tcBorders/>
            <w:vAlign w:val="center"/>
          </w:tcPr>
          <w:p>
            <w:pPr>
              <w:pStyle w:val="TableContents"/>
              <w:bidi w:val="0"/>
              <w:spacing w:before="0" w:after="0"/>
              <w:ind w:left="0" w:right="0" w:hanging="0"/>
              <w:jc w:val="left"/>
              <w:rPr/>
            </w:pPr>
            <w:r>
              <w:rPr/>
              <w:t>​</w:t>
            </w:r>
          </w:p>
        </w:tc>
        <w:tc>
          <w:tcPr>
            <w:tcW w:w="31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8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4,762</w:t>
            </w:r>
          </w:p>
        </w:tc>
      </w:tr>
      <w:tr>
        <w:trPr/>
        <w:tc>
          <w:tcPr>
            <w:tcW w:w="273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0"/>
              <w:ind w:left="0" w:right="0" w:hanging="0"/>
              <w:jc w:val="left"/>
              <w:rPr/>
            </w:pPr>
            <w:r>
              <w:rPr/>
              <w:t>​</w:t>
            </w:r>
          </w:p>
        </w:tc>
        <w:tc>
          <w:tcPr>
            <w:tcW w:w="31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19,845</w:t>
            </w:r>
          </w:p>
        </w:tc>
        <w:tc>
          <w:tcPr>
            <w:tcW w:w="162" w:type="dxa"/>
            <w:tcBorders/>
            <w:shd w:fill="CCEEFF" w:val="clear"/>
            <w:vAlign w:val="center"/>
          </w:tcPr>
          <w:p>
            <w:pPr>
              <w:pStyle w:val="TableContents"/>
              <w:bidi w:val="0"/>
              <w:spacing w:before="0" w:after="0"/>
              <w:ind w:left="0" w:right="0" w:hanging="0"/>
              <w:jc w:val="left"/>
              <w:rPr/>
            </w:pPr>
            <w:r>
              <w:rPr/>
              <w:t>​</w:t>
            </w:r>
          </w:p>
        </w:tc>
        <w:tc>
          <w:tcPr>
            <w:tcW w:w="31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2"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14,449</w:t>
            </w:r>
          </w:p>
        </w:tc>
      </w:tr>
    </w:tbl>
    <w:p>
      <w:pPr>
        <w:pStyle w:val="TextBody"/>
        <w:bidi w:val="0"/>
        <w:spacing w:before="0" w:after="0"/>
        <w:ind w:left="0" w:right="0" w:hanging="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In-process internal-use software developed is not depreciated until it is available for its intended use. Depreciation expense for internal-use software developed for cloud-based customer solutions for the three months ended March 31, 2025 and 2024 was $10,063 and $9,432, respectively, and is included in cost of revenues, software subscriptions in the condensed consolidated statements of comprehensive income (loss).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Depreciation expense for internal-use software developed for internal systems and tools for the three months ended March 31, 2025 and 2024 was $4,805 and $3,739, respectively, and is included in depreciation and amortization in the condensed consolidated statements of comprehensive income (loss).</w:t>
      </w:r>
    </w:p>
    <w:p>
      <w:pPr>
        <w:pStyle w:val="TextBody"/>
        <w:bidi w:val="0"/>
        <w:spacing w:before="0" w:after="240"/>
        <w:ind w:left="0" w:right="0" w:firstLine="720"/>
        <w:jc w:val="both"/>
        <w:rPr>
          <w:color w:val="1F497D"/>
        </w:rPr>
      </w:pPr>
      <w:r>
        <w:rPr>
          <w:color w:val="1F497D"/>
        </w:rPr>
        <w:t>​</w:t>
      </w:r>
    </w:p>
    <w:p>
      <w:pPr>
        <w:pStyle w:val="TextBody"/>
        <w:bidi w:val="0"/>
        <w:spacing w:before="0" w:after="240"/>
        <w:ind w:left="0" w:right="0" w:hanging="0"/>
        <w:jc w:val="left"/>
        <w:rPr>
          <w:rFonts w:ascii="Times New Roman;Times;serif" w:hAnsi="Times New Roman;Times;serif"/>
          <w:b/>
          <w:sz w:val="20"/>
        </w:rPr>
      </w:pPr>
      <w:bookmarkStart w:id="1074" w:name="Tc_sAnJwwM6rEWrGzcDvyI4UQ_8_4"/>
      <w:bookmarkStart w:id="1075" w:name="Tc_bPKIJQGSoUiFURctIeu0Ng_8_1"/>
      <w:bookmarkStart w:id="1076" w:name="Tc_nophyCeKfUOX98K7NSLAhQ_8_0"/>
      <w:bookmarkStart w:id="1077" w:name="Tc_iNTPnvjuoE6aADsLAc5iZg_7_0"/>
      <w:bookmarkStart w:id="1078" w:name="Tc_g6mDF53V9kOtag_0eIt9Ng_6_0"/>
      <w:bookmarkStart w:id="1079" w:name="Tc_MZStO5V030eZPUtIYzZsQg_5_0"/>
      <w:bookmarkStart w:id="1080" w:name="Tc_3jcn00oFc0Gvt0CU8YIg0A_4_4"/>
      <w:bookmarkStart w:id="1081" w:name="Tc_O8scve72nUqB83V75gJBCw_4_1"/>
      <w:bookmarkStart w:id="1082" w:name="Tc_0vSPZ8WdpkWlBZYjh75mOg_4_0"/>
      <w:bookmarkStart w:id="1083" w:name="Tc_DQNl0xUlwEWN88XuvzoMNQ_3_1"/>
      <w:bookmarkStart w:id="1084" w:name="Tc_3uOWu-a7FUSdsPCindXsRQ_2_4"/>
      <w:bookmarkStart w:id="1085" w:name="Tc_Z6za-JyxwU2DhGfyuDqqsw_2_1"/>
      <w:bookmarkStart w:id="1086" w:name="Tc_A8p9rj6zY0SNXpPna8kAKQ_1_4"/>
      <w:bookmarkStart w:id="1087" w:name="Tc_Hn0vBXMsMU2KddEzTd8OQA_1_1"/>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r>
        <w:rPr>
          <w:rFonts w:ascii="Times New Roman;Times;serif" w:hAnsi="Times New Roman;Times;serif"/>
          <w:b/>
          <w:sz w:val="20"/>
        </w:rPr>
        <w:t xml:space="preserve">5.    CAPITALIZED SOFTWARE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Capitalized software includes acquired software and direct labor and related expenses for software developed for sale for new products and enhancements to existing products.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major components of capitalized software are as follows:</w:t>
      </w:r>
    </w:p>
    <w:p>
      <w:pPr>
        <w:pStyle w:val="TextBody"/>
        <w:bidi w:val="0"/>
        <w:spacing w:before="0" w:after="0"/>
        <w:ind w:left="0" w:right="0" w:hanging="0"/>
        <w:jc w:val="left"/>
        <w:rPr/>
      </w:pPr>
      <w:r>
        <w:rPr/>
        <w:t>​</w:t>
      </w:r>
    </w:p>
    <w:tbl>
      <w:tblPr>
        <w:tblW w:w="7475" w:type="dxa"/>
        <w:jc w:val="left"/>
        <w:tblInd w:w="0" w:type="dxa"/>
        <w:tblLayout w:type="fixed"/>
        <w:tblCellMar>
          <w:top w:w="0" w:type="dxa"/>
          <w:left w:w="0" w:type="dxa"/>
          <w:bottom w:w="0" w:type="dxa"/>
          <w:right w:w="0" w:type="dxa"/>
        </w:tblCellMar>
      </w:tblPr>
      <w:tblGrid>
        <w:gridCol w:w="4486"/>
        <w:gridCol w:w="250"/>
        <w:gridCol w:w="1070"/>
        <w:gridCol w:w="109"/>
        <w:gridCol w:w="284"/>
        <w:gridCol w:w="1276"/>
      </w:tblGrid>
      <w:tr>
        <w:trPr/>
        <w:tc>
          <w:tcPr>
            <w:tcW w:w="44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2848610" cy="175260"/>
                      <wp:effectExtent l="0" t="0" r="0" b="0"/>
                      <wp:wrapNone/>
                      <wp:docPr id="169" name="Frame169"/>
                      <a:graphic xmlns:a="http://schemas.openxmlformats.org/drawingml/2006/main">
                        <a:graphicData uri="http://schemas.microsoft.com/office/word/2010/wordprocessingShape">
                          <wps:wsp>
                            <wps:cNvSpPr txBox="1"/>
                            <wps:spPr>
                              <a:xfrm>
                                <a:off x="0" y="0"/>
                                <a:ext cx="2848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158750" cy="175260"/>
                      <wp:effectExtent l="0" t="0" r="0" b="0"/>
                      <wp:wrapNone/>
                      <wp:docPr id="170" name="Frame170"/>
                      <a:graphic xmlns:a="http://schemas.openxmlformats.org/drawingml/2006/main">
                        <a:graphicData uri="http://schemas.microsoft.com/office/word/2010/wordprocessingShape">
                          <wps:wsp>
                            <wps:cNvSpPr txBox="1"/>
                            <wps:spPr>
                              <a:xfrm>
                                <a:off x="0" y="0"/>
                                <a:ext cx="1587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79450" cy="175260"/>
                      <wp:effectExtent l="0" t="0" r="0" b="0"/>
                      <wp:wrapNone/>
                      <wp:docPr id="171" name="Frame171"/>
                      <a:graphic xmlns:a="http://schemas.openxmlformats.org/drawingml/2006/main">
                        <a:graphicData uri="http://schemas.microsoft.com/office/word/2010/wordprocessingShape">
                          <wps:wsp>
                            <wps:cNvSpPr txBox="1"/>
                            <wps:spPr>
                              <a:xfrm>
                                <a:off x="0" y="0"/>
                                <a:ext cx="6794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9215" cy="175260"/>
                      <wp:effectExtent l="0" t="0" r="0" b="0"/>
                      <wp:wrapNone/>
                      <wp:docPr id="172" name="Frame17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180340" cy="175260"/>
                      <wp:effectExtent l="0" t="0" r="0" b="0"/>
                      <wp:wrapNone/>
                      <wp:docPr id="173" name="Frame173"/>
                      <a:graphic xmlns:a="http://schemas.openxmlformats.org/drawingml/2006/main">
                        <a:graphicData uri="http://schemas.microsoft.com/office/word/2010/wordprocessingShape">
                          <wps:wsp>
                            <wps:cNvSpPr txBox="1"/>
                            <wps:spPr>
                              <a:xfrm>
                                <a:off x="0" y="0"/>
                                <a:ext cx="1803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810260" cy="175260"/>
                      <wp:effectExtent l="0" t="0" r="0" b="0"/>
                      <wp:wrapNone/>
                      <wp:docPr id="174" name="Frame174"/>
                      <a:graphic xmlns:a="http://schemas.openxmlformats.org/drawingml/2006/main">
                        <a:graphicData uri="http://schemas.microsoft.com/office/word/2010/wordprocessingShape">
                          <wps:wsp>
                            <wps:cNvSpPr txBox="1"/>
                            <wps:spPr>
                              <a:xfrm>
                                <a:off x="0" y="0"/>
                                <a:ext cx="810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486" w:type="dxa"/>
            <w:tcBorders/>
            <w:vAlign w:val="center"/>
          </w:tcPr>
          <w:p>
            <w:pPr>
              <w:pStyle w:val="TableContents"/>
              <w:bidi w:val="0"/>
              <w:spacing w:before="0" w:after="1"/>
              <w:ind w:left="0" w:right="0" w:hanging="0"/>
              <w:jc w:val="left"/>
              <w:rPr/>
            </w:pPr>
            <w:r>
              <w:rPr/>
              <w:t>​</w:t>
            </w:r>
          </w:p>
        </w:tc>
        <w:tc>
          <w:tcPr>
            <w:tcW w:w="132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March 31, </w:t>
            </w:r>
          </w:p>
        </w:tc>
        <w:tc>
          <w:tcPr>
            <w:tcW w:w="109" w:type="dxa"/>
            <w:tcBorders/>
            <w:vAlign w:val="center"/>
          </w:tcPr>
          <w:p>
            <w:pPr>
              <w:pStyle w:val="TableContents"/>
              <w:bidi w:val="0"/>
              <w:spacing w:before="0" w:after="1"/>
              <w:ind w:left="0" w:right="0" w:hanging="0"/>
              <w:jc w:val="left"/>
              <w:rPr/>
            </w:pPr>
            <w:r>
              <w:rPr/>
              <w:t>​</w:t>
            </w:r>
          </w:p>
        </w:tc>
        <w:tc>
          <w:tcPr>
            <w:tcW w:w="156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4486" w:type="dxa"/>
            <w:tcBorders/>
            <w:vAlign w:val="center"/>
          </w:tcPr>
          <w:p>
            <w:pPr>
              <w:pStyle w:val="TableContents"/>
              <w:bidi w:val="0"/>
              <w:spacing w:before="0" w:after="1"/>
              <w:ind w:left="0" w:right="0" w:hanging="0"/>
              <w:jc w:val="left"/>
              <w:rPr/>
            </w:pPr>
            <w:r>
              <w:rPr/>
              <w:t>​</w:t>
            </w:r>
          </w:p>
        </w:tc>
        <w:tc>
          <w:tcPr>
            <w:tcW w:w="132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1"/>
              <w:ind w:left="0" w:right="0" w:hanging="0"/>
              <w:jc w:val="center"/>
              <w:rPr/>
            </w:pPr>
            <w:r>
              <w:rPr/>
              <w:t>​</w:t>
            </w:r>
          </w:p>
        </w:tc>
        <w:tc>
          <w:tcPr>
            <w:tcW w:w="156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486" w:type="dxa"/>
            <w:tcBorders/>
            <w:vAlign w:val="center"/>
          </w:tcPr>
          <w:p>
            <w:pPr>
              <w:pStyle w:val="TableContents"/>
              <w:bidi w:val="0"/>
              <w:spacing w:before="0" w:after="1"/>
              <w:ind w:left="0" w:right="0" w:hanging="0"/>
              <w:jc w:val="left"/>
              <w:rPr/>
            </w:pPr>
            <w:r>
              <w:rPr/>
              <w:t>​</w:t>
            </w:r>
          </w:p>
        </w:tc>
        <w:tc>
          <w:tcPr>
            <w:tcW w:w="132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109" w:type="dxa"/>
            <w:tcBorders/>
            <w:vAlign w:val="center"/>
          </w:tcPr>
          <w:p>
            <w:pPr>
              <w:pStyle w:val="TableContents"/>
              <w:bidi w:val="0"/>
              <w:spacing w:before="0" w:after="1"/>
              <w:ind w:left="0" w:right="0" w:hanging="0"/>
              <w:jc w:val="center"/>
              <w:rPr/>
            </w:pPr>
            <w:r>
              <w:rPr/>
              <w:t>​</w:t>
            </w:r>
          </w:p>
        </w:tc>
        <w:tc>
          <w:tcPr>
            <w:tcW w:w="284" w:type="dxa"/>
            <w:tcBorders/>
            <w:vAlign w:val="center"/>
          </w:tcPr>
          <w:p>
            <w:pPr>
              <w:pStyle w:val="TableContents"/>
              <w:bidi w:val="0"/>
              <w:spacing w:before="0" w:after="1"/>
              <w:ind w:left="0" w:right="0" w:hanging="0"/>
              <w:jc w:val="center"/>
              <w:rPr/>
            </w:pPr>
            <w:r>
              <w:rPr/>
              <w:t>​</w:t>
            </w:r>
          </w:p>
        </w:tc>
        <w:tc>
          <w:tcPr>
            <w:tcW w:w="1276" w:type="dxa"/>
            <w:tcBorders/>
            <w:vAlign w:val="center"/>
          </w:tcPr>
          <w:p>
            <w:pPr>
              <w:pStyle w:val="TableContents"/>
              <w:bidi w:val="0"/>
              <w:spacing w:before="0" w:after="1"/>
              <w:ind w:left="0" w:right="0" w:hanging="0"/>
              <w:jc w:val="center"/>
              <w:rPr/>
            </w:pPr>
            <w:r>
              <w:rPr/>
              <w:t>​</w:t>
            </w:r>
          </w:p>
        </w:tc>
      </w:tr>
      <w:tr>
        <w:trPr/>
        <w:tc>
          <w:tcPr>
            <w:tcW w:w="448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Capitalized software</w:t>
            </w:r>
          </w:p>
        </w:tc>
        <w:tc>
          <w:tcPr>
            <w:tcW w:w="25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7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146,822</w:t>
            </w:r>
          </w:p>
        </w:tc>
        <w:tc>
          <w:tcPr>
            <w:tcW w:w="109" w:type="dxa"/>
            <w:tcBorders/>
            <w:shd w:fill="CCEEFF" w:val="clear"/>
            <w:vAlign w:val="center"/>
          </w:tcPr>
          <w:p>
            <w:pPr>
              <w:pStyle w:val="TableContents"/>
              <w:bidi w:val="0"/>
              <w:spacing w:before="0" w:after="1"/>
              <w:ind w:left="0" w:right="0" w:hanging="0"/>
              <w:jc w:val="left"/>
              <w:rPr/>
            </w:pPr>
            <w:r>
              <w:rPr/>
              <w:t>​</w:t>
            </w:r>
          </w:p>
        </w:tc>
        <w:tc>
          <w:tcPr>
            <w:tcW w:w="28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140,562</w:t>
            </w:r>
          </w:p>
        </w:tc>
      </w:tr>
      <w:tr>
        <w:trPr/>
        <w:tc>
          <w:tcPr>
            <w:tcW w:w="448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Less accumulated amortization</w:t>
            </w:r>
          </w:p>
        </w:tc>
        <w:tc>
          <w:tcPr>
            <w:tcW w:w="25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7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(110,967)</w:t>
            </w:r>
          </w:p>
        </w:tc>
        <w:tc>
          <w:tcPr>
            <w:tcW w:w="109" w:type="dxa"/>
            <w:tcBorders/>
            <w:vAlign w:val="center"/>
          </w:tcPr>
          <w:p>
            <w:pPr>
              <w:pStyle w:val="TableContents"/>
              <w:bidi w:val="0"/>
              <w:spacing w:before="0" w:after="1"/>
              <w:ind w:left="0" w:right="0" w:hanging="0"/>
              <w:jc w:val="left"/>
              <w:rPr/>
            </w:pPr>
            <w:r>
              <w:rPr/>
              <w:t>​</w:t>
            </w:r>
          </w:p>
        </w:tc>
        <w:tc>
          <w:tcPr>
            <w:tcW w:w="28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(105,175)</w:t>
            </w:r>
          </w:p>
        </w:tc>
      </w:tr>
      <w:tr>
        <w:trPr/>
        <w:tc>
          <w:tcPr>
            <w:tcW w:w="44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Capitalized software, net of accumulated depreciation</w:t>
            </w:r>
          </w:p>
        </w:tc>
        <w:tc>
          <w:tcPr>
            <w:tcW w:w="250" w:type="dxa"/>
            <w:tcBorders/>
            <w:shd w:fill="CCEEFF" w:val="clear"/>
            <w:vAlign w:val="center"/>
          </w:tcPr>
          <w:p>
            <w:pPr>
              <w:pStyle w:val="TableContents"/>
              <w:bidi w:val="0"/>
              <w:spacing w:before="0" w:after="1"/>
              <w:ind w:left="0" w:right="0" w:hanging="0"/>
              <w:jc w:val="left"/>
              <w:rPr/>
            </w:pPr>
            <w:r>
              <w:rPr/>
              <w:t> </w:t>
            </w:r>
          </w:p>
        </w:tc>
        <w:tc>
          <w:tcPr>
            <w:tcW w:w="107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35,855</w:t>
            </w:r>
          </w:p>
        </w:tc>
        <w:tc>
          <w:tcPr>
            <w:tcW w:w="109" w:type="dxa"/>
            <w:tcBorders/>
            <w:shd w:fill="CCEEFF" w:val="clear"/>
            <w:vAlign w:val="center"/>
          </w:tcPr>
          <w:p>
            <w:pPr>
              <w:pStyle w:val="TableContents"/>
              <w:bidi w:val="0"/>
              <w:spacing w:before="0" w:after="1"/>
              <w:ind w:left="0" w:right="0" w:hanging="0"/>
              <w:jc w:val="left"/>
              <w:rPr/>
            </w:pPr>
            <w:r>
              <w:rPr/>
              <w:t>​</w:t>
            </w:r>
          </w:p>
        </w:tc>
        <w:tc>
          <w:tcPr>
            <w:tcW w:w="284" w:type="dxa"/>
            <w:tcBorders/>
            <w:shd w:fill="CCEEFF" w:val="clear"/>
            <w:vAlign w:val="center"/>
          </w:tcPr>
          <w:p>
            <w:pPr>
              <w:pStyle w:val="TableContents"/>
              <w:bidi w:val="0"/>
              <w:spacing w:before="0" w:after="1"/>
              <w:ind w:left="0" w:right="0" w:hanging="0"/>
              <w:jc w:val="left"/>
              <w:rPr/>
            </w:pPr>
            <w:r>
              <w:rPr/>
              <w:t> </w:t>
            </w:r>
          </w:p>
        </w:tc>
        <w:tc>
          <w:tcPr>
            <w:tcW w:w="12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35,387</w:t>
            </w:r>
          </w:p>
        </w:tc>
      </w:tr>
      <w:tr>
        <w:trPr/>
        <w:tc>
          <w:tcPr>
            <w:tcW w:w="448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In-process capitalized software</w:t>
            </w:r>
          </w:p>
        </w:tc>
        <w:tc>
          <w:tcPr>
            <w:tcW w:w="25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7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364</w:t>
            </w:r>
          </w:p>
        </w:tc>
        <w:tc>
          <w:tcPr>
            <w:tcW w:w="109" w:type="dxa"/>
            <w:tcBorders/>
            <w:vAlign w:val="center"/>
          </w:tcPr>
          <w:p>
            <w:pPr>
              <w:pStyle w:val="TableContents"/>
              <w:bidi w:val="0"/>
              <w:spacing w:before="0" w:after="1"/>
              <w:ind w:left="0" w:right="0" w:hanging="0"/>
              <w:jc w:val="left"/>
              <w:rPr/>
            </w:pPr>
            <w:r>
              <w:rPr/>
              <w:t>​</w:t>
            </w:r>
          </w:p>
        </w:tc>
        <w:tc>
          <w:tcPr>
            <w:tcW w:w="28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963</w:t>
            </w:r>
          </w:p>
        </w:tc>
      </w:tr>
      <w:tr>
        <w:trPr/>
        <w:tc>
          <w:tcPr>
            <w:tcW w:w="44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Capitalized software, net</w:t>
            </w:r>
          </w:p>
        </w:tc>
        <w:tc>
          <w:tcPr>
            <w:tcW w:w="25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7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36,219</w:t>
            </w:r>
          </w:p>
        </w:tc>
        <w:tc>
          <w:tcPr>
            <w:tcW w:w="109" w:type="dxa"/>
            <w:tcBorders/>
            <w:shd w:fill="CCEEFF" w:val="clear"/>
            <w:vAlign w:val="center"/>
          </w:tcPr>
          <w:p>
            <w:pPr>
              <w:pStyle w:val="TableContents"/>
              <w:bidi w:val="0"/>
              <w:spacing w:before="0" w:after="1"/>
              <w:ind w:left="0" w:right="0" w:hanging="0"/>
              <w:jc w:val="left"/>
              <w:rPr/>
            </w:pPr>
            <w:r>
              <w:rPr/>
              <w:t>​</w:t>
            </w:r>
          </w:p>
        </w:tc>
        <w:tc>
          <w:tcPr>
            <w:tcW w:w="28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76"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36,350</w:t>
            </w:r>
          </w:p>
        </w:tc>
      </w:tr>
    </w:tbl>
    <w:p>
      <w:pPr>
        <w:pStyle w:val="TextBody"/>
        <w:bidi w:val="0"/>
        <w:spacing w:before="0" w:after="24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Software development costs capitalized for the three months ended March 31, 2025 and 2024, were $5,661 and $5,615, respectively.</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Capitalized software amortization expense, including amortization of acquired technology, was $5,792 and $5,854 for the three months ended March 31, 2025 and 2024, respectively, and is included in cost of revenues, software subscriptions in the condensed consolidated statements of comprehensive income (loss).</w:t>
      </w:r>
    </w:p>
    <w:p>
      <w:pPr>
        <w:pStyle w:val="TextBody"/>
        <w:bidi w:val="0"/>
        <w:spacing w:before="0" w:after="240"/>
        <w:ind w:left="0" w:right="0" w:firstLine="360"/>
        <w:jc w:val="both"/>
        <w:rPr/>
      </w:pPr>
      <w:r>
        <w:rPr/>
        <w:t>​</w:t>
      </w:r>
    </w:p>
    <w:p>
      <w:pPr>
        <w:pStyle w:val="TextBody"/>
        <w:bidi w:val="0"/>
        <w:spacing w:before="0" w:after="24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646" w:type="dxa"/>
        <w:jc w:val="left"/>
        <w:tblInd w:w="0" w:type="dxa"/>
        <w:tblLayout w:type="fixed"/>
        <w:tblCellMar>
          <w:top w:w="0" w:type="dxa"/>
          <w:left w:w="0" w:type="dxa"/>
          <w:bottom w:w="0" w:type="dxa"/>
          <w:right w:w="0" w:type="dxa"/>
        </w:tblCellMar>
      </w:tblPr>
      <w:tblGrid>
        <w:gridCol w:w="6646"/>
      </w:tblGrid>
      <w:tr>
        <w:trPr/>
        <w:tc>
          <w:tcPr>
            <w:tcW w:w="6646" w:type="dxa"/>
            <w:tcBorders/>
            <w:vAlign w:val="center"/>
          </w:tcPr>
          <w:p>
            <w:pPr>
              <w:pStyle w:val="TableContents"/>
              <w:bidi w:val="0"/>
              <w:spacing w:before="0" w:after="283"/>
              <w:ind w:left="0" w:right="0" w:hanging="0"/>
              <w:jc w:val="left"/>
              <w:rPr>
                <w:sz w:val="4"/>
                <w:szCs w:val="4"/>
              </w:rPr>
            </w:pPr>
            <w:r>
              <w:rPr>
                <w:sz w:val="4"/>
                <w:szCs w:val="4"/>
              </w:rPr>
            </w:r>
          </w:p>
        </w:tc>
      </w:tr>
      <w:tr>
        <w:trPr/>
        <w:tc>
          <w:tcPr>
            <w:tcW w:w="66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Vertex, Inc. and Subsidiaries</w:t>
            </w:r>
          </w:p>
        </w:tc>
      </w:tr>
      <w:tr>
        <w:trPr/>
        <w:tc>
          <w:tcPr>
            <w:tcW w:w="66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Condensed Consolidated Financial Statements (unaudited) continued</w:t>
            </w:r>
          </w:p>
        </w:tc>
      </w:tr>
      <w:tr>
        <w:trPr/>
        <w:tc>
          <w:tcPr>
            <w:tcW w:w="66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(Amounts in thousands, except per share data) </w:t>
            </w:r>
          </w:p>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088" w:name="Tc_mg8AsREXkEWNPIFjMxIvlQ_4_0"/>
      <w:bookmarkStart w:id="1089" w:name="Tc_QJdieG-nEE2nZP8-7SRLVg_3_11"/>
      <w:bookmarkStart w:id="1090" w:name="Tc_P-ZjFSxbk06G4LizGA1DFg_3_8"/>
      <w:bookmarkStart w:id="1091" w:name="Tc_sCCUChyc4kiTmq6d3Bq8dw_3_6"/>
      <w:bookmarkStart w:id="1092" w:name="Tc_aJozkiethUCpcq6x72PejQ_3_5"/>
      <w:bookmarkStart w:id="1093" w:name="Tc_5sMUJR0NIUCfcWvwLBfq6Q_3_0"/>
      <w:bookmarkStart w:id="1094" w:name="Tc_B23rOfK9pkamhtagNxnazw_2_12"/>
      <w:bookmarkStart w:id="1095" w:name="Tc_UBR3DFBrWk6vlMnz_2WL4A_2_8"/>
      <w:bookmarkStart w:id="1096" w:name="Tc_M-VMeXanDkiwVUGGfz94PQ_2_5"/>
      <w:bookmarkStart w:id="1097" w:name="Tc_V7EUJq8jkUSbicj9GfUC7A_2_0"/>
      <w:bookmarkStart w:id="1098" w:name="Tc_tChkKkrUikqtrQ0UOm7fKg_8_8"/>
      <w:bookmarkStart w:id="1099" w:name="Tc_Wre75MfZAk2sLTs_SYy1-A_8_5"/>
      <w:bookmarkStart w:id="1100" w:name="Tc_H7ZHlMTobkSxSsqW8Zsp8Q_8_0"/>
      <w:bookmarkStart w:id="1101" w:name="Tc_74O4tfYBrUy5-pGsfBHMOA_7_0"/>
      <w:bookmarkStart w:id="1102" w:name="Tc_AlkJwUbkYEmhjnaqzpTj8g_6_8"/>
      <w:bookmarkStart w:id="1103" w:name="Tc_AMJbMqS1sEy5gHsmJV1hew_6_5"/>
      <w:bookmarkStart w:id="1104" w:name="Tc_OdUcIWaPcU-LnrHY67ajUA_6_0"/>
      <w:bookmarkStart w:id="1105" w:name="Tc_kermJGE5ckCrCkGZ77LPyg_4_0"/>
      <w:bookmarkStart w:id="1106" w:name="Tc_AlF_icrUlE-tmsZ_0QxZKg_3_6"/>
      <w:bookmarkStart w:id="1107" w:name="Tc_zp5lpxamcka_DaCiCCcSfA_2_8"/>
      <w:bookmarkStart w:id="1108" w:name="Tc_BYp76VyyoEKc-k-LtvCK8w_2_5"/>
      <w:bookmarkStart w:id="1109" w:name="Tc_pdvdPGmE8UmLkau4A1kcGQ_1_8"/>
      <w:bookmarkStart w:id="1110" w:name="Tc_4hZl-Uliw0SB9lRLzkDjOA_1_5"/>
      <w:bookmarkStart w:id="1111" w:name="Tc_L5ZYEiITu0umqExm9ai-1Q_6_5"/>
      <w:bookmarkStart w:id="1112" w:name="Tc_BZifQjWK6Umf7W8nxGe3ug_6_2"/>
      <w:bookmarkStart w:id="1113" w:name="Tc_w31w8Nm9b0iQgHt3DCGBmw_6_0"/>
      <w:bookmarkStart w:id="1114" w:name="Tc_U_ncV7fVrk-o_-6klmvfQQ_5_0"/>
      <w:bookmarkStart w:id="1115" w:name="Tc_T3-aQu5Z-UitVVcy3oOHHQ_4_5"/>
      <w:bookmarkStart w:id="1116" w:name="Tc_WH-W6fKn30yiUnRVSH9F3g_4_2"/>
      <w:bookmarkStart w:id="1117" w:name="Tc_EzuvIgQhUUuL2FS2BzD5_w_4_0"/>
      <w:bookmarkStart w:id="1118" w:name="Tc_6B8fFUjVs02UMpkKpo_ifg_3_2"/>
      <w:bookmarkStart w:id="1119" w:name="Tc_NSDLi88FsUWyEL5L3qw3SQ_2_5"/>
      <w:bookmarkStart w:id="1120" w:name="Tc_hTpk_poB90KA9Vzh0cnLOg_2_2"/>
      <w:bookmarkStart w:id="1121" w:name="Tc_TkPIQFyVH0SSex2_HEDp5A_1_5"/>
      <w:bookmarkStart w:id="1122" w:name="Tc_ZYj91RS69k-9f6QzlcNaQQ_1_2"/>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r>
        <w:rPr>
          <w:rFonts w:ascii="Times New Roman;Times;serif" w:hAnsi="Times New Roman;Times;serif"/>
          <w:b/>
          <w:sz w:val="20"/>
        </w:rPr>
        <w:t xml:space="preserve">6.    GOODWILL AND OTHER INTANGIBLE ASSETS </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 xml:space="preserve">Goodwill and other intangible assets are as follows for the periods presented: </w:t>
      </w:r>
    </w:p>
    <w:p>
      <w:pPr>
        <w:pStyle w:val="TextBody"/>
        <w:bidi w:val="0"/>
        <w:spacing w:before="0" w:after="0"/>
        <w:ind w:left="360" w:right="0" w:hanging="0"/>
        <w:jc w:val="both"/>
        <w:rPr/>
      </w:pPr>
      <w:r>
        <w:rPr/>
        <w:t>​</w:t>
      </w:r>
    </w:p>
    <w:tbl>
      <w:tblPr>
        <w:tblW w:w="5364" w:type="dxa"/>
        <w:jc w:val="left"/>
        <w:tblInd w:w="0" w:type="dxa"/>
        <w:tblLayout w:type="fixed"/>
        <w:tblCellMar>
          <w:top w:w="0" w:type="dxa"/>
          <w:left w:w="0" w:type="dxa"/>
          <w:bottom w:w="0" w:type="dxa"/>
          <w:right w:w="0" w:type="dxa"/>
        </w:tblCellMar>
      </w:tblPr>
      <w:tblGrid>
        <w:gridCol w:w="2311"/>
        <w:gridCol w:w="109"/>
        <w:gridCol w:w="271"/>
        <w:gridCol w:w="1004"/>
        <w:gridCol w:w="109"/>
        <w:gridCol w:w="297"/>
        <w:gridCol w:w="1263"/>
      </w:tblGrid>
      <w:tr>
        <w:trPr/>
        <w:tc>
          <w:tcPr>
            <w:tcW w:w="2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1467485" cy="175260"/>
                      <wp:effectExtent l="0" t="0" r="0" b="0"/>
                      <wp:wrapNone/>
                      <wp:docPr id="175" name="Frame175"/>
                      <a:graphic xmlns:a="http://schemas.openxmlformats.org/drawingml/2006/main">
                        <a:graphicData uri="http://schemas.microsoft.com/office/word/2010/wordprocessingShape">
                          <wps:wsp>
                            <wps:cNvSpPr txBox="1"/>
                            <wps:spPr>
                              <a:xfrm>
                                <a:off x="0" y="0"/>
                                <a:ext cx="1467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9215" cy="175260"/>
                      <wp:effectExtent l="0" t="0" r="0" b="0"/>
                      <wp:wrapNone/>
                      <wp:docPr id="176" name="Frame17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172085" cy="175260"/>
                      <wp:effectExtent l="0" t="0" r="0" b="0"/>
                      <wp:wrapNone/>
                      <wp:docPr id="177" name="Frame177"/>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37540" cy="175260"/>
                      <wp:effectExtent l="0" t="0" r="0" b="0"/>
                      <wp:wrapNone/>
                      <wp:docPr id="178" name="Frame178"/>
                      <a:graphic xmlns:a="http://schemas.openxmlformats.org/drawingml/2006/main">
                        <a:graphicData uri="http://schemas.microsoft.com/office/word/2010/wordprocessingShape">
                          <wps:wsp>
                            <wps:cNvSpPr txBox="1"/>
                            <wps:spPr>
                              <a:xfrm>
                                <a:off x="0" y="0"/>
                                <a:ext cx="6375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9215" cy="175260"/>
                      <wp:effectExtent l="0" t="0" r="0" b="0"/>
                      <wp:wrapNone/>
                      <wp:docPr id="179" name="Frame17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188595" cy="175260"/>
                      <wp:effectExtent l="0" t="0" r="0" b="0"/>
                      <wp:wrapNone/>
                      <wp:docPr id="180" name="Frame180"/>
                      <a:graphic xmlns:a="http://schemas.openxmlformats.org/drawingml/2006/main">
                        <a:graphicData uri="http://schemas.microsoft.com/office/word/2010/wordprocessingShape">
                          <wps:wsp>
                            <wps:cNvSpPr txBox="1"/>
                            <wps:spPr>
                              <a:xfrm>
                                <a:off x="0" y="0"/>
                                <a:ext cx="188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802005" cy="175260"/>
                      <wp:effectExtent l="0" t="0" r="0" b="0"/>
                      <wp:wrapNone/>
                      <wp:docPr id="181" name="Frame181"/>
                      <a:graphic xmlns:a="http://schemas.openxmlformats.org/drawingml/2006/main">
                        <a:graphicData uri="http://schemas.microsoft.com/office/word/2010/wordprocessingShape">
                          <wps:wsp>
                            <wps:cNvSpPr txBox="1"/>
                            <wps:spPr>
                              <a:xfrm>
                                <a:off x="0" y="0"/>
                                <a:ext cx="802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27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March 31,</w:t>
            </w:r>
          </w:p>
        </w:tc>
        <w:tc>
          <w:tcPr>
            <w:tcW w:w="109" w:type="dxa"/>
            <w:tcBorders/>
            <w:vAlign w:val="center"/>
          </w:tcPr>
          <w:p>
            <w:pPr>
              <w:pStyle w:val="TableContents"/>
              <w:bidi w:val="0"/>
              <w:spacing w:before="0" w:after="0"/>
              <w:ind w:left="0" w:right="0" w:hanging="0"/>
              <w:jc w:val="center"/>
              <w:rPr/>
            </w:pPr>
            <w:r>
              <w:rPr/>
              <w:t>​</w:t>
            </w:r>
          </w:p>
        </w:tc>
        <w:tc>
          <w:tcPr>
            <w:tcW w:w="156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23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2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center"/>
              <w:rPr/>
            </w:pPr>
            <w:r>
              <w:rPr/>
              <w:t>​</w:t>
            </w:r>
          </w:p>
        </w:tc>
        <w:tc>
          <w:tcPr>
            <w:tcW w:w="15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3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27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109" w:type="dxa"/>
            <w:tcBorders/>
            <w:vAlign w:val="center"/>
          </w:tcPr>
          <w:p>
            <w:pPr>
              <w:pStyle w:val="TableContents"/>
              <w:bidi w:val="0"/>
              <w:spacing w:before="0" w:after="0"/>
              <w:ind w:left="0" w:right="0" w:hanging="0"/>
              <w:jc w:val="center"/>
              <w:rPr/>
            </w:pPr>
            <w:r>
              <w:rPr/>
              <w:t>​</w:t>
            </w:r>
          </w:p>
        </w:tc>
        <w:tc>
          <w:tcPr>
            <w:tcW w:w="297" w:type="dxa"/>
            <w:tcBorders/>
            <w:vAlign w:val="center"/>
          </w:tcPr>
          <w:p>
            <w:pPr>
              <w:pStyle w:val="TableContents"/>
              <w:bidi w:val="0"/>
              <w:spacing w:before="0" w:after="0"/>
              <w:ind w:left="0" w:right="0" w:hanging="0"/>
              <w:jc w:val="center"/>
              <w:rPr/>
            </w:pPr>
            <w:r>
              <w:rPr/>
              <w:t>​</w:t>
            </w:r>
          </w:p>
        </w:tc>
        <w:tc>
          <w:tcPr>
            <w:tcW w:w="1263" w:type="dxa"/>
            <w:tcBorders/>
            <w:vAlign w:val="center"/>
          </w:tcPr>
          <w:p>
            <w:pPr>
              <w:pStyle w:val="TableContents"/>
              <w:bidi w:val="0"/>
              <w:spacing w:before="0" w:after="0"/>
              <w:ind w:left="0" w:right="0" w:hanging="0"/>
              <w:jc w:val="center"/>
              <w:rPr/>
            </w:pPr>
            <w:r>
              <w:rPr/>
              <w:t>​</w:t>
            </w:r>
          </w:p>
        </w:tc>
      </w:tr>
      <w:tr>
        <w:trPr/>
        <w:tc>
          <w:tcPr>
            <w:tcW w:w="2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w:t>
            </w:r>
          </w:p>
        </w:tc>
        <w:tc>
          <w:tcPr>
            <w:tcW w:w="109"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369,436</w:t>
            </w:r>
          </w:p>
        </w:tc>
        <w:tc>
          <w:tcPr>
            <w:tcW w:w="109"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357,823</w:t>
            </w:r>
          </w:p>
        </w:tc>
      </w:tr>
      <w:tr>
        <w:trPr/>
        <w:tc>
          <w:tcPr>
            <w:tcW w:w="2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intangible assets, net</w:t>
            </w:r>
          </w:p>
        </w:tc>
        <w:tc>
          <w:tcPr>
            <w:tcW w:w="109" w:type="dxa"/>
            <w:tcBorders/>
            <w:vAlign w:val="center"/>
          </w:tcPr>
          <w:p>
            <w:pPr>
              <w:pStyle w:val="TableContents"/>
              <w:bidi w:val="0"/>
              <w:spacing w:before="0" w:after="0"/>
              <w:ind w:left="0" w:right="0" w:hanging="0"/>
              <w:jc w:val="left"/>
              <w:rPr/>
            </w:pPr>
            <w:r>
              <w:rPr/>
              <w:t>​</w:t>
            </w:r>
          </w:p>
        </w:tc>
        <w:tc>
          <w:tcPr>
            <w:tcW w:w="27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4,876</w:t>
            </w:r>
          </w:p>
        </w:tc>
        <w:tc>
          <w:tcPr>
            <w:tcW w:w="109" w:type="dxa"/>
            <w:tcBorders/>
            <w:vAlign w:val="center"/>
          </w:tcPr>
          <w:p>
            <w:pPr>
              <w:pStyle w:val="TableContents"/>
              <w:bidi w:val="0"/>
              <w:spacing w:before="0" w:after="0"/>
              <w:ind w:left="0" w:right="0" w:hanging="0"/>
              <w:jc w:val="left"/>
              <w:rPr/>
            </w:pPr>
            <w:r>
              <w:rPr/>
              <w:t>​</w:t>
            </w:r>
          </w:p>
        </w:tc>
        <w:tc>
          <w:tcPr>
            <w:tcW w:w="29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6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5,198</w:t>
            </w:r>
          </w:p>
        </w:tc>
      </w:tr>
      <w:tr>
        <w:trPr/>
        <w:tc>
          <w:tcPr>
            <w:tcW w:w="2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109" w:type="dxa"/>
            <w:tcBorders/>
            <w:shd w:fill="CCEEFF" w:val="clear"/>
            <w:vAlign w:val="center"/>
          </w:tcPr>
          <w:p>
            <w:pPr>
              <w:pStyle w:val="TableContents"/>
              <w:bidi w:val="0"/>
              <w:spacing w:before="0" w:after="0"/>
              <w:ind w:left="0" w:right="0" w:hanging="0"/>
              <w:jc w:val="left"/>
              <w:rPr/>
            </w:pPr>
            <w:r>
              <w:rPr/>
              <w:t>​</w:t>
            </w:r>
          </w:p>
        </w:tc>
        <w:tc>
          <w:tcPr>
            <w:tcW w:w="27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374,312</w:t>
            </w:r>
          </w:p>
        </w:tc>
        <w:tc>
          <w:tcPr>
            <w:tcW w:w="109" w:type="dxa"/>
            <w:tcBorders/>
            <w:shd w:fill="CCEEFF" w:val="clear"/>
            <w:vAlign w:val="center"/>
          </w:tcPr>
          <w:p>
            <w:pPr>
              <w:pStyle w:val="TableContents"/>
              <w:bidi w:val="0"/>
              <w:spacing w:before="0" w:after="0"/>
              <w:ind w:left="0" w:right="0" w:hanging="0"/>
              <w:jc w:val="left"/>
              <w:rPr/>
            </w:pPr>
            <w:r>
              <w:rPr/>
              <w:t>​</w:t>
            </w:r>
          </w:p>
        </w:tc>
        <w:tc>
          <w:tcPr>
            <w:tcW w:w="29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3"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363,021</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Company has recognized various amortizable other intangible assets in connection with acquisitions related to customer relationships, technology, and tradenames. The following tables provide additional information for other intangible assets, which are individually not material to the condensed consolidated financial statements, for the periods presented: </w:t>
      </w:r>
    </w:p>
    <w:p>
      <w:pPr>
        <w:pStyle w:val="TextBody"/>
        <w:bidi w:val="0"/>
        <w:spacing w:before="0" w:after="0"/>
        <w:ind w:left="0" w:right="0" w:hanging="0"/>
        <w:jc w:val="left"/>
        <w:rPr/>
      </w:pPr>
      <w:r>
        <w:rPr/>
        <w:t>​</w:t>
      </w:r>
    </w:p>
    <w:tbl>
      <w:tblPr>
        <w:tblW w:w="7296" w:type="dxa"/>
        <w:jc w:val="left"/>
        <w:tblInd w:w="0" w:type="dxa"/>
        <w:tblLayout w:type="fixed"/>
        <w:tblCellMar>
          <w:top w:w="0" w:type="dxa"/>
          <w:left w:w="0" w:type="dxa"/>
          <w:bottom w:w="0" w:type="dxa"/>
          <w:right w:w="0" w:type="dxa"/>
        </w:tblCellMar>
      </w:tblPr>
      <w:tblGrid>
        <w:gridCol w:w="3826"/>
        <w:gridCol w:w="109"/>
        <w:gridCol w:w="109"/>
        <w:gridCol w:w="109"/>
        <w:gridCol w:w="109"/>
        <w:gridCol w:w="240"/>
        <w:gridCol w:w="1080"/>
        <w:gridCol w:w="109"/>
        <w:gridCol w:w="322"/>
        <w:gridCol w:w="1283"/>
      </w:tblGrid>
      <w:tr>
        <w:trPr/>
        <w:tc>
          <w:tcPr>
            <w:tcW w:w="3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2429510" cy="175260"/>
                      <wp:effectExtent l="0" t="0" r="0" b="0"/>
                      <wp:wrapNone/>
                      <wp:docPr id="182" name="Frame182"/>
                      <a:graphic xmlns:a="http://schemas.openxmlformats.org/drawingml/2006/main">
                        <a:graphicData uri="http://schemas.microsoft.com/office/word/2010/wordprocessingShape">
                          <wps:wsp>
                            <wps:cNvSpPr txBox="1"/>
                            <wps:spPr>
                              <a:xfrm>
                                <a:off x="0" y="0"/>
                                <a:ext cx="2429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9215" cy="175260"/>
                      <wp:effectExtent l="0" t="0" r="0" b="0"/>
                      <wp:wrapNone/>
                      <wp:docPr id="183" name="Frame18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9215" cy="175260"/>
                      <wp:effectExtent l="0" t="0" r="0" b="0"/>
                      <wp:wrapNone/>
                      <wp:docPr id="184" name="Frame18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9215" cy="175260"/>
                      <wp:effectExtent l="0" t="0" r="0" b="0"/>
                      <wp:wrapNone/>
                      <wp:docPr id="185" name="Frame18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9215" cy="175260"/>
                      <wp:effectExtent l="0" t="0" r="0" b="0"/>
                      <wp:wrapNone/>
                      <wp:docPr id="186" name="Frame18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152400" cy="175260"/>
                      <wp:effectExtent l="0" t="0" r="0" b="0"/>
                      <wp:wrapNone/>
                      <wp:docPr id="187" name="Frame187"/>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85800" cy="175260"/>
                      <wp:effectExtent l="0" t="0" r="0" b="0"/>
                      <wp:wrapNone/>
                      <wp:docPr id="188" name="Frame188"/>
                      <a:graphic xmlns:a="http://schemas.openxmlformats.org/drawingml/2006/main">
                        <a:graphicData uri="http://schemas.microsoft.com/office/word/2010/wordprocessingShape">
                          <wps:wsp>
                            <wps:cNvSpPr txBox="1"/>
                            <wps:spPr>
                              <a:xfrm>
                                <a:off x="0" y="0"/>
                                <a:ext cx="685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9215" cy="175260"/>
                      <wp:effectExtent l="0" t="0" r="0" b="0"/>
                      <wp:wrapNone/>
                      <wp:docPr id="189" name="Frame18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204470" cy="175260"/>
                      <wp:effectExtent l="0" t="0" r="0" b="0"/>
                      <wp:wrapNone/>
                      <wp:docPr id="190" name="Frame190"/>
                      <a:graphic xmlns:a="http://schemas.openxmlformats.org/drawingml/2006/main">
                        <a:graphicData uri="http://schemas.microsoft.com/office/word/2010/wordprocessingShape">
                          <wps:wsp>
                            <wps:cNvSpPr txBox="1"/>
                            <wps:spPr>
                              <a:xfrm>
                                <a:off x="0" y="0"/>
                                <a:ext cx="2044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814705" cy="175260"/>
                      <wp:effectExtent l="0" t="0" r="0" b="0"/>
                      <wp:wrapNone/>
                      <wp:docPr id="191" name="Frame191"/>
                      <a:graphic xmlns:a="http://schemas.openxmlformats.org/drawingml/2006/main">
                        <a:graphicData uri="http://schemas.microsoft.com/office/word/2010/wordprocessingShape">
                          <wps:wsp>
                            <wps:cNvSpPr txBox="1"/>
                            <wps:spPr>
                              <a:xfrm>
                                <a:off x="0" y="0"/>
                                <a:ext cx="8147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2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32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March 31, </w:t>
            </w:r>
          </w:p>
        </w:tc>
        <w:tc>
          <w:tcPr>
            <w:tcW w:w="109" w:type="dxa"/>
            <w:tcBorders/>
            <w:vAlign w:val="center"/>
          </w:tcPr>
          <w:p>
            <w:pPr>
              <w:pStyle w:val="TableContents"/>
              <w:bidi w:val="0"/>
              <w:spacing w:before="0" w:after="0"/>
              <w:ind w:left="0" w:right="0" w:hanging="0"/>
              <w:jc w:val="center"/>
              <w:rPr/>
            </w:pPr>
            <w:r>
              <w:rPr/>
              <w:t>​</w:t>
            </w:r>
          </w:p>
        </w:tc>
        <w:tc>
          <w:tcPr>
            <w:tcW w:w="160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382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3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center"/>
              <w:rPr/>
            </w:pPr>
            <w:r>
              <w:rPr/>
              <w:t>​</w:t>
            </w:r>
          </w:p>
        </w:tc>
        <w:tc>
          <w:tcPr>
            <w:tcW w:w="16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82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40" w:type="dxa"/>
            <w:tcBorders/>
            <w:vAlign w:val="center"/>
          </w:tcPr>
          <w:p>
            <w:pPr>
              <w:pStyle w:val="TableContents"/>
              <w:bidi w:val="0"/>
              <w:spacing w:before="0" w:after="0"/>
              <w:ind w:left="0" w:right="0" w:hanging="0"/>
              <w:jc w:val="center"/>
              <w:rPr/>
            </w:pPr>
            <w:r>
              <w:rPr/>
              <w:t>​</w:t>
            </w:r>
          </w:p>
        </w:tc>
        <w:tc>
          <w:tcPr>
            <w:tcW w:w="1080"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109" w:type="dxa"/>
            <w:tcBorders/>
            <w:vAlign w:val="center"/>
          </w:tcPr>
          <w:p>
            <w:pPr>
              <w:pStyle w:val="TableContents"/>
              <w:bidi w:val="0"/>
              <w:spacing w:before="0" w:after="0"/>
              <w:ind w:left="0" w:right="0" w:hanging="0"/>
              <w:jc w:val="center"/>
              <w:rPr/>
            </w:pPr>
            <w:r>
              <w:rPr/>
              <w:t>​</w:t>
            </w:r>
          </w:p>
        </w:tc>
        <w:tc>
          <w:tcPr>
            <w:tcW w:w="322" w:type="dxa"/>
            <w:tcBorders/>
            <w:vAlign w:val="center"/>
          </w:tcPr>
          <w:p>
            <w:pPr>
              <w:pStyle w:val="TableContents"/>
              <w:bidi w:val="0"/>
              <w:spacing w:before="0" w:after="0"/>
              <w:ind w:left="0" w:right="0" w:hanging="0"/>
              <w:jc w:val="center"/>
              <w:rPr/>
            </w:pPr>
            <w:r>
              <w:rPr/>
              <w:t>​</w:t>
            </w:r>
          </w:p>
        </w:tc>
        <w:tc>
          <w:tcPr>
            <w:tcW w:w="1283" w:type="dxa"/>
            <w:tcBorders/>
            <w:vAlign w:val="center"/>
          </w:tcPr>
          <w:p>
            <w:pPr>
              <w:pStyle w:val="TableContents"/>
              <w:bidi w:val="0"/>
              <w:spacing w:before="0" w:after="0"/>
              <w:ind w:left="0" w:right="0" w:hanging="0"/>
              <w:jc w:val="center"/>
              <w:rPr/>
            </w:pPr>
            <w:r>
              <w:rPr/>
              <w:t>​</w:t>
            </w:r>
          </w:p>
        </w:tc>
      </w:tr>
      <w:tr>
        <w:trPr/>
        <w:tc>
          <w:tcPr>
            <w:tcW w:w="38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amortization period (years)</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40"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108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109" w:type="dxa"/>
            <w:tcBorders/>
            <w:shd w:fill="CCEEFF" w:val="clear"/>
            <w:vAlign w:val="center"/>
          </w:tcPr>
          <w:p>
            <w:pPr>
              <w:pStyle w:val="TableContents"/>
              <w:bidi w:val="0"/>
              <w:spacing w:before="0" w:after="0"/>
              <w:ind w:left="0" w:right="0" w:hanging="0"/>
              <w:jc w:val="center"/>
              <w:rPr/>
            </w:pPr>
            <w:r>
              <w:rPr/>
              <w:t>​</w:t>
            </w:r>
          </w:p>
        </w:tc>
        <w:tc>
          <w:tcPr>
            <w:tcW w:w="322"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128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38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40" w:type="dxa"/>
            <w:tcBorders/>
            <w:vAlign w:val="center"/>
          </w:tcPr>
          <w:p>
            <w:pPr>
              <w:pStyle w:val="TableContents"/>
              <w:bidi w:val="0"/>
              <w:spacing w:before="0" w:after="0"/>
              <w:ind w:left="0" w:right="0" w:hanging="0"/>
              <w:jc w:val="center"/>
              <w:rPr/>
            </w:pPr>
            <w:r>
              <w:rPr/>
              <w:t>​</w:t>
            </w:r>
          </w:p>
        </w:tc>
        <w:tc>
          <w:tcPr>
            <w:tcW w:w="1080"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322" w:type="dxa"/>
            <w:tcBorders/>
            <w:vAlign w:val="center"/>
          </w:tcPr>
          <w:p>
            <w:pPr>
              <w:pStyle w:val="TableContents"/>
              <w:bidi w:val="0"/>
              <w:spacing w:before="0" w:after="0"/>
              <w:ind w:left="0" w:right="0" w:hanging="0"/>
              <w:jc w:val="center"/>
              <w:rPr/>
            </w:pPr>
            <w:r>
              <w:rPr/>
              <w:t>​</w:t>
            </w:r>
          </w:p>
        </w:tc>
        <w:tc>
          <w:tcPr>
            <w:tcW w:w="1283" w:type="dxa"/>
            <w:tcBorders/>
            <w:vAlign w:val="center"/>
          </w:tcPr>
          <w:p>
            <w:pPr>
              <w:pStyle w:val="TableContents"/>
              <w:bidi w:val="0"/>
              <w:spacing w:before="0" w:after="0"/>
              <w:ind w:left="0" w:right="0" w:hanging="0"/>
              <w:jc w:val="center"/>
              <w:rPr/>
            </w:pPr>
            <w:r>
              <w:rPr/>
              <w:t>​</w:t>
            </w:r>
          </w:p>
        </w:tc>
      </w:tr>
      <w:tr>
        <w:trPr/>
        <w:tc>
          <w:tcPr>
            <w:tcW w:w="38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value</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16,291</w:t>
            </w:r>
          </w:p>
        </w:tc>
        <w:tc>
          <w:tcPr>
            <w:tcW w:w="109" w:type="dxa"/>
            <w:tcBorders/>
            <w:shd w:fill="CCEEFF" w:val="clear"/>
            <w:vAlign w:val="center"/>
          </w:tcPr>
          <w:p>
            <w:pPr>
              <w:pStyle w:val="TableContents"/>
              <w:bidi w:val="0"/>
              <w:spacing w:before="0" w:after="0"/>
              <w:ind w:left="0" w:right="0" w:hanging="0"/>
              <w:jc w:val="center"/>
              <w:rPr/>
            </w:pPr>
            <w:r>
              <w:rPr/>
              <w:t>​</w:t>
            </w:r>
          </w:p>
        </w:tc>
        <w:tc>
          <w:tcPr>
            <w:tcW w:w="3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15,818</w:t>
            </w:r>
          </w:p>
        </w:tc>
      </w:tr>
      <w:tr>
        <w:trPr/>
        <w:tc>
          <w:tcPr>
            <w:tcW w:w="38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amortization</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40"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08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(11,415)</w:t>
            </w:r>
          </w:p>
        </w:tc>
        <w:tc>
          <w:tcPr>
            <w:tcW w:w="109" w:type="dxa"/>
            <w:tcBorders/>
            <w:vAlign w:val="center"/>
          </w:tcPr>
          <w:p>
            <w:pPr>
              <w:pStyle w:val="TableContents"/>
              <w:bidi w:val="0"/>
              <w:spacing w:before="0" w:after="0"/>
              <w:ind w:left="0" w:right="0" w:hanging="0"/>
              <w:jc w:val="center"/>
              <w:rPr/>
            </w:pPr>
            <w:r>
              <w:rPr/>
              <w:t>​</w:t>
            </w:r>
          </w:p>
        </w:tc>
        <w:tc>
          <w:tcPr>
            <w:tcW w:w="322"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28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(10,620)</w:t>
            </w:r>
          </w:p>
        </w:tc>
      </w:tr>
      <w:tr>
        <w:trPr/>
        <w:tc>
          <w:tcPr>
            <w:tcW w:w="382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Carrying value</w:t>
            </w:r>
          </w:p>
        </w:tc>
        <w:tc>
          <w:tcPr>
            <w:tcW w:w="109" w:type="dxa"/>
            <w:tcBorders/>
            <w:shd w:fill="CCEEFF" w:val="clear"/>
            <w:vAlign w:val="center"/>
          </w:tcPr>
          <w:p>
            <w:pPr>
              <w:pStyle w:val="TableContents"/>
              <w:bidi w:val="0"/>
              <w:spacing w:before="0" w:after="0"/>
              <w:ind w:left="0" w:right="0" w:hanging="0"/>
              <w:jc w:val="both"/>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4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4,876</w:t>
            </w:r>
          </w:p>
        </w:tc>
        <w:tc>
          <w:tcPr>
            <w:tcW w:w="109" w:type="dxa"/>
            <w:tcBorders/>
            <w:shd w:fill="CCEEFF" w:val="clear"/>
            <w:vAlign w:val="center"/>
          </w:tcPr>
          <w:p>
            <w:pPr>
              <w:pStyle w:val="TableContents"/>
              <w:bidi w:val="0"/>
              <w:spacing w:before="0" w:after="0"/>
              <w:ind w:left="0" w:right="0" w:hanging="0"/>
              <w:jc w:val="left"/>
              <w:rPr/>
            </w:pPr>
            <w:r>
              <w:rPr/>
              <w:t>​</w:t>
            </w:r>
          </w:p>
        </w:tc>
        <w:tc>
          <w:tcPr>
            <w:tcW w:w="32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83"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5,198</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 presents amortization of other intangible assets:</w:t>
      </w:r>
    </w:p>
    <w:p>
      <w:pPr>
        <w:pStyle w:val="TextBody"/>
        <w:bidi w:val="0"/>
        <w:spacing w:before="0" w:after="0"/>
        <w:ind w:left="0" w:right="0" w:firstLine="360"/>
        <w:jc w:val="both"/>
        <w:rPr/>
      </w:pPr>
      <w:r>
        <w:rPr/>
        <w:t>​</w:t>
      </w:r>
    </w:p>
    <w:tbl>
      <w:tblPr>
        <w:tblW w:w="10205" w:type="dxa"/>
        <w:jc w:val="left"/>
        <w:tblInd w:w="0" w:type="dxa"/>
        <w:tblLayout w:type="fixed"/>
        <w:tblCellMar>
          <w:top w:w="0" w:type="dxa"/>
          <w:left w:w="0" w:type="dxa"/>
          <w:bottom w:w="0" w:type="dxa"/>
          <w:right w:w="0" w:type="dxa"/>
        </w:tblCellMar>
      </w:tblPr>
      <w:tblGrid>
        <w:gridCol w:w="3150"/>
        <w:gridCol w:w="109"/>
        <w:gridCol w:w="109"/>
        <w:gridCol w:w="109"/>
        <w:gridCol w:w="326"/>
        <w:gridCol w:w="1168"/>
        <w:gridCol w:w="1922"/>
        <w:gridCol w:w="326"/>
        <w:gridCol w:w="497"/>
        <w:gridCol w:w="998"/>
        <w:gridCol w:w="109"/>
        <w:gridCol w:w="211"/>
        <w:gridCol w:w="1171"/>
      </w:tblGrid>
      <w:tr>
        <w:trPr/>
        <w:tc>
          <w:tcPr>
            <w:tcW w:w="31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2000250" cy="175260"/>
                      <wp:effectExtent l="0" t="0" r="0" b="0"/>
                      <wp:wrapNone/>
                      <wp:docPr id="192" name="Frame192"/>
                      <a:graphic xmlns:a="http://schemas.openxmlformats.org/drawingml/2006/main">
                        <a:graphicData uri="http://schemas.microsoft.com/office/word/2010/wordprocessingShape">
                          <wps:wsp>
                            <wps:cNvSpPr txBox="1"/>
                            <wps:spPr>
                              <a:xfrm>
                                <a:off x="0" y="0"/>
                                <a:ext cx="2000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9215" cy="175260"/>
                      <wp:effectExtent l="0" t="0" r="0" b="0"/>
                      <wp:wrapNone/>
                      <wp:docPr id="193" name="Frame19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9215" cy="175260"/>
                      <wp:effectExtent l="0" t="0" r="0" b="0"/>
                      <wp:wrapNone/>
                      <wp:docPr id="194" name="Frame19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9215" cy="175260"/>
                      <wp:effectExtent l="0" t="0" r="0" b="0"/>
                      <wp:wrapNone/>
                      <wp:docPr id="195" name="Frame19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207010" cy="175260"/>
                      <wp:effectExtent l="0" t="0" r="0" b="0"/>
                      <wp:wrapNone/>
                      <wp:docPr id="196" name="Frame19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741680" cy="175260"/>
                      <wp:effectExtent l="0" t="0" r="0" b="0"/>
                      <wp:wrapNone/>
                      <wp:docPr id="197" name="Frame197"/>
                      <a:graphic xmlns:a="http://schemas.openxmlformats.org/drawingml/2006/main">
                        <a:graphicData uri="http://schemas.microsoft.com/office/word/2010/wordprocessingShape">
                          <wps:wsp>
                            <wps:cNvSpPr txBox="1"/>
                            <wps:spPr>
                              <a:xfrm>
                                <a:off x="0" y="0"/>
                                <a:ext cx="7416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1220470" cy="175260"/>
                      <wp:effectExtent l="0" t="0" r="0" b="0"/>
                      <wp:wrapNone/>
                      <wp:docPr id="198" name="Frame198"/>
                      <a:graphic xmlns:a="http://schemas.openxmlformats.org/drawingml/2006/main">
                        <a:graphicData uri="http://schemas.microsoft.com/office/word/2010/wordprocessingShape">
                          <wps:wsp>
                            <wps:cNvSpPr txBox="1"/>
                            <wps:spPr>
                              <a:xfrm>
                                <a:off x="0" y="0"/>
                                <a:ext cx="12204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207010" cy="175260"/>
                      <wp:effectExtent l="0" t="0" r="0" b="0"/>
                      <wp:wrapNone/>
                      <wp:docPr id="199" name="Frame19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315595" cy="175260"/>
                      <wp:effectExtent l="0" t="0" r="0" b="0"/>
                      <wp:wrapNone/>
                      <wp:docPr id="200" name="Frame200"/>
                      <a:graphic xmlns:a="http://schemas.openxmlformats.org/drawingml/2006/main">
                        <a:graphicData uri="http://schemas.microsoft.com/office/word/2010/wordprocessingShape">
                          <wps:wsp>
                            <wps:cNvSpPr txBox="1"/>
                            <wps:spPr>
                              <a:xfrm>
                                <a:off x="0" y="0"/>
                                <a:ext cx="315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33730" cy="175260"/>
                      <wp:effectExtent l="0" t="0" r="0" b="0"/>
                      <wp:wrapNone/>
                      <wp:docPr id="201" name="Frame201"/>
                      <a:graphic xmlns:a="http://schemas.openxmlformats.org/drawingml/2006/main">
                        <a:graphicData uri="http://schemas.microsoft.com/office/word/2010/wordprocessingShape">
                          <wps:wsp>
                            <wps:cNvSpPr txBox="1"/>
                            <wps:spPr>
                              <a:xfrm>
                                <a:off x="0" y="0"/>
                                <a:ext cx="6337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9215" cy="175260"/>
                      <wp:effectExtent l="0" t="0" r="0" b="0"/>
                      <wp:wrapNone/>
                      <wp:docPr id="202" name="Frame20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133985" cy="175260"/>
                      <wp:effectExtent l="0" t="0" r="0" b="0"/>
                      <wp:wrapNone/>
                      <wp:docPr id="203" name="Frame20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743585" cy="175260"/>
                      <wp:effectExtent l="0" t="0" r="0" b="0"/>
                      <wp:wrapNone/>
                      <wp:docPr id="204" name="Frame204"/>
                      <a:graphic xmlns:a="http://schemas.openxmlformats.org/drawingml/2006/main">
                        <a:graphicData uri="http://schemas.microsoft.com/office/word/2010/wordprocessingShape">
                          <wps:wsp>
                            <wps:cNvSpPr txBox="1"/>
                            <wps:spPr>
                              <a:xfrm>
                                <a:off x="0" y="0"/>
                                <a:ext cx="743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50"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168" w:type="dxa"/>
            <w:tcBorders/>
            <w:vAlign w:val="center"/>
          </w:tcPr>
          <w:p>
            <w:pPr>
              <w:pStyle w:val="TableContents"/>
              <w:bidi w:val="0"/>
              <w:spacing w:before="0" w:after="0"/>
              <w:ind w:left="0" w:right="0" w:hanging="0"/>
              <w:jc w:val="left"/>
              <w:rPr/>
            </w:pPr>
            <w:r>
              <w:rPr/>
              <w:t>​</w:t>
            </w:r>
          </w:p>
        </w:tc>
        <w:tc>
          <w:tcPr>
            <w:tcW w:w="192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97" w:type="dxa"/>
            <w:tcBorders/>
            <w:vAlign w:val="center"/>
          </w:tcPr>
          <w:p>
            <w:pPr>
              <w:pStyle w:val="TableContents"/>
              <w:bidi w:val="0"/>
              <w:spacing w:before="0" w:after="0"/>
              <w:ind w:left="0" w:right="0" w:hanging="0"/>
              <w:jc w:val="left"/>
              <w:rPr/>
            </w:pPr>
            <w:r>
              <w:rPr/>
              <w:t>​</w:t>
            </w:r>
          </w:p>
        </w:tc>
        <w:tc>
          <w:tcPr>
            <w:tcW w:w="99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1171" w:type="dxa"/>
            <w:tcBorders/>
            <w:vAlign w:val="center"/>
          </w:tcPr>
          <w:p>
            <w:pPr>
              <w:pStyle w:val="TableContents"/>
              <w:bidi w:val="0"/>
              <w:spacing w:before="0" w:after="0"/>
              <w:ind w:left="0" w:right="0" w:hanging="0"/>
              <w:jc w:val="right"/>
              <w:rPr/>
            </w:pPr>
            <w:r>
              <w:rPr/>
              <w:t>​</w:t>
            </w:r>
          </w:p>
        </w:tc>
      </w:tr>
      <w:tr>
        <w:trPr/>
        <w:tc>
          <w:tcPr>
            <w:tcW w:w="315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 xml:space="preserve">For the three months ended March 31,  </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8"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30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Cost of Revenues, Software Subscriptions</w:t>
            </w:r>
          </w:p>
        </w:tc>
        <w:tc>
          <w:tcPr>
            <w:tcW w:w="326" w:type="dxa"/>
            <w:tcBorders/>
            <w:vAlign w:val="center"/>
          </w:tcPr>
          <w:p>
            <w:pPr>
              <w:pStyle w:val="TableContents"/>
              <w:bidi w:val="0"/>
              <w:spacing w:before="0" w:after="0"/>
              <w:ind w:left="0" w:right="0" w:hanging="0"/>
              <w:jc w:val="left"/>
              <w:rPr/>
            </w:pPr>
            <w:r>
              <w:rPr/>
              <w:t>​</w:t>
            </w:r>
          </w:p>
        </w:tc>
        <w:tc>
          <w:tcPr>
            <w:tcW w:w="14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Selling and</w:t>
              <w:br/>
              <w:t>Marketing Expense</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11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Expense</w:t>
            </w:r>
          </w:p>
        </w:tc>
      </w:tr>
      <w:tr>
        <w:trPr/>
        <w:tc>
          <w:tcPr>
            <w:tcW w:w="31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1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92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4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531</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531</w:t>
            </w:r>
          </w:p>
        </w:tc>
      </w:tr>
      <w:tr>
        <w:trPr/>
        <w:tc>
          <w:tcPr>
            <w:tcW w:w="31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2024</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168" w:type="dxa"/>
            <w:tcBorders/>
            <w:vAlign w:val="center"/>
          </w:tcPr>
          <w:p>
            <w:pPr>
              <w:pStyle w:val="TableContents"/>
              <w:bidi w:val="0"/>
              <w:spacing w:before="0" w:after="0"/>
              <w:ind w:left="0" w:right="0" w:hanging="0"/>
              <w:jc w:val="left"/>
              <w:rPr/>
            </w:pPr>
            <w:r>
              <w:rPr/>
              <w:t>​</w:t>
            </w:r>
          </w:p>
        </w:tc>
        <w:tc>
          <w:tcPr>
            <w:tcW w:w="19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c>
          <w:tcPr>
            <w:tcW w:w="326" w:type="dxa"/>
            <w:tcBorders/>
            <w:vAlign w:val="center"/>
          </w:tcPr>
          <w:p>
            <w:pPr>
              <w:pStyle w:val="TableContents"/>
              <w:bidi w:val="0"/>
              <w:spacing w:before="0" w:after="0"/>
              <w:ind w:left="0" w:right="0" w:hanging="0"/>
              <w:jc w:val="left"/>
              <w:rPr/>
            </w:pPr>
            <w:r>
              <w:rPr/>
              <w:t>    </w:t>
            </w:r>
          </w:p>
        </w:tc>
        <w:tc>
          <w:tcPr>
            <w:tcW w:w="497" w:type="dxa"/>
            <w:tcBorders/>
            <w:vAlign w:val="center"/>
          </w:tcPr>
          <w:p>
            <w:pPr>
              <w:pStyle w:val="TableContents"/>
              <w:bidi w:val="0"/>
              <w:spacing w:before="0" w:after="0"/>
              <w:ind w:left="0" w:right="0" w:hanging="0"/>
              <w:jc w:val="left"/>
              <w:rPr/>
            </w:pPr>
            <w:r>
              <w:rPr/>
              <w:t>​</w:t>
            </w:r>
          </w:p>
        </w:tc>
        <w:tc>
          <w:tcPr>
            <w:tcW w:w="9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595</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1171" w:type="dxa"/>
            <w:tcBorders/>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656</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646" w:type="dxa"/>
        <w:jc w:val="left"/>
        <w:tblInd w:w="0" w:type="dxa"/>
        <w:tblLayout w:type="fixed"/>
        <w:tblCellMar>
          <w:top w:w="0" w:type="dxa"/>
          <w:left w:w="0" w:type="dxa"/>
          <w:bottom w:w="0" w:type="dxa"/>
          <w:right w:w="0" w:type="dxa"/>
        </w:tblCellMar>
      </w:tblPr>
      <w:tblGrid>
        <w:gridCol w:w="6646"/>
      </w:tblGrid>
      <w:tr>
        <w:trPr/>
        <w:tc>
          <w:tcPr>
            <w:tcW w:w="6646" w:type="dxa"/>
            <w:tcBorders/>
            <w:vAlign w:val="center"/>
          </w:tcPr>
          <w:p>
            <w:pPr>
              <w:pStyle w:val="TableContents"/>
              <w:bidi w:val="0"/>
              <w:spacing w:before="0" w:after="283"/>
              <w:ind w:left="0" w:right="0" w:hanging="0"/>
              <w:jc w:val="left"/>
              <w:rPr>
                <w:sz w:val="4"/>
                <w:szCs w:val="4"/>
              </w:rPr>
            </w:pPr>
            <w:r>
              <w:rPr>
                <w:sz w:val="4"/>
                <w:szCs w:val="4"/>
              </w:rPr>
            </w:r>
          </w:p>
        </w:tc>
      </w:tr>
      <w:tr>
        <w:trPr/>
        <w:tc>
          <w:tcPr>
            <w:tcW w:w="66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Vertex, Inc. and Subsidiaries</w:t>
            </w:r>
          </w:p>
        </w:tc>
      </w:tr>
      <w:tr>
        <w:trPr/>
        <w:tc>
          <w:tcPr>
            <w:tcW w:w="66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Condensed Consolidated Financial Statements (unaudited) continued</w:t>
            </w:r>
          </w:p>
        </w:tc>
      </w:tr>
      <w:tr>
        <w:trPr/>
        <w:tc>
          <w:tcPr>
            <w:tcW w:w="66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(Amounts in thousands, except per share data) </w:t>
            </w:r>
          </w:p>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123" w:name="Tc_29JhHL7xOU-EXlpjNPbmlA_4_16"/>
      <w:bookmarkStart w:id="1124" w:name="Tc_E0RRCKc9rEKNITKZetjcCw_4_13"/>
      <w:bookmarkStart w:id="1125" w:name="Tc_0B98WCEAP0qPiYtQ8xA84w_4_10"/>
      <w:bookmarkStart w:id="1126" w:name="Tc_6GZ4XQAFjUu3uIza_4n0vQ_4_7"/>
      <w:bookmarkStart w:id="1127" w:name="Tc_t3cITgJV8USKLIN9H8kHrg_4_4"/>
      <w:bookmarkStart w:id="1128" w:name="Tc_qVZI0EgMK0y3-3572z_-dg_4_1"/>
      <w:bookmarkStart w:id="1129" w:name="Tc_wQiYK0Z-z0-nGrHqaq0beA_4_0"/>
      <w:bookmarkStart w:id="1130" w:name="Tc_K6r0_yXOGkyQ65k3NML4NA_3_0"/>
      <w:bookmarkStart w:id="1131" w:name="Tc_ikllRClcX0ipq63l2c8X6w_2_17"/>
      <w:bookmarkStart w:id="1132" w:name="Tc_n1-scPxD8kCD3RyyAXslOg_2_14"/>
      <w:bookmarkStart w:id="1133" w:name="Tc_jj0doRJyA0Ci-yum0QVL4w_2_11"/>
      <w:bookmarkStart w:id="1134" w:name="Tc_eHSMYmpS1ki9M-51wA5_8w_2_8"/>
      <w:bookmarkStart w:id="1135" w:name="Tc_Kg4BCGCug0imYiD59C9-xw_2_5"/>
      <w:bookmarkStart w:id="1136" w:name="Tc_snbWZoWFQkKnY0gFhBBiYQ_2_2"/>
      <w:bookmarkStart w:id="1137" w:name="Tc_H_5bilf7IUiGmqrMCZN-qg_1_10"/>
      <w:bookmarkStart w:id="1138" w:name="Tc_ZuINBIJIPU-1hTOWB5m4ow_1_1"/>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r>
        <w:rPr>
          <w:rFonts w:ascii="Times New Roman;Times;serif" w:hAnsi="Times New Roman;Times;serif"/>
          <w:b/>
          <w:i w:val="false"/>
          <w:caps w:val="false"/>
          <w:smallCaps w:val="false"/>
          <w:sz w:val="20"/>
        </w:rPr>
        <w:t>7.</w:t>
      </w:r>
      <w:r>
        <w:rPr>
          <w:rFonts w:ascii="Times New Roman;Times;serif" w:hAnsi="Times New Roman;Times;serif"/>
          <w:b/>
          <w:sz w:val="20"/>
        </w:rPr>
        <w:t xml:space="preserve">DEBT </w:t>
      </w:r>
    </w:p>
    <w:p>
      <w:pPr>
        <w:pStyle w:val="TextBody"/>
        <w:bidi w:val="0"/>
        <w:spacing w:before="0" w:after="240"/>
        <w:ind w:left="360" w:right="0" w:hanging="0"/>
        <w:jc w:val="left"/>
        <w:rPr>
          <w:rFonts w:ascii="Times New Roman;Times;serif" w:hAnsi="Times New Roman;Times;serif"/>
          <w:b/>
          <w:sz w:val="20"/>
        </w:rPr>
      </w:pPr>
      <w:r>
        <w:rPr>
          <w:rFonts w:ascii="Times New Roman;Times;serif" w:hAnsi="Times New Roman;Times;serif"/>
          <w:b/>
          <w:sz w:val="20"/>
        </w:rPr>
        <w:t xml:space="preserve">Credit Agreement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has a credit agreement (“Credit Agreement”) with a banking syndicate, which initially provided (i) a term loan in the aggregate amount of $50,000 (the “Term Loan”); and (ii) a $200,000 revolving facility (the “Line of Credit”). On May 10, 2024, the Company repaid the outstanding Term Loan balance in full.</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On November 4, 2024, the Company entered into a Fifth Amendment to the Credit Agreement (the “Fifth Amendment”), which provided for, among other modifications, an increase in the Line of Credit commitment from $200,000 to $300,000 and an extension of the maturity date to November 4, 2029.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Company had no outstanding borrowings under the Credit Agreement at March 31, 2025 or December 31, 2024. </w:t>
      </w:r>
    </w:p>
    <w:p>
      <w:pPr>
        <w:pStyle w:val="TextBody"/>
        <w:bidi w:val="0"/>
        <w:spacing w:before="0" w:after="0"/>
        <w:ind w:left="0" w:right="0" w:firstLine="360"/>
        <w:jc w:val="both"/>
        <w:rPr>
          <w:rFonts w:ascii="Times New Roman;Times;serif" w:hAnsi="Times New Roman;Times;serif"/>
          <w:b/>
          <w:sz w:val="20"/>
        </w:rPr>
      </w:pPr>
      <w:r>
        <w:rPr>
          <w:rFonts w:ascii="Times New Roman;Times;serif" w:hAnsi="Times New Roman;Times;serif"/>
          <w:b/>
          <w:sz w:val="20"/>
        </w:rPr>
        <w:t xml:space="preserve">Indenture and Notes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On April 26, 2024, the Company issued $345,000 aggregate principal amount of 0.750% Convertible Senior Notes due 2029 (the “Notes”) to qualified institutional buyers in accordance with Rule 144A under the Securities Act of 1933, as amended. The Notes bear interest at a rate of 0.750% per annum on the principal amount thereof, payable semi-annually in arrears on May 1 and November 1 of each year, beginning on November 1, 2024. The Notes will mature on May 1, 2029, unless earlier repurchased, redeemed or converted in accordance with their terms. </w:t>
      </w:r>
    </w:p>
    <w:p>
      <w:pPr>
        <w:pStyle w:val="TextBody"/>
        <w:bidi w:val="0"/>
        <w:spacing w:before="0" w:after="0"/>
        <w:ind w:left="0" w:right="0" w:firstLine="360"/>
        <w:jc w:val="both"/>
        <w:rPr/>
      </w:pPr>
      <w:r>
        <w:rPr/>
        <w:t>​</w:t>
      </w:r>
    </w:p>
    <w:p>
      <w:pPr>
        <w:pStyle w:val="TextBody"/>
        <w:bidi w:val="0"/>
        <w:spacing w:lineRule="auto" w:line="302" w:before="0" w:after="0"/>
        <w:ind w:left="0" w:right="0" w:firstLine="360"/>
        <w:jc w:val="both"/>
        <w:rPr>
          <w:rFonts w:ascii="Times New Roman;Times;serif" w:hAnsi="Times New Roman;Times;serif"/>
          <w:sz w:val="20"/>
        </w:rPr>
      </w:pPr>
      <w:r>
        <w:rPr>
          <w:rFonts w:ascii="Times New Roman;Times;serif" w:hAnsi="Times New Roman;Times;serif"/>
          <w:sz w:val="20"/>
        </w:rPr>
        <w:t>There have been no changes to the initial conversion price of the Notes since issuance or during the three months ended March 31, 2025.  </w:t>
      </w:r>
    </w:p>
    <w:p>
      <w:pPr>
        <w:pStyle w:val="TextBody"/>
        <w:bidi w:val="0"/>
        <w:spacing w:lineRule="auto" w:line="302" w:before="0" w:after="0"/>
        <w:ind w:left="0" w:right="0" w:firstLine="360"/>
        <w:jc w:val="both"/>
        <w:rPr/>
      </w:pPr>
      <w:r>
        <w:rPr/>
        <w:t>​</w:t>
      </w:r>
    </w:p>
    <w:p>
      <w:pPr>
        <w:pStyle w:val="TextBody"/>
        <w:bidi w:val="0"/>
        <w:spacing w:lineRule="auto" w:line="302"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last reported sales price of the Company’s Class A common stock for at least 20 trading days during the 30 consecutive trading days ending on, and including, December 31, 2024, was greater than or equal to 130% of the conversion price of the Notes on each applicable trading day. Therefore, the Notes were convertible at the option of the holders of the Notes during the first quarter of 2025; however, no conversions occurred as of March 31, 2025. </w:t>
      </w:r>
    </w:p>
    <w:p>
      <w:pPr>
        <w:pStyle w:val="TextBody"/>
        <w:bidi w:val="0"/>
        <w:spacing w:before="0" w:after="0"/>
        <w:ind w:left="1080" w:right="0" w:hanging="0"/>
        <w:jc w:val="left"/>
        <w:rPr/>
      </w:pPr>
      <w:r>
        <w:rPr/>
        <w:t>​</w:t>
      </w:r>
    </w:p>
    <w:p>
      <w:pPr>
        <w:pStyle w:val="TextBody"/>
        <w:bidi w:val="0"/>
        <w:spacing w:before="0" w:after="0"/>
        <w:ind w:left="0" w:right="0" w:firstLine="360"/>
        <w:jc w:val="left"/>
        <w:rPr>
          <w:rFonts w:ascii="Times New Roman;Times;serif" w:hAnsi="Times New Roman;Times;serif"/>
          <w:b/>
          <w:sz w:val="20"/>
        </w:rPr>
      </w:pPr>
      <w:r>
        <w:rPr>
          <w:rFonts w:ascii="Times New Roman;Times;serif" w:hAnsi="Times New Roman;Times;serif"/>
          <w:b/>
          <w:sz w:val="20"/>
        </w:rPr>
        <w:t>Capped Call Transactions</w:t>
      </w:r>
    </w:p>
    <w:p>
      <w:pPr>
        <w:pStyle w:val="TextBody"/>
        <w:bidi w:val="0"/>
        <w:spacing w:before="0" w:after="0"/>
        <w:ind w:left="0" w:right="0" w:firstLine="36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connection with the pricing of the Notes on April 23, 2024, the Company entered into privately negotiated capped call transactions (the “Base Capped Call Transactions”) with certain financial institutions (together, the “Option Counterparties”). In connection with the exercise of the option to purchase the additional Notes in full, the Company entered into additional capped call transactions with the Option Counterparties (together with the Base Capped Call Transactions, the “Capped Call Transactions”).</w:t>
      </w:r>
    </w:p>
    <w:p>
      <w:pPr>
        <w:pStyle w:val="TextBody"/>
        <w:bidi w:val="0"/>
        <w:spacing w:before="0" w:after="0"/>
        <w:ind w:left="0" w:right="0" w:firstLine="36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Company’s indebtedness at March 31, 2025 and December 31, 2024 was as follows: </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23"/>
        <w:gridCol w:w="211"/>
        <w:gridCol w:w="942"/>
        <w:gridCol w:w="109"/>
        <w:gridCol w:w="211"/>
        <w:gridCol w:w="1410"/>
        <w:gridCol w:w="109"/>
        <w:gridCol w:w="211"/>
        <w:gridCol w:w="1025"/>
        <w:gridCol w:w="109"/>
        <w:gridCol w:w="326"/>
        <w:gridCol w:w="942"/>
        <w:gridCol w:w="109"/>
        <w:gridCol w:w="211"/>
        <w:gridCol w:w="1410"/>
        <w:gridCol w:w="109"/>
        <w:gridCol w:w="211"/>
        <w:gridCol w:w="1127"/>
      </w:tblGrid>
      <w:tr>
        <w:trPr/>
        <w:tc>
          <w:tcPr>
            <w:tcW w:w="14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903605" cy="175260"/>
                      <wp:effectExtent l="0" t="0" r="0" b="0"/>
                      <wp:wrapNone/>
                      <wp:docPr id="205" name="Frame205"/>
                      <a:graphic xmlns:a="http://schemas.openxmlformats.org/drawingml/2006/main">
                        <a:graphicData uri="http://schemas.microsoft.com/office/word/2010/wordprocessingShape">
                          <wps:wsp>
                            <wps:cNvSpPr txBox="1"/>
                            <wps:spPr>
                              <a:xfrm>
                                <a:off x="0" y="0"/>
                                <a:ext cx="903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133985" cy="175260"/>
                      <wp:effectExtent l="0" t="0" r="0" b="0"/>
                      <wp:wrapNone/>
                      <wp:docPr id="206" name="Frame20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598170" cy="175260"/>
                      <wp:effectExtent l="0" t="0" r="0" b="0"/>
                      <wp:wrapNone/>
                      <wp:docPr id="207" name="Frame207"/>
                      <a:graphic xmlns:a="http://schemas.openxmlformats.org/drawingml/2006/main">
                        <a:graphicData uri="http://schemas.microsoft.com/office/word/2010/wordprocessingShape">
                          <wps:wsp>
                            <wps:cNvSpPr txBox="1"/>
                            <wps:spPr>
                              <a:xfrm>
                                <a:off x="0" y="0"/>
                                <a:ext cx="5981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9215" cy="175260"/>
                      <wp:effectExtent l="0" t="0" r="0" b="0"/>
                      <wp:wrapNone/>
                      <wp:docPr id="208" name="Frame20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133985" cy="175260"/>
                      <wp:effectExtent l="0" t="0" r="0" b="0"/>
                      <wp:wrapNone/>
                      <wp:docPr id="209" name="Frame20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895350" cy="175260"/>
                      <wp:effectExtent l="0" t="0" r="0" b="0"/>
                      <wp:wrapNone/>
                      <wp:docPr id="210" name="Frame210"/>
                      <a:graphic xmlns:a="http://schemas.openxmlformats.org/drawingml/2006/main">
                        <a:graphicData uri="http://schemas.microsoft.com/office/word/2010/wordprocessingShape">
                          <wps:wsp>
                            <wps:cNvSpPr txBox="1"/>
                            <wps:spPr>
                              <a:xfrm>
                                <a:off x="0" y="0"/>
                                <a:ext cx="8953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9215" cy="175260"/>
                      <wp:effectExtent l="0" t="0" r="0" b="0"/>
                      <wp:wrapNone/>
                      <wp:docPr id="211" name="Frame21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133985" cy="175260"/>
                      <wp:effectExtent l="0" t="0" r="0" b="0"/>
                      <wp:wrapNone/>
                      <wp:docPr id="212" name="Frame21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50875" cy="175260"/>
                      <wp:effectExtent l="0" t="0" r="0" b="0"/>
                      <wp:wrapNone/>
                      <wp:docPr id="213" name="Frame213"/>
                      <a:graphic xmlns:a="http://schemas.openxmlformats.org/drawingml/2006/main">
                        <a:graphicData uri="http://schemas.microsoft.com/office/word/2010/wordprocessingShape">
                          <wps:wsp>
                            <wps:cNvSpPr txBox="1"/>
                            <wps:spPr>
                              <a:xfrm>
                                <a:off x="0" y="0"/>
                                <a:ext cx="650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9215" cy="175260"/>
                      <wp:effectExtent l="0" t="0" r="0" b="0"/>
                      <wp:wrapNone/>
                      <wp:docPr id="214" name="Frame21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207010" cy="175260"/>
                      <wp:effectExtent l="0" t="0" r="0" b="0"/>
                      <wp:wrapNone/>
                      <wp:docPr id="215" name="Frame2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598170" cy="175260"/>
                      <wp:effectExtent l="0" t="0" r="0" b="0"/>
                      <wp:wrapNone/>
                      <wp:docPr id="216" name="Frame216"/>
                      <a:graphic xmlns:a="http://schemas.openxmlformats.org/drawingml/2006/main">
                        <a:graphicData uri="http://schemas.microsoft.com/office/word/2010/wordprocessingShape">
                          <wps:wsp>
                            <wps:cNvSpPr txBox="1"/>
                            <wps:spPr>
                              <a:xfrm>
                                <a:off x="0" y="0"/>
                                <a:ext cx="5981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9215" cy="175260"/>
                      <wp:effectExtent l="0" t="0" r="0" b="0"/>
                      <wp:wrapNone/>
                      <wp:docPr id="217" name="Frame21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133985" cy="175260"/>
                      <wp:effectExtent l="0" t="0" r="0" b="0"/>
                      <wp:wrapNone/>
                      <wp:docPr id="218" name="Frame2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895350" cy="175260"/>
                      <wp:effectExtent l="0" t="0" r="0" b="0"/>
                      <wp:wrapNone/>
                      <wp:docPr id="219" name="Frame219"/>
                      <a:graphic xmlns:a="http://schemas.openxmlformats.org/drawingml/2006/main">
                        <a:graphicData uri="http://schemas.microsoft.com/office/word/2010/wordprocessingShape">
                          <wps:wsp>
                            <wps:cNvSpPr txBox="1"/>
                            <wps:spPr>
                              <a:xfrm>
                                <a:off x="0" y="0"/>
                                <a:ext cx="8953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9215" cy="175260"/>
                      <wp:effectExtent l="0" t="0" r="0" b="0"/>
                      <wp:wrapNone/>
                      <wp:docPr id="220" name="Frame22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133985" cy="175260"/>
                      <wp:effectExtent l="0" t="0" r="0" b="0"/>
                      <wp:wrapNone/>
                      <wp:docPr id="221" name="Frame2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715645" cy="175260"/>
                      <wp:effectExtent l="0" t="0" r="0" b="0"/>
                      <wp:wrapNone/>
                      <wp:docPr id="222" name="Frame222"/>
                      <a:graphic xmlns:a="http://schemas.openxmlformats.org/drawingml/2006/main">
                        <a:graphicData uri="http://schemas.microsoft.com/office/word/2010/wordprocessingShape">
                          <wps:wsp>
                            <wps:cNvSpPr txBox="1"/>
                            <wps:spPr>
                              <a:xfrm>
                                <a:off x="0" y="0"/>
                                <a:ext cx="7156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23" w:type="dxa"/>
            <w:tcBorders/>
            <w:vAlign w:val="center"/>
          </w:tcPr>
          <w:p>
            <w:pPr>
              <w:pStyle w:val="TableContents"/>
              <w:bidi w:val="0"/>
              <w:spacing w:before="0" w:after="0"/>
              <w:ind w:left="0" w:right="0" w:hanging="0"/>
              <w:jc w:val="left"/>
              <w:rPr/>
            </w:pPr>
            <w:r>
              <w:rPr/>
              <w:t>​</w:t>
            </w:r>
          </w:p>
        </w:tc>
        <w:tc>
          <w:tcPr>
            <w:tcW w:w="4228"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March 31, 2025 (unaudited)</w:t>
            </w:r>
          </w:p>
        </w:tc>
        <w:tc>
          <w:tcPr>
            <w:tcW w:w="109" w:type="dxa"/>
            <w:tcBorders/>
            <w:vAlign w:val="center"/>
          </w:tcPr>
          <w:p>
            <w:pPr>
              <w:pStyle w:val="TableContents"/>
              <w:bidi w:val="0"/>
              <w:spacing w:before="0" w:after="0"/>
              <w:ind w:left="0" w:right="0" w:hanging="0"/>
              <w:jc w:val="left"/>
              <w:rPr/>
            </w:pPr>
            <w:r>
              <w:rPr/>
              <w:t>​</w:t>
            </w:r>
          </w:p>
        </w:tc>
        <w:tc>
          <w:tcPr>
            <w:tcW w:w="4445"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2024</w:t>
            </w:r>
          </w:p>
        </w:tc>
      </w:tr>
      <w:tr>
        <w:trPr/>
        <w:tc>
          <w:tcPr>
            <w:tcW w:w="1423"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Principal Amount</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41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Discounts and Deferred Financing Costs </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02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Carrying Amount</w:t>
            </w:r>
          </w:p>
        </w:tc>
        <w:tc>
          <w:tcPr>
            <w:tcW w:w="109" w:type="dxa"/>
            <w:tcBorders/>
            <w:vAlign w:val="center"/>
          </w:tcPr>
          <w:p>
            <w:pPr>
              <w:pStyle w:val="TableContents"/>
              <w:bidi w:val="0"/>
              <w:spacing w:before="0" w:after="0"/>
              <w:ind w:left="0" w:right="0" w:hanging="0"/>
              <w:jc w:val="center"/>
              <w:rPr/>
            </w:pPr>
            <w:r>
              <w:rP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94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Principal Amount</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41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Discounts and Deferred Financing Costs </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12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Carrying Amount</w:t>
            </w:r>
          </w:p>
        </w:tc>
      </w:tr>
      <w:tr>
        <w:trPr/>
        <w:tc>
          <w:tcPr>
            <w:tcW w:w="142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Convertible senior notes, non-current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345,000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4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(9,216)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335,784</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345,000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4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(9,780)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335,220</w:t>
            </w:r>
          </w:p>
        </w:tc>
      </w:tr>
      <w:tr>
        <w:trPr/>
        <w:tc>
          <w:tcPr>
            <w:tcW w:w="142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debt</w:t>
            </w:r>
            <w:r>
              <w:rPr>
                <w:rFonts w:ascii="Times New Roman;Times;serif" w:hAnsi="Times New Roman;Times;serif"/>
                <w:color w:val="FF0000"/>
                <w:sz w:val="18"/>
              </w:rPr>
              <w:t xml:space="preserve">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345,000</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1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(9,216)</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335,784</w:t>
            </w:r>
          </w:p>
        </w:tc>
        <w:tc>
          <w:tcPr>
            <w:tcW w:w="109" w:type="dxa"/>
            <w:tcBorders/>
            <w:vAlign w:val="center"/>
          </w:tcPr>
          <w:p>
            <w:pPr>
              <w:pStyle w:val="TableContents"/>
              <w:bidi w:val="0"/>
              <w:spacing w:before="0" w:after="0"/>
              <w:ind w:left="0" w:right="0" w:hanging="0"/>
              <w:jc w:val="left"/>
              <w:rPr/>
            </w:pPr>
            <w:r>
              <w:rPr/>
              <w:t>​</w:t>
            </w:r>
          </w:p>
        </w:tc>
        <w:tc>
          <w:tcPr>
            <w:tcW w:w="32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345,000</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1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(9,780)</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7"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335,220</w:t>
            </w:r>
          </w:p>
        </w:tc>
      </w:tr>
    </w:tbl>
    <w:p>
      <w:pPr>
        <w:pStyle w:val="TextBody"/>
        <w:bidi w:val="0"/>
        <w:spacing w:before="0" w:after="0"/>
        <w:ind w:left="0" w:right="0" w:hanging="0"/>
        <w:jc w:val="left"/>
        <w:rPr/>
      </w:pPr>
      <w:r>
        <w:rPr/>
        <w:t>​</w:t>
      </w:r>
    </w:p>
    <w:p>
      <w:pPr>
        <w:pStyle w:val="TextBody"/>
        <w:bidi w:val="0"/>
        <w:spacing w:before="0" w:after="0"/>
        <w:ind w:left="58" w:right="58" w:firstLine="324"/>
        <w:jc w:val="both"/>
        <w:rPr/>
      </w:pPr>
      <w:r>
        <w:rPr/>
        <w:t>​</w:t>
      </w:r>
    </w:p>
    <w:p>
      <w:pPr>
        <w:pStyle w:val="TextBody"/>
        <w:bidi w:val="0"/>
        <w:spacing w:before="0" w:after="0"/>
        <w:ind w:left="58" w:right="58" w:firstLine="324"/>
        <w:jc w:val="both"/>
        <w:rPr/>
      </w:pPr>
      <w:r>
        <w:rPr/>
        <w:t>​</w:t>
      </w:r>
    </w:p>
    <w:p>
      <w:pPr>
        <w:pStyle w:val="TextBody"/>
        <w:bidi w:val="0"/>
        <w:spacing w:before="0" w:after="0"/>
        <w:ind w:left="58" w:right="58" w:firstLine="324"/>
        <w:jc w:val="both"/>
        <w:rPr/>
      </w:pPr>
      <w:r>
        <w:rPr/>
        <w:t>​</w:t>
      </w:r>
    </w:p>
    <w:p>
      <w:pPr>
        <w:pStyle w:val="TextBody"/>
        <w:bidi w:val="0"/>
        <w:spacing w:before="0" w:after="0"/>
        <w:ind w:left="58" w:right="58" w:firstLine="324"/>
        <w:jc w:val="both"/>
        <w:rPr/>
      </w:pPr>
      <w:r>
        <w:rPr/>
        <w:t>​</w:t>
      </w:r>
    </w:p>
    <w:p>
      <w:pPr>
        <w:pStyle w:val="TextBody"/>
        <w:bidi w:val="0"/>
        <w:spacing w:before="0" w:after="0"/>
        <w:ind w:left="58" w:right="58" w:firstLine="324"/>
        <w:jc w:val="both"/>
        <w:rPr/>
      </w:pPr>
      <w:r>
        <w:rPr/>
        <w:t>​</w:t>
      </w:r>
    </w:p>
    <w:p>
      <w:pPr>
        <w:pStyle w:val="TextBody"/>
        <w:bidi w:val="0"/>
        <w:spacing w:before="0" w:after="0"/>
        <w:ind w:left="58" w:right="58" w:firstLine="324"/>
        <w:jc w:val="both"/>
        <w:rPr/>
      </w:pPr>
      <w:r>
        <w:rPr/>
        <w:t>​</w:t>
      </w:r>
    </w:p>
    <w:p>
      <w:pPr>
        <w:pStyle w:val="TextBody"/>
        <w:bidi w:val="0"/>
        <w:spacing w:before="0" w:after="0"/>
        <w:ind w:left="58" w:right="58" w:firstLine="324"/>
        <w:jc w:val="both"/>
        <w:rPr/>
      </w:pPr>
      <w:r>
        <w:rPr/>
        <w:t>​</w:t>
      </w:r>
    </w:p>
    <w:p>
      <w:pPr>
        <w:pStyle w:val="TextBody"/>
        <w:bidi w:val="0"/>
        <w:spacing w:before="0" w:after="0"/>
        <w:ind w:left="58" w:right="58" w:firstLine="324"/>
        <w:jc w:val="both"/>
        <w:rPr/>
      </w:pPr>
      <w:r>
        <w:rPr/>
        <w:t>​</w:t>
      </w:r>
    </w:p>
    <w:p>
      <w:pPr>
        <w:pStyle w:val="TextBody"/>
        <w:bidi w:val="0"/>
        <w:spacing w:before="0" w:after="0"/>
        <w:ind w:left="58" w:right="58" w:firstLine="324"/>
        <w:jc w:val="both"/>
        <w:rPr/>
      </w:pPr>
      <w:r>
        <w:rPr/>
        <w:t>​</w:t>
      </w:r>
    </w:p>
    <w:p>
      <w:pPr>
        <w:pStyle w:val="TextBody"/>
        <w:bidi w:val="0"/>
        <w:spacing w:before="0" w:after="0"/>
        <w:ind w:left="58" w:right="58" w:firstLine="324"/>
        <w:jc w:val="both"/>
        <w:rPr/>
      </w:pPr>
      <w:r>
        <w:rPr/>
        <w:t>​</w:t>
      </w:r>
    </w:p>
    <w:p>
      <w:pPr>
        <w:pStyle w:val="TextBody"/>
        <w:bidi w:val="0"/>
        <w:spacing w:before="0" w:after="0"/>
        <w:ind w:left="58" w:right="58" w:firstLine="324"/>
        <w:jc w:val="both"/>
        <w:rPr/>
      </w:pPr>
      <w:r>
        <w:rPr/>
        <w:t>​</w:t>
      </w:r>
    </w:p>
    <w:p>
      <w:pPr>
        <w:pStyle w:val="TextBody"/>
        <w:bidi w:val="0"/>
        <w:spacing w:before="0" w:after="0"/>
        <w:ind w:left="58" w:right="58" w:firstLine="324"/>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646" w:type="dxa"/>
        <w:jc w:val="left"/>
        <w:tblInd w:w="0" w:type="dxa"/>
        <w:tblLayout w:type="fixed"/>
        <w:tblCellMar>
          <w:top w:w="0" w:type="dxa"/>
          <w:left w:w="0" w:type="dxa"/>
          <w:bottom w:w="0" w:type="dxa"/>
          <w:right w:w="0" w:type="dxa"/>
        </w:tblCellMar>
      </w:tblPr>
      <w:tblGrid>
        <w:gridCol w:w="6646"/>
      </w:tblGrid>
      <w:tr>
        <w:trPr/>
        <w:tc>
          <w:tcPr>
            <w:tcW w:w="6646" w:type="dxa"/>
            <w:tcBorders/>
            <w:vAlign w:val="center"/>
          </w:tcPr>
          <w:p>
            <w:pPr>
              <w:pStyle w:val="TableContents"/>
              <w:bidi w:val="0"/>
              <w:spacing w:before="0" w:after="283"/>
              <w:ind w:left="0" w:right="0" w:hanging="0"/>
              <w:jc w:val="left"/>
              <w:rPr>
                <w:sz w:val="4"/>
                <w:szCs w:val="4"/>
              </w:rPr>
            </w:pPr>
            <w:r>
              <w:rPr>
                <w:sz w:val="4"/>
                <w:szCs w:val="4"/>
              </w:rPr>
            </w:r>
          </w:p>
        </w:tc>
      </w:tr>
      <w:tr>
        <w:trPr/>
        <w:tc>
          <w:tcPr>
            <w:tcW w:w="66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Vertex, Inc. and Subsidiaries</w:t>
            </w:r>
          </w:p>
        </w:tc>
      </w:tr>
      <w:tr>
        <w:trPr/>
        <w:tc>
          <w:tcPr>
            <w:tcW w:w="66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Condensed Consolidated Financial Statements (unaudited) continued</w:t>
            </w:r>
          </w:p>
        </w:tc>
      </w:tr>
      <w:tr>
        <w:trPr/>
        <w:tc>
          <w:tcPr>
            <w:tcW w:w="66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(Amounts in thousands, except per share data) </w:t>
            </w:r>
          </w:p>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58" w:right="58" w:firstLine="324"/>
        <w:jc w:val="both"/>
        <w:rPr>
          <w:rFonts w:ascii="Times New Roman;Times;serif" w:hAnsi="Times New Roman;Times;serif"/>
          <w:sz w:val="20"/>
        </w:rPr>
      </w:pPr>
      <w:bookmarkStart w:id="1139" w:name="Tc_ybbWOhfcREerovfwJgrdPA_6_7"/>
      <w:bookmarkStart w:id="1140" w:name="Tc_ItkYDYPIqE613PNFp5C6Yw_6_6"/>
      <w:bookmarkStart w:id="1141" w:name="Tc_bR5KIAX4IkifITXdysWkuA_6_3"/>
      <w:bookmarkStart w:id="1142" w:name="Tc_xxdjhH6TT02gxds8Rd7E_Q_6_0"/>
      <w:bookmarkStart w:id="1143" w:name="Tc_D0lGdKGCuEi0YblYDodsmg_5_7"/>
      <w:bookmarkStart w:id="1144" w:name="Tc_L9yE16lIf026CwMuNWJehg_5_0"/>
      <w:bookmarkStart w:id="1145" w:name="Tc_e9CE-rUenEeaYyA3gi9F0w_4_7"/>
      <w:bookmarkStart w:id="1146" w:name="Tc_afShtpxXLk6g7mfatcUpAQ_4_6"/>
      <w:bookmarkStart w:id="1147" w:name="Tc_lVwK0lkLsU64GBlSgwqv9w_4_3"/>
      <w:bookmarkStart w:id="1148" w:name="Tc_DZAzM8g5o0qp9fhogXKllQ_4_0"/>
      <w:bookmarkStart w:id="1149" w:name="Tc_b4F2dbWA8ECh1DU3fGBeTA_3_4"/>
      <w:bookmarkStart w:id="1150" w:name="Tc_GDQ6d4u3-kewAAem7lHFFg_2_7"/>
      <w:bookmarkStart w:id="1151" w:name="Tc_NGylMlj2y0K5G7KFI-JdDQ_2_4"/>
      <w:bookmarkStart w:id="1152" w:name="Tc_adjcHVNJGEmvn5txfWAPHg_1_3"/>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r>
        <w:rPr>
          <w:rFonts w:ascii="Times New Roman;Times;serif" w:hAnsi="Times New Roman;Times;serif"/>
          <w:sz w:val="20"/>
        </w:rPr>
        <w:t xml:space="preserve">The Company’s interest expense related to the Notes is as follows: </w:t>
      </w:r>
    </w:p>
    <w:p>
      <w:pPr>
        <w:pStyle w:val="TextBody"/>
        <w:bidi w:val="0"/>
        <w:spacing w:before="0" w:after="0"/>
        <w:ind w:left="58" w:right="58" w:firstLine="324"/>
        <w:jc w:val="both"/>
        <w:rPr/>
      </w:pPr>
      <w:r>
        <w:rPr/>
        <w:t>​</w:t>
      </w:r>
    </w:p>
    <w:p>
      <w:pPr>
        <w:pStyle w:val="TextBody"/>
        <w:bidi w:val="0"/>
        <w:spacing w:before="0" w:after="0"/>
        <w:ind w:left="58" w:right="58" w:firstLine="324"/>
        <w:jc w:val="both"/>
        <w:rPr/>
      </w:pPr>
      <w:r>
        <w:rPr/>
        <w:t>​</w:t>
      </w:r>
    </w:p>
    <w:p>
      <w:pPr>
        <w:pStyle w:val="TextBody"/>
        <w:bidi w:val="0"/>
        <w:spacing w:before="0" w:after="0"/>
        <w:ind w:left="58" w:right="58" w:firstLine="324"/>
        <w:jc w:val="both"/>
        <w:rPr/>
      </w:pPr>
      <w:r>
        <w:rPr/>
        <w:t>​</w:t>
      </w:r>
    </w:p>
    <w:tbl>
      <w:tblPr>
        <w:tblW w:w="6840" w:type="dxa"/>
        <w:jc w:val="left"/>
        <w:tblInd w:w="0" w:type="dxa"/>
        <w:tblLayout w:type="fixed"/>
        <w:tblCellMar>
          <w:top w:w="0" w:type="dxa"/>
          <w:left w:w="0" w:type="dxa"/>
          <w:bottom w:w="0" w:type="dxa"/>
          <w:right w:w="0" w:type="dxa"/>
        </w:tblCellMar>
      </w:tblPr>
      <w:tblGrid>
        <w:gridCol w:w="3421"/>
        <w:gridCol w:w="109"/>
        <w:gridCol w:w="109"/>
        <w:gridCol w:w="395"/>
        <w:gridCol w:w="1070"/>
        <w:gridCol w:w="204"/>
        <w:gridCol w:w="395"/>
        <w:gridCol w:w="874"/>
        <w:gridCol w:w="109"/>
        <w:gridCol w:w="154"/>
      </w:tblGrid>
      <w:tr>
        <w:trPr/>
        <w:tc>
          <w:tcPr>
            <w:tcW w:w="3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2172335" cy="175260"/>
                      <wp:effectExtent l="0" t="0" r="0" b="0"/>
                      <wp:wrapNone/>
                      <wp:docPr id="223" name="Frame223"/>
                      <a:graphic xmlns:a="http://schemas.openxmlformats.org/drawingml/2006/main">
                        <a:graphicData uri="http://schemas.microsoft.com/office/word/2010/wordprocessingShape">
                          <wps:wsp>
                            <wps:cNvSpPr txBox="1"/>
                            <wps:spPr>
                              <a:xfrm>
                                <a:off x="0" y="0"/>
                                <a:ext cx="2172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9215" cy="175260"/>
                      <wp:effectExtent l="0" t="0" r="0" b="0"/>
                      <wp:wrapNone/>
                      <wp:docPr id="224" name="Frame22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9215" cy="175260"/>
                      <wp:effectExtent l="0" t="0" r="0" b="0"/>
                      <wp:wrapNone/>
                      <wp:docPr id="225" name="Frame22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250825" cy="175260"/>
                      <wp:effectExtent l="0" t="0" r="0" b="0"/>
                      <wp:wrapNone/>
                      <wp:docPr id="226" name="Frame226"/>
                      <a:graphic xmlns:a="http://schemas.openxmlformats.org/drawingml/2006/main">
                        <a:graphicData uri="http://schemas.microsoft.com/office/word/2010/wordprocessingShape">
                          <wps:wsp>
                            <wps:cNvSpPr txBox="1"/>
                            <wps:spPr>
                              <a:xfrm>
                                <a:off x="0" y="0"/>
                                <a:ext cx="250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79450" cy="175260"/>
                      <wp:effectExtent l="0" t="0" r="0" b="0"/>
                      <wp:wrapNone/>
                      <wp:docPr id="227" name="Frame227"/>
                      <a:graphic xmlns:a="http://schemas.openxmlformats.org/drawingml/2006/main">
                        <a:graphicData uri="http://schemas.microsoft.com/office/word/2010/wordprocessingShape">
                          <wps:wsp>
                            <wps:cNvSpPr txBox="1"/>
                            <wps:spPr>
                              <a:xfrm>
                                <a:off x="0" y="0"/>
                                <a:ext cx="6794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129540" cy="175260"/>
                      <wp:effectExtent l="0" t="0" r="0" b="0"/>
                      <wp:wrapNone/>
                      <wp:docPr id="228" name="Frame228"/>
                      <a:graphic xmlns:a="http://schemas.openxmlformats.org/drawingml/2006/main">
                        <a:graphicData uri="http://schemas.microsoft.com/office/word/2010/wordprocessingShape">
                          <wps:wsp>
                            <wps:cNvSpPr txBox="1"/>
                            <wps:spPr>
                              <a:xfrm>
                                <a:off x="0" y="0"/>
                                <a:ext cx="1295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250825" cy="175260"/>
                      <wp:effectExtent l="0" t="0" r="0" b="0"/>
                      <wp:wrapNone/>
                      <wp:docPr id="229" name="Frame229"/>
                      <a:graphic xmlns:a="http://schemas.openxmlformats.org/drawingml/2006/main">
                        <a:graphicData uri="http://schemas.microsoft.com/office/word/2010/wordprocessingShape">
                          <wps:wsp>
                            <wps:cNvSpPr txBox="1"/>
                            <wps:spPr>
                              <a:xfrm>
                                <a:off x="0" y="0"/>
                                <a:ext cx="250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554990" cy="175260"/>
                      <wp:effectExtent l="0" t="0" r="0" b="0"/>
                      <wp:wrapNone/>
                      <wp:docPr id="230" name="Frame230"/>
                      <a:graphic xmlns:a="http://schemas.openxmlformats.org/drawingml/2006/main">
                        <a:graphicData uri="http://schemas.microsoft.com/office/word/2010/wordprocessingShape">
                          <wps:wsp>
                            <wps:cNvSpPr txBox="1"/>
                            <wps:spPr>
                              <a:xfrm>
                                <a:off x="0" y="0"/>
                                <a:ext cx="554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9215" cy="175260"/>
                      <wp:effectExtent l="0" t="0" r="0" b="0"/>
                      <wp:wrapNone/>
                      <wp:docPr id="231" name="Frame23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97790" cy="175260"/>
                      <wp:effectExtent l="0" t="0" r="0" b="0"/>
                      <wp:wrapNone/>
                      <wp:docPr id="232" name="Frame232"/>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93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March 31, </w:t>
            </w:r>
          </w:p>
        </w:tc>
        <w:tc>
          <w:tcPr>
            <w:tcW w:w="109"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4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9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7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204" w:type="dxa"/>
            <w:tcBorders/>
            <w:vAlign w:val="center"/>
          </w:tcPr>
          <w:p>
            <w:pPr>
              <w:pStyle w:val="TableContents"/>
              <w:bidi w:val="0"/>
              <w:spacing w:before="0" w:after="0"/>
              <w:ind w:left="0" w:right="0" w:hanging="0"/>
              <w:jc w:val="center"/>
              <w:rPr/>
            </w:pPr>
            <w:r>
              <w:rPr/>
              <w:t>​</w:t>
            </w:r>
          </w:p>
        </w:tc>
        <w:tc>
          <w:tcPr>
            <w:tcW w:w="395"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87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6840"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34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95" w:type="dxa"/>
            <w:tcBorders/>
            <w:vAlign w:val="center"/>
          </w:tcPr>
          <w:p>
            <w:pPr>
              <w:pStyle w:val="TableContents"/>
              <w:bidi w:val="0"/>
              <w:spacing w:before="0" w:after="0"/>
              <w:ind w:left="0" w:right="0" w:hanging="0"/>
              <w:jc w:val="right"/>
              <w:rPr/>
            </w:pPr>
            <w:r>
              <w:rPr/>
              <w:t>​</w:t>
            </w:r>
          </w:p>
        </w:tc>
        <w:tc>
          <w:tcPr>
            <w:tcW w:w="2543"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109"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4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Contractual interest expense</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647</w:t>
            </w:r>
          </w:p>
        </w:tc>
        <w:tc>
          <w:tcPr>
            <w:tcW w:w="204" w:type="dxa"/>
            <w:tcBorders/>
            <w:shd w:fill="CCEEFF" w:val="clear"/>
            <w:vAlign w:val="center"/>
          </w:tcPr>
          <w:p>
            <w:pPr>
              <w:pStyle w:val="TableContents"/>
              <w:bidi w:val="0"/>
              <w:spacing w:before="0" w:after="0"/>
              <w:ind w:left="0" w:right="0" w:hanging="0"/>
              <w:jc w:val="left"/>
              <w:rPr/>
            </w:pPr>
            <w:r>
              <w:rPr/>
              <w:t>​</w:t>
            </w:r>
          </w:p>
        </w:tc>
        <w:tc>
          <w:tcPr>
            <w:tcW w:w="3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4"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42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Amortization of issuance costs</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9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7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564</w:t>
            </w:r>
          </w:p>
        </w:tc>
        <w:tc>
          <w:tcPr>
            <w:tcW w:w="204" w:type="dxa"/>
            <w:tcBorders/>
            <w:vAlign w:val="center"/>
          </w:tcPr>
          <w:p>
            <w:pPr>
              <w:pStyle w:val="TableContents"/>
              <w:bidi w:val="0"/>
              <w:spacing w:before="0" w:after="0"/>
              <w:ind w:left="0" w:right="0" w:hanging="0"/>
              <w:jc w:val="left"/>
              <w:rPr/>
            </w:pPr>
            <w:r>
              <w:rPr/>
              <w:t>​</w:t>
            </w:r>
          </w:p>
        </w:tc>
        <w:tc>
          <w:tcPr>
            <w:tcW w:w="39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4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interest expense, convertible senior notes</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9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7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1,211</w:t>
            </w:r>
          </w:p>
        </w:tc>
        <w:tc>
          <w:tcPr>
            <w:tcW w:w="204" w:type="dxa"/>
            <w:tcBorders/>
            <w:shd w:fill="CCEEFF" w:val="clear"/>
            <w:vAlign w:val="center"/>
          </w:tcPr>
          <w:p>
            <w:pPr>
              <w:pStyle w:val="TableContents"/>
              <w:bidi w:val="0"/>
              <w:spacing w:before="0" w:after="0"/>
              <w:ind w:left="0" w:right="0" w:hanging="0"/>
              <w:jc w:val="left"/>
              <w:rPr/>
            </w:pPr>
            <w:r>
              <w:rPr/>
              <w:t>​</w:t>
            </w:r>
          </w:p>
        </w:tc>
        <w:tc>
          <w:tcPr>
            <w:tcW w:w="39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58" w:right="58" w:firstLine="324"/>
        <w:jc w:val="both"/>
        <w:rPr/>
      </w:pPr>
      <w:r>
        <w:rPr/>
        <w:t>​</w:t>
      </w:r>
    </w:p>
    <w:p>
      <w:pPr>
        <w:pStyle w:val="TextBody"/>
        <w:bidi w:val="0"/>
        <w:spacing w:before="0" w:after="0"/>
        <w:ind w:left="58" w:right="58" w:firstLine="324"/>
        <w:jc w:val="both"/>
        <w:rPr/>
      </w:pPr>
      <w:r>
        <w:rPr/>
        <w:t>​</w:t>
      </w:r>
    </w:p>
    <w:p>
      <w:pPr>
        <w:pStyle w:val="TextBody"/>
        <w:bidi w:val="0"/>
        <w:spacing w:before="0" w:after="0"/>
        <w:ind w:left="58" w:right="58" w:firstLine="324"/>
        <w:jc w:val="both"/>
        <w:rPr/>
      </w:pPr>
      <w:r>
        <w:rPr/>
        <w:t>​</w:t>
      </w:r>
    </w:p>
    <w:p>
      <w:pPr>
        <w:pStyle w:val="TextBody"/>
        <w:bidi w:val="0"/>
        <w:spacing w:before="0" w:after="0"/>
        <w:ind w:left="58" w:right="58" w:firstLine="324"/>
        <w:jc w:val="both"/>
        <w:rPr/>
      </w:pPr>
      <w:r>
        <w:rPr/>
        <w:t>​</w:t>
      </w:r>
    </w:p>
    <w:p>
      <w:pPr>
        <w:pStyle w:val="TextBody"/>
        <w:bidi w:val="0"/>
        <w:spacing w:before="0" w:after="0"/>
        <w:ind w:left="58" w:right="58" w:firstLine="324"/>
        <w:jc w:val="both"/>
        <w:rPr/>
      </w:pPr>
      <w:r>
        <w:rPr/>
        <w:t>​</w:t>
      </w:r>
    </w:p>
    <w:p>
      <w:pPr>
        <w:pStyle w:val="TextBody"/>
        <w:bidi w:val="0"/>
        <w:spacing w:before="0" w:after="0"/>
        <w:ind w:left="58" w:right="58" w:firstLine="324"/>
        <w:jc w:val="both"/>
        <w:rPr/>
      </w:pPr>
      <w:r>
        <w:rPr/>
        <w:t>​</w:t>
      </w:r>
    </w:p>
    <w:p>
      <w:pPr>
        <w:pStyle w:val="TextBody"/>
        <w:bidi w:val="0"/>
        <w:spacing w:before="0" w:after="0"/>
        <w:ind w:left="58" w:right="58" w:firstLine="324"/>
        <w:jc w:val="both"/>
        <w:rPr/>
      </w:pPr>
      <w:r>
        <w:rPr/>
        <w:t>​</w:t>
      </w:r>
    </w:p>
    <w:p>
      <w:pPr>
        <w:pStyle w:val="TextBody"/>
        <w:bidi w:val="0"/>
        <w:spacing w:before="0" w:after="0"/>
        <w:ind w:left="58" w:right="58" w:firstLine="324"/>
        <w:jc w:val="both"/>
        <w:rPr/>
      </w:pPr>
      <w:r>
        <w:rPr/>
        <w:t>​</w:t>
      </w:r>
    </w:p>
    <w:p>
      <w:pPr>
        <w:pStyle w:val="TextBody"/>
        <w:bidi w:val="0"/>
        <w:spacing w:before="0" w:after="0"/>
        <w:ind w:left="58" w:right="58" w:firstLine="324"/>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8.</w:t>
      </w:r>
      <w:r>
        <w:rPr>
          <w:rFonts w:ascii="Times New Roman;Times;serif" w:hAnsi="Times New Roman;Times;serif"/>
          <w:b/>
          <w:sz w:val="20"/>
        </w:rPr>
        <w:t>STOCKHOLDERS’ EQUITY</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Common Stock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During the three months ended March 31, 2025, the Company issued 374 shares of Class A common stock related to the exercise of options, net of 13 shares returned to the Company in lieu of payment of the exercise price and taxes due on these exercises. During this period, the Company also issued 863 shares of Class A common stock in connection with the vesting of Restricted Stock Units (“RSUs”), net of 545 shares returned to the Company in lieu of payment of taxes due on the vesting of these RSUs.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During the three months ended March 31, 2024, the Company issued 653 shares of Class A common stock related to the exercise of options, net of 265 shares returned to the Company in lieu of payment of the exercise price and taxes due on these exercises. During this period, the Company issued 674 shares of Class A common stock in connection with the vesting of RSUs, net of 417 shares returned to the Company in lieu of payment of taxes due on the vesting of these RSUs.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9.    EARNINGS PER SHARE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has two classes of common stock outstanding and thus calculates earnings per share (“EPS”) following the two-class method. This method allocates earnings for the respective periods between the two classes of common stock in proportion to the weighted average shares outstanding for each class of common stock as a percentage of total weighted average shares of both classes of common stock outstanding. Neither the Class A nor Class B common stock has any liquidity or dividend preferences and are both considered to be participating securities.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Basic and diluted net income (loss) per share attributable to common stockholders is calculated using the treasury stock and if-converted methods. The basic net income (loss) per share attributable to Class A common stockholders includes Restricted Stock Awards (“RSAs”), RSUs, Performance Stock Units (“PSUs”), and ESPP shares once vesting or purchase contingencies are resolved, and the related shares are deemed to be outstanding. The diluted net income (loss) per share attributable to Class A common stockholders is computed by giving effect to all potential dilutive common stock equivalents outstanding for the period. For purposes of this calculation, all options to purchase shares of Class A common stock and nonvested RSAs and RSUs are considered common stock equivalents. PSUs are included in the computation of diluted net income per share only to the extent that the underlying performance conditions are satisfied prior to the end of the reporting period or would be satisfied if the end of the reporting period were the end of the related performance period, and if the effect would be dilutive. The portion of ESPP shares for which the Company has received payments but for which the related shares are not yet issuable are also considered potential common stock equivalents. Additionally, the dilutive effect of shares issuable upon conversion of the Notes is included in the calculation of diluted EPS by application of the if-converted method. In connection with the issuance of the Notes, the Company entered into the Capped Call Transactions, which are not included for purposes of calculating the number of diluted weighted-average shares outstanding, as their effect would be anti-dilutive. The Company has excluded the effect of its Class A common stock to be issued in connection with the Stock Earn-outs as the underlying performance conditions were not satisfied prior to the end of the reporting period, nor would they be satisfied if the end of the reporting period were the end of the related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646" w:type="dxa"/>
        <w:jc w:val="left"/>
        <w:tblInd w:w="0" w:type="dxa"/>
        <w:tblLayout w:type="fixed"/>
        <w:tblCellMar>
          <w:top w:w="0" w:type="dxa"/>
          <w:left w:w="0" w:type="dxa"/>
          <w:bottom w:w="0" w:type="dxa"/>
          <w:right w:w="0" w:type="dxa"/>
        </w:tblCellMar>
      </w:tblPr>
      <w:tblGrid>
        <w:gridCol w:w="6646"/>
      </w:tblGrid>
      <w:tr>
        <w:trPr/>
        <w:tc>
          <w:tcPr>
            <w:tcW w:w="6646" w:type="dxa"/>
            <w:tcBorders/>
            <w:vAlign w:val="center"/>
          </w:tcPr>
          <w:p>
            <w:pPr>
              <w:pStyle w:val="TableContents"/>
              <w:bidi w:val="0"/>
              <w:spacing w:before="0" w:after="283"/>
              <w:ind w:left="0" w:right="0" w:hanging="0"/>
              <w:jc w:val="left"/>
              <w:rPr>
                <w:sz w:val="4"/>
                <w:szCs w:val="4"/>
              </w:rPr>
            </w:pPr>
            <w:r>
              <w:rPr>
                <w:sz w:val="4"/>
                <w:szCs w:val="4"/>
              </w:rPr>
            </w:r>
          </w:p>
        </w:tc>
      </w:tr>
      <w:tr>
        <w:trPr/>
        <w:tc>
          <w:tcPr>
            <w:tcW w:w="66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Vertex, Inc. and Subsidiaries</w:t>
            </w:r>
          </w:p>
        </w:tc>
      </w:tr>
      <w:tr>
        <w:trPr/>
        <w:tc>
          <w:tcPr>
            <w:tcW w:w="66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Condensed Consolidated Financial Statements (unaudited) continued</w:t>
            </w:r>
          </w:p>
        </w:tc>
      </w:tr>
      <w:tr>
        <w:trPr/>
        <w:tc>
          <w:tcPr>
            <w:tcW w:w="66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(Amounts in thousands, except per share data) </w:t>
            </w:r>
          </w:p>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bookmarkStart w:id="1153" w:name="Tc_QFZcsSLeGUyxNKqizypreA_22_0"/>
      <w:bookmarkStart w:id="1154" w:name="Tc_a-qFZh8RfE-OOGbVqKNH7A_21_0"/>
      <w:bookmarkStart w:id="1155" w:name="Tc_7-mp-rwZA0GQN85zviJDew_20_10"/>
      <w:bookmarkStart w:id="1156" w:name="Tc_qMN8UGDoI0SNKixSgN55gw_20_7"/>
      <w:bookmarkStart w:id="1157" w:name="Tc_Ud6OjDY7eUaFOQTAG7bsmg_20_4"/>
      <w:bookmarkStart w:id="1158" w:name="Tc_9EAZPmflk0yWn9wqaCGEGQ_20_1"/>
      <w:bookmarkStart w:id="1159" w:name="Tc_lN3BZLVjfk2lU9imTVNbmQ_20_0"/>
      <w:bookmarkStart w:id="1160" w:name="Tc_4a6qLv2ME0-tBItn6du58w_19_0"/>
      <w:bookmarkStart w:id="1161" w:name="Tc_M-RCmdlZcUiXzTpsefQ5eQ_18_11"/>
      <w:bookmarkStart w:id="1162" w:name="Tc_iEG_D2ZlK0G1LDEXUJS-Mw_18_5"/>
      <w:bookmarkStart w:id="1163" w:name="Tc_AC4rF3fJb06zZ8ZnOAB64A_18_0"/>
      <w:bookmarkStart w:id="1164" w:name="Tc_FrwzBuO_B0KqBhY529UPkQ_17_0"/>
      <w:bookmarkStart w:id="1165" w:name="Tc_pVylqmR3qE-sEzZFlPi6Bw_16_0"/>
      <w:bookmarkStart w:id="1166" w:name="Tc_21TsDPLZ5UW6WZJo0jlMgw_15_10"/>
      <w:bookmarkStart w:id="1167" w:name="Tc_V8-S59b21E-gQ341cntXCQ_15_7"/>
      <w:bookmarkStart w:id="1168" w:name="Tc_3InE6PDcVk2AwPxh-Q0ZOQ_15_4"/>
      <w:bookmarkStart w:id="1169" w:name="Tc_g7ujFVBG-ku4YOWoMxRFng_15_1"/>
      <w:bookmarkStart w:id="1170" w:name="Tc_oV3n6B6vcUefhsmytmpINg_15_0"/>
      <w:bookmarkStart w:id="1171" w:name="Tc_Gjm77k8gFEaDffEDt3w9oA_14_10"/>
      <w:bookmarkStart w:id="1172" w:name="Tc_TKOhcTs4b0m7-ujI7acIgQ_14_7"/>
      <w:bookmarkStart w:id="1173" w:name="Tc_ERRGQTtmhUmzD8Mm5MbZPQ_14_4"/>
      <w:bookmarkStart w:id="1174" w:name="Tc_l-OWNQ8sZ0aowLsFpRU4gg_14_1"/>
      <w:bookmarkStart w:id="1175" w:name="Tc_fQhwrXlHmU2hjh8hRNaSUQ_14_0"/>
      <w:bookmarkStart w:id="1176" w:name="Tc_7BqhH1eZM0Wyd9qv3Io61g_13_0"/>
      <w:bookmarkStart w:id="1177" w:name="Tc_y3Z2NuaGPk62tAFNBfoBSg_12_0"/>
      <w:bookmarkStart w:id="1178" w:name="Tc_-yBfbRbmp0C6R0Q3Z8izhg_10_10"/>
      <w:bookmarkStart w:id="1179" w:name="Tc_ykbNGJuuNkm6wsFssMAgfw_10_7"/>
      <w:bookmarkStart w:id="1180" w:name="Tc_bM9OY1G_hk-t3KsANVE2MA_10_4"/>
      <w:bookmarkStart w:id="1181" w:name="Tc_QpG0LPwiA0WBHP3PIdVBCg_10_1"/>
      <w:bookmarkStart w:id="1182" w:name="Tc_YKLuJHGnQEG5mi-u4WBzPg_10_0"/>
      <w:bookmarkStart w:id="1183" w:name="Tc_5XiE1N4rz0iqQY-vqcZJQA_9_0"/>
      <w:bookmarkStart w:id="1184" w:name="Tc_ecwMPaKmrU2XaOfY1BsEfw_8_0"/>
      <w:bookmarkStart w:id="1185" w:name="Tc_N3rHE6cHqUirxImHE0lW-g_7_10"/>
      <w:bookmarkStart w:id="1186" w:name="Tc_7CKwjxTvFEy9eMl3fx5Lbw_7_7"/>
      <w:bookmarkStart w:id="1187" w:name="Tc_U85kO5rnx0ikVbmmtCeQvQ_7_4"/>
      <w:bookmarkStart w:id="1188" w:name="Tc_6uURJNbLDEOvFLx9nrFrIQ_7_1"/>
      <w:bookmarkStart w:id="1189" w:name="Tc_T7Cysw2K_kykLGdsphI5GQ_7_0"/>
      <w:bookmarkStart w:id="1190" w:name="Tc_JKK3i7oa6EC31WO4FfAXYw_6_0"/>
      <w:bookmarkStart w:id="1191" w:name="Tc_QM_7vQfIek61eW7-k_MhJw_5_0"/>
      <w:bookmarkStart w:id="1192" w:name="Tc_qC9Yu_G3XUql2VUjzyMOfw_4_7"/>
      <w:bookmarkStart w:id="1193" w:name="Tc_1hYDque9FE-w6NbK36pL5g_4_1"/>
      <w:bookmarkStart w:id="1194" w:name="Tc_nSSSfcL4_E6YH2zz0vI6ZQ_3_11"/>
      <w:bookmarkStart w:id="1195" w:name="Tc_moJzoBjzDUON9NaAqrhBmQ_3_8"/>
      <w:bookmarkStart w:id="1196" w:name="Tc_YzL-mZ0B1EKszvMJ-TWPOA_3_5"/>
      <w:bookmarkStart w:id="1197" w:name="Tc__GDTkcYObUS-xiXnQy0rCA_3_2"/>
      <w:bookmarkStart w:id="1198" w:name="Tc__I8DP2Jfika3zxH6XmWAdg_2_8"/>
      <w:bookmarkStart w:id="1199" w:name="Tc_1z0pTU0T9UaqwT9Cyejpfg_2_2"/>
      <w:bookmarkStart w:id="1200" w:name="Tc_tAqnPy23JU-1M6TNCkRxNQ_1_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r>
        <w:rPr>
          <w:rFonts w:ascii="Times New Roman;Times;serif" w:hAnsi="Times New Roman;Times;serif"/>
          <w:sz w:val="20"/>
        </w:rPr>
        <w:t>performance period. In periods of net loss available to common stockholders, diluted calculations are equal to basic calculations because the inclusion of potential common stock equivalents would be anti-dilutive.</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tables below illustrate the calculation of basic and diluted net income per common share for the Class A common stock and Class B common stock for the periods reflected below. </w:t>
      </w:r>
    </w:p>
    <w:p>
      <w:pPr>
        <w:pStyle w:val="TextBody"/>
        <w:bidi w:val="0"/>
        <w:spacing w:before="0" w:after="0"/>
        <w:ind w:left="0" w:right="0" w:firstLine="360"/>
        <w:jc w:val="both"/>
        <w:rPr/>
      </w:pPr>
      <w:r>
        <w:rPr/>
        <w:t>​</w:t>
      </w:r>
    </w:p>
    <w:p>
      <w:pPr>
        <w:pStyle w:val="TextBody"/>
        <w:bidi w:val="0"/>
        <w:spacing w:before="0" w:after="0"/>
        <w:ind w:left="0" w:right="0" w:firstLine="360"/>
        <w:jc w:val="both"/>
        <w:rPr/>
      </w:pPr>
      <w:r>
        <w:rPr/>
        <w:t>​</w:t>
      </w:r>
    </w:p>
    <w:tbl>
      <w:tblPr>
        <w:tblW w:w="10205" w:type="dxa"/>
        <w:jc w:val="left"/>
        <w:tblInd w:w="0" w:type="dxa"/>
        <w:tblLayout w:type="fixed"/>
        <w:tblCellMar>
          <w:top w:w="0" w:type="dxa"/>
          <w:left w:w="0" w:type="dxa"/>
          <w:bottom w:w="0" w:type="dxa"/>
          <w:right w:w="0" w:type="dxa"/>
        </w:tblCellMar>
      </w:tblPr>
      <w:tblGrid>
        <w:gridCol w:w="4141"/>
        <w:gridCol w:w="322"/>
        <w:gridCol w:w="1027"/>
        <w:gridCol w:w="179"/>
        <w:gridCol w:w="322"/>
        <w:gridCol w:w="1053"/>
        <w:gridCol w:w="179"/>
        <w:gridCol w:w="322"/>
        <w:gridCol w:w="1027"/>
        <w:gridCol w:w="179"/>
        <w:gridCol w:w="322"/>
        <w:gridCol w:w="1132"/>
      </w:tblGrid>
      <w:tr>
        <w:trPr/>
        <w:tc>
          <w:tcPr>
            <w:tcW w:w="4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2629535" cy="175260"/>
                      <wp:effectExtent l="0" t="0" r="0" b="0"/>
                      <wp:wrapNone/>
                      <wp:docPr id="233" name="Frame233"/>
                      <a:graphic xmlns:a="http://schemas.openxmlformats.org/drawingml/2006/main">
                        <a:graphicData uri="http://schemas.microsoft.com/office/word/2010/wordprocessingShape">
                          <wps:wsp>
                            <wps:cNvSpPr txBox="1"/>
                            <wps:spPr>
                              <a:xfrm>
                                <a:off x="0" y="0"/>
                                <a:ext cx="2629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204470" cy="175260"/>
                      <wp:effectExtent l="0" t="0" r="0" b="0"/>
                      <wp:wrapNone/>
                      <wp:docPr id="234" name="Frame234"/>
                      <a:graphic xmlns:a="http://schemas.openxmlformats.org/drawingml/2006/main">
                        <a:graphicData uri="http://schemas.microsoft.com/office/word/2010/wordprocessingShape">
                          <wps:wsp>
                            <wps:cNvSpPr txBox="1"/>
                            <wps:spPr>
                              <a:xfrm>
                                <a:off x="0" y="0"/>
                                <a:ext cx="2044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52145" cy="175260"/>
                      <wp:effectExtent l="0" t="0" r="0" b="0"/>
                      <wp:wrapNone/>
                      <wp:docPr id="235" name="Frame235"/>
                      <a:graphic xmlns:a="http://schemas.openxmlformats.org/drawingml/2006/main">
                        <a:graphicData uri="http://schemas.microsoft.com/office/word/2010/wordprocessingShape">
                          <wps:wsp>
                            <wps:cNvSpPr txBox="1"/>
                            <wps:spPr>
                              <a:xfrm>
                                <a:off x="0" y="0"/>
                                <a:ext cx="6521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113665" cy="175260"/>
                      <wp:effectExtent l="0" t="0" r="0" b="0"/>
                      <wp:wrapNone/>
                      <wp:docPr id="236" name="Frame236"/>
                      <a:graphic xmlns:a="http://schemas.openxmlformats.org/drawingml/2006/main">
                        <a:graphicData uri="http://schemas.microsoft.com/office/word/2010/wordprocessingShape">
                          <wps:wsp>
                            <wps:cNvSpPr txBox="1"/>
                            <wps:spPr>
                              <a:xfrm>
                                <a:off x="0" y="0"/>
                                <a:ext cx="113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204470" cy="175260"/>
                      <wp:effectExtent l="0" t="0" r="0" b="0"/>
                      <wp:wrapNone/>
                      <wp:docPr id="237" name="Frame237"/>
                      <a:graphic xmlns:a="http://schemas.openxmlformats.org/drawingml/2006/main">
                        <a:graphicData uri="http://schemas.microsoft.com/office/word/2010/wordprocessingShape">
                          <wps:wsp>
                            <wps:cNvSpPr txBox="1"/>
                            <wps:spPr>
                              <a:xfrm>
                                <a:off x="0" y="0"/>
                                <a:ext cx="2044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68655" cy="175260"/>
                      <wp:effectExtent l="0" t="0" r="0" b="0"/>
                      <wp:wrapNone/>
                      <wp:docPr id="238" name="Frame238"/>
                      <a:graphic xmlns:a="http://schemas.openxmlformats.org/drawingml/2006/main">
                        <a:graphicData uri="http://schemas.microsoft.com/office/word/2010/wordprocessingShape">
                          <wps:wsp>
                            <wps:cNvSpPr txBox="1"/>
                            <wps:spPr>
                              <a:xfrm>
                                <a:off x="0" y="0"/>
                                <a:ext cx="6686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113665" cy="175260"/>
                      <wp:effectExtent l="0" t="0" r="0" b="0"/>
                      <wp:wrapNone/>
                      <wp:docPr id="239" name="Frame239"/>
                      <a:graphic xmlns:a="http://schemas.openxmlformats.org/drawingml/2006/main">
                        <a:graphicData uri="http://schemas.microsoft.com/office/word/2010/wordprocessingShape">
                          <wps:wsp>
                            <wps:cNvSpPr txBox="1"/>
                            <wps:spPr>
                              <a:xfrm>
                                <a:off x="0" y="0"/>
                                <a:ext cx="113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204470" cy="175260"/>
                      <wp:effectExtent l="0" t="0" r="0" b="0"/>
                      <wp:wrapNone/>
                      <wp:docPr id="240" name="Frame240"/>
                      <a:graphic xmlns:a="http://schemas.openxmlformats.org/drawingml/2006/main">
                        <a:graphicData uri="http://schemas.microsoft.com/office/word/2010/wordprocessingShape">
                          <wps:wsp>
                            <wps:cNvSpPr txBox="1"/>
                            <wps:spPr>
                              <a:xfrm>
                                <a:off x="0" y="0"/>
                                <a:ext cx="2044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52145" cy="175260"/>
                      <wp:effectExtent l="0" t="0" r="0" b="0"/>
                      <wp:wrapNone/>
                      <wp:docPr id="241" name="Frame241"/>
                      <a:graphic xmlns:a="http://schemas.openxmlformats.org/drawingml/2006/main">
                        <a:graphicData uri="http://schemas.microsoft.com/office/word/2010/wordprocessingShape">
                          <wps:wsp>
                            <wps:cNvSpPr txBox="1"/>
                            <wps:spPr>
                              <a:xfrm>
                                <a:off x="0" y="0"/>
                                <a:ext cx="6521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113665" cy="175260"/>
                      <wp:effectExtent l="0" t="0" r="0" b="0"/>
                      <wp:wrapNone/>
                      <wp:docPr id="242" name="Frame242"/>
                      <a:graphic xmlns:a="http://schemas.openxmlformats.org/drawingml/2006/main">
                        <a:graphicData uri="http://schemas.microsoft.com/office/word/2010/wordprocessingShape">
                          <wps:wsp>
                            <wps:cNvSpPr txBox="1"/>
                            <wps:spPr>
                              <a:xfrm>
                                <a:off x="0" y="0"/>
                                <a:ext cx="113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204470" cy="175260"/>
                      <wp:effectExtent l="0" t="0" r="0" b="0"/>
                      <wp:wrapNone/>
                      <wp:docPr id="243" name="Frame243"/>
                      <a:graphic xmlns:a="http://schemas.openxmlformats.org/drawingml/2006/main">
                        <a:graphicData uri="http://schemas.microsoft.com/office/word/2010/wordprocessingShape">
                          <wps:wsp>
                            <wps:cNvSpPr txBox="1"/>
                            <wps:spPr>
                              <a:xfrm>
                                <a:off x="0" y="0"/>
                                <a:ext cx="2044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718820" cy="175260"/>
                      <wp:effectExtent l="0" t="0" r="0" b="0"/>
                      <wp:wrapNone/>
                      <wp:docPr id="244" name="Frame244"/>
                      <a:graphic xmlns:a="http://schemas.openxmlformats.org/drawingml/2006/main">
                        <a:graphicData uri="http://schemas.microsoft.com/office/word/2010/wordprocessingShape">
                          <wps:wsp>
                            <wps:cNvSpPr txBox="1"/>
                            <wps:spPr>
                              <a:xfrm>
                                <a:off x="0" y="0"/>
                                <a:ext cx="7188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41" w:type="dxa"/>
            <w:tcBorders/>
            <w:vAlign w:val="center"/>
          </w:tcPr>
          <w:p>
            <w:pPr>
              <w:pStyle w:val="TableContents"/>
              <w:bidi w:val="0"/>
              <w:spacing w:before="0" w:after="0"/>
              <w:ind w:left="0" w:right="0" w:hanging="0"/>
              <w:jc w:val="left"/>
              <w:rPr/>
            </w:pPr>
            <w:r>
              <w:rPr/>
              <w:t>​</w:t>
            </w:r>
          </w:p>
        </w:tc>
        <w:tc>
          <w:tcPr>
            <w:tcW w:w="32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42"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three months ended March 31,</w:t>
            </w:r>
          </w:p>
        </w:tc>
      </w:tr>
      <w:tr>
        <w:trPr/>
        <w:tc>
          <w:tcPr>
            <w:tcW w:w="4141" w:type="dxa"/>
            <w:tcBorders/>
            <w:vAlign w:val="center"/>
          </w:tcPr>
          <w:p>
            <w:pPr>
              <w:pStyle w:val="TableContents"/>
              <w:bidi w:val="0"/>
              <w:spacing w:before="0" w:after="0"/>
              <w:ind w:left="0" w:right="0" w:hanging="0"/>
              <w:jc w:val="left"/>
              <w:rPr/>
            </w:pPr>
            <w:r>
              <w:rPr/>
              <w:t>​</w:t>
            </w:r>
          </w:p>
        </w:tc>
        <w:tc>
          <w:tcPr>
            <w:tcW w:w="32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581"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79" w:type="dxa"/>
            <w:tcBorders/>
            <w:vAlign w:val="center"/>
          </w:tcPr>
          <w:p>
            <w:pPr>
              <w:pStyle w:val="TableContents"/>
              <w:bidi w:val="0"/>
              <w:spacing w:before="0" w:after="0"/>
              <w:ind w:left="0" w:right="0" w:hanging="0"/>
              <w:jc w:val="center"/>
              <w:rPr/>
            </w:pPr>
            <w:r>
              <w:rPr/>
              <w:t>​</w:t>
            </w:r>
          </w:p>
        </w:tc>
        <w:tc>
          <w:tcPr>
            <w:tcW w:w="322"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2660"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141" w:type="dxa"/>
            <w:tcBorders/>
            <w:vAlign w:val="center"/>
          </w:tcPr>
          <w:p>
            <w:pPr>
              <w:pStyle w:val="TableContents"/>
              <w:bidi w:val="0"/>
              <w:spacing w:before="0" w:after="0"/>
              <w:ind w:left="0" w:right="0" w:hanging="0"/>
              <w:jc w:val="left"/>
              <w:rPr/>
            </w:pPr>
            <w:r>
              <w:rPr/>
              <w:t>​</w:t>
            </w:r>
          </w:p>
        </w:tc>
        <w:tc>
          <w:tcPr>
            <w:tcW w:w="32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2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Class A</w:t>
            </w:r>
          </w:p>
        </w:tc>
        <w:tc>
          <w:tcPr>
            <w:tcW w:w="179" w:type="dxa"/>
            <w:tcBorders/>
            <w:vAlign w:val="center"/>
          </w:tcPr>
          <w:p>
            <w:pPr>
              <w:pStyle w:val="TableContents"/>
              <w:bidi w:val="0"/>
              <w:spacing w:before="0" w:after="0"/>
              <w:ind w:left="0" w:right="0" w:hanging="0"/>
              <w:jc w:val="left"/>
              <w:rPr/>
            </w:pPr>
            <w:r>
              <w:rPr/>
              <w:t>​</w:t>
            </w:r>
          </w:p>
        </w:tc>
        <w:tc>
          <w:tcPr>
            <w:tcW w:w="322"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05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Class B </w:t>
            </w:r>
          </w:p>
        </w:tc>
        <w:tc>
          <w:tcPr>
            <w:tcW w:w="179" w:type="dxa"/>
            <w:tcBorders/>
            <w:vAlign w:val="center"/>
          </w:tcPr>
          <w:p>
            <w:pPr>
              <w:pStyle w:val="TableContents"/>
              <w:bidi w:val="0"/>
              <w:spacing w:before="0" w:after="0"/>
              <w:ind w:left="0" w:right="0" w:hanging="0"/>
              <w:jc w:val="center"/>
              <w:rPr/>
            </w:pPr>
            <w:r>
              <w:rPr/>
              <w:t>​</w:t>
            </w:r>
          </w:p>
        </w:tc>
        <w:tc>
          <w:tcPr>
            <w:tcW w:w="322"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02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Class A</w:t>
            </w:r>
          </w:p>
        </w:tc>
        <w:tc>
          <w:tcPr>
            <w:tcW w:w="179" w:type="dxa"/>
            <w:tcBorders/>
            <w:vAlign w:val="center"/>
          </w:tcPr>
          <w:p>
            <w:pPr>
              <w:pStyle w:val="TableContents"/>
              <w:bidi w:val="0"/>
              <w:spacing w:before="0" w:after="0"/>
              <w:ind w:left="0" w:right="0" w:hanging="0"/>
              <w:jc w:val="left"/>
              <w:rPr/>
            </w:pPr>
            <w:r>
              <w:rPr/>
              <w:t>​</w:t>
            </w:r>
          </w:p>
        </w:tc>
        <w:tc>
          <w:tcPr>
            <w:tcW w:w="322"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13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Class B </w:t>
            </w:r>
          </w:p>
        </w:tc>
      </w:tr>
      <w:tr>
        <w:trPr/>
        <w:tc>
          <w:tcPr>
            <w:tcW w:w="10205" w:type="dxa"/>
            <w:gridSpan w:val="12"/>
            <w:tcBorders/>
            <w:vAlign w:val="center"/>
          </w:tcPr>
          <w:p>
            <w:pPr>
              <w:pStyle w:val="TableContents"/>
              <w:bidi w:val="0"/>
              <w:spacing w:before="0" w:after="283"/>
              <w:ind w:left="0" w:right="0" w:hanging="0"/>
              <w:jc w:val="left"/>
              <w:rPr>
                <w:sz w:val="4"/>
                <w:szCs w:val="4"/>
              </w:rPr>
            </w:pPr>
            <w:r>
              <w:rPr>
                <w:sz w:val="4"/>
                <w:szCs w:val="4"/>
              </w:rPr>
            </w:r>
          </w:p>
        </w:tc>
      </w:tr>
      <w:tr>
        <w:trPr/>
        <w:tc>
          <w:tcPr>
            <w:tcW w:w="4141" w:type="dxa"/>
            <w:tcBorders/>
            <w:vAlign w:val="center"/>
          </w:tcPr>
          <w:p>
            <w:pPr>
              <w:pStyle w:val="TableContents"/>
              <w:bidi w:val="0"/>
              <w:spacing w:before="0" w:after="0"/>
              <w:ind w:left="0" w:right="0" w:hanging="0"/>
              <w:jc w:val="left"/>
              <w:rPr/>
            </w:pPr>
            <w:r>
              <w:rPr/>
              <w:t>​</w:t>
            </w:r>
          </w:p>
        </w:tc>
        <w:tc>
          <w:tcPr>
            <w:tcW w:w="2903"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179" w:type="dxa"/>
            <w:tcBorders/>
            <w:vAlign w:val="center"/>
          </w:tcPr>
          <w:p>
            <w:pPr>
              <w:pStyle w:val="TableContents"/>
              <w:bidi w:val="0"/>
              <w:spacing w:before="0" w:after="0"/>
              <w:ind w:left="0" w:right="0" w:hanging="0"/>
              <w:jc w:val="left"/>
              <w:rPr/>
            </w:pPr>
            <w:r>
              <w:rPr/>
              <w:t>​</w:t>
            </w:r>
          </w:p>
        </w:tc>
        <w:tc>
          <w:tcPr>
            <w:tcW w:w="2982"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r>
      <w:tr>
        <w:trPr/>
        <w:tc>
          <w:tcPr>
            <w:tcW w:w="4141"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Basic net income per share:</w:t>
            </w:r>
          </w:p>
        </w:tc>
        <w:tc>
          <w:tcPr>
            <w:tcW w:w="322" w:type="dxa"/>
            <w:tcBorders/>
            <w:shd w:fill="CCEEFF" w:val="clear"/>
            <w:vAlign w:val="center"/>
          </w:tcPr>
          <w:p>
            <w:pPr>
              <w:pStyle w:val="TableContents"/>
              <w:bidi w:val="0"/>
              <w:spacing w:before="0" w:after="0"/>
              <w:ind w:left="0" w:right="0" w:hanging="0"/>
              <w:jc w:val="left"/>
              <w:rPr/>
            </w:pPr>
            <w:r>
              <w:rPr/>
              <w:t>​</w:t>
            </w:r>
          </w:p>
        </w:tc>
        <w:tc>
          <w:tcPr>
            <w:tcW w:w="1027" w:type="dxa"/>
            <w:tcBorders/>
            <w:shd w:fill="CCEEFF" w:val="clear"/>
            <w:vAlign w:val="center"/>
          </w:tcPr>
          <w:p>
            <w:pPr>
              <w:pStyle w:val="TableContents"/>
              <w:bidi w:val="0"/>
              <w:spacing w:before="0" w:after="0"/>
              <w:ind w:left="0" w:right="0" w:hanging="0"/>
              <w:jc w:val="left"/>
              <w:rPr/>
            </w:pPr>
            <w:r>
              <w:rPr/>
              <w:t>​</w:t>
            </w:r>
          </w:p>
        </w:tc>
        <w:tc>
          <w:tcPr>
            <w:tcW w:w="179" w:type="dxa"/>
            <w:tcBorders/>
            <w:shd w:fill="CCEEFF" w:val="clear"/>
            <w:vAlign w:val="center"/>
          </w:tcPr>
          <w:p>
            <w:pPr>
              <w:pStyle w:val="TableContents"/>
              <w:bidi w:val="0"/>
              <w:spacing w:before="0" w:after="0"/>
              <w:ind w:left="0" w:right="0" w:hanging="0"/>
              <w:jc w:val="left"/>
              <w:rPr/>
            </w:pPr>
            <w:r>
              <w:rPr/>
              <w:t>​</w:t>
            </w:r>
          </w:p>
        </w:tc>
        <w:tc>
          <w:tcPr>
            <w:tcW w:w="322" w:type="dxa"/>
            <w:tcBorders/>
            <w:shd w:fill="CCEEFF" w:val="clear"/>
            <w:vAlign w:val="center"/>
          </w:tcPr>
          <w:p>
            <w:pPr>
              <w:pStyle w:val="TableContents"/>
              <w:bidi w:val="0"/>
              <w:spacing w:before="0" w:after="0"/>
              <w:ind w:left="0" w:right="0" w:hanging="0"/>
              <w:jc w:val="left"/>
              <w:rPr/>
            </w:pPr>
            <w:r>
              <w:rPr/>
              <w:t>​</w:t>
            </w:r>
          </w:p>
        </w:tc>
        <w:tc>
          <w:tcPr>
            <w:tcW w:w="1053" w:type="dxa"/>
            <w:tcBorders/>
            <w:shd w:fill="CCEEFF" w:val="clear"/>
            <w:vAlign w:val="center"/>
          </w:tcPr>
          <w:p>
            <w:pPr>
              <w:pStyle w:val="TableContents"/>
              <w:bidi w:val="0"/>
              <w:spacing w:before="0" w:after="0"/>
              <w:ind w:left="0" w:right="0" w:hanging="0"/>
              <w:jc w:val="left"/>
              <w:rPr/>
            </w:pPr>
            <w:r>
              <w:rPr/>
              <w:t>​</w:t>
            </w:r>
          </w:p>
        </w:tc>
        <w:tc>
          <w:tcPr>
            <w:tcW w:w="179" w:type="dxa"/>
            <w:tcBorders/>
            <w:shd w:fill="CCEEFF" w:val="clear"/>
            <w:vAlign w:val="center"/>
          </w:tcPr>
          <w:p>
            <w:pPr>
              <w:pStyle w:val="TableContents"/>
              <w:bidi w:val="0"/>
              <w:spacing w:before="0" w:after="0"/>
              <w:ind w:left="0" w:right="0" w:hanging="0"/>
              <w:jc w:val="left"/>
              <w:rPr/>
            </w:pPr>
            <w:r>
              <w:rPr/>
              <w:t>​</w:t>
            </w:r>
          </w:p>
        </w:tc>
        <w:tc>
          <w:tcPr>
            <w:tcW w:w="322" w:type="dxa"/>
            <w:tcBorders/>
            <w:shd w:fill="CCEEFF" w:val="clear"/>
            <w:vAlign w:val="center"/>
          </w:tcPr>
          <w:p>
            <w:pPr>
              <w:pStyle w:val="TableContents"/>
              <w:bidi w:val="0"/>
              <w:spacing w:before="0" w:after="0"/>
              <w:ind w:left="0" w:right="0" w:hanging="0"/>
              <w:jc w:val="center"/>
              <w:rPr/>
            </w:pPr>
            <w:r>
              <w:rPr/>
              <w:t>​</w:t>
            </w:r>
          </w:p>
        </w:tc>
        <w:tc>
          <w:tcPr>
            <w:tcW w:w="1027" w:type="dxa"/>
            <w:tcBorders/>
            <w:shd w:fill="CCEEFF" w:val="clear"/>
            <w:vAlign w:val="center"/>
          </w:tcPr>
          <w:p>
            <w:pPr>
              <w:pStyle w:val="TableContents"/>
              <w:bidi w:val="0"/>
              <w:spacing w:before="0" w:after="0"/>
              <w:ind w:left="0" w:right="0" w:hanging="0"/>
              <w:jc w:val="center"/>
              <w:rPr/>
            </w:pPr>
            <w:r>
              <w:rPr/>
              <w:t>​</w:t>
            </w:r>
          </w:p>
        </w:tc>
        <w:tc>
          <w:tcPr>
            <w:tcW w:w="179" w:type="dxa"/>
            <w:tcBorders/>
            <w:shd w:fill="CCEEFF" w:val="clear"/>
            <w:vAlign w:val="center"/>
          </w:tcPr>
          <w:p>
            <w:pPr>
              <w:pStyle w:val="TableContents"/>
              <w:bidi w:val="0"/>
              <w:spacing w:before="0" w:after="0"/>
              <w:ind w:left="0" w:right="0" w:hanging="0"/>
              <w:jc w:val="left"/>
              <w:rPr/>
            </w:pPr>
            <w:r>
              <w:rPr/>
              <w:t>​</w:t>
            </w:r>
          </w:p>
        </w:tc>
        <w:tc>
          <w:tcPr>
            <w:tcW w:w="322" w:type="dxa"/>
            <w:tcBorders/>
            <w:shd w:fill="CCEEFF" w:val="clear"/>
            <w:vAlign w:val="center"/>
          </w:tcPr>
          <w:p>
            <w:pPr>
              <w:pStyle w:val="TableContents"/>
              <w:bidi w:val="0"/>
              <w:spacing w:before="0" w:after="0"/>
              <w:ind w:left="0" w:right="0" w:hanging="0"/>
              <w:jc w:val="center"/>
              <w:rPr/>
            </w:pPr>
            <w:r>
              <w:rPr/>
              <w:t>​</w:t>
            </w:r>
          </w:p>
        </w:tc>
        <w:tc>
          <w:tcPr>
            <w:tcW w:w="1132" w:type="dxa"/>
            <w:tcBorders/>
            <w:shd w:fill="CCEEFF" w:val="clear"/>
            <w:vAlign w:val="center"/>
          </w:tcPr>
          <w:p>
            <w:pPr>
              <w:pStyle w:val="TableContents"/>
              <w:bidi w:val="0"/>
              <w:spacing w:before="0" w:after="0"/>
              <w:ind w:left="0" w:right="0" w:hanging="0"/>
              <w:jc w:val="center"/>
              <w:rPr/>
            </w:pPr>
            <w:r>
              <w:rPr/>
              <w:t>​</w:t>
            </w:r>
          </w:p>
        </w:tc>
      </w:tr>
      <w:tr>
        <w:trPr/>
        <w:tc>
          <w:tcPr>
            <w:tcW w:w="41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Numerator</w:t>
            </w:r>
          </w:p>
        </w:tc>
        <w:tc>
          <w:tcPr>
            <w:tcW w:w="322" w:type="dxa"/>
            <w:tcBorders/>
            <w:vAlign w:val="center"/>
          </w:tcPr>
          <w:p>
            <w:pPr>
              <w:pStyle w:val="TableContents"/>
              <w:bidi w:val="0"/>
              <w:spacing w:before="0" w:after="0"/>
              <w:ind w:left="0" w:right="0" w:hanging="0"/>
              <w:jc w:val="left"/>
              <w:rPr/>
            </w:pPr>
            <w:r>
              <w:rPr/>
              <w:t>​</w:t>
            </w:r>
          </w:p>
        </w:tc>
        <w:tc>
          <w:tcPr>
            <w:tcW w:w="1027" w:type="dxa"/>
            <w:tcBorders/>
            <w:vAlign w:val="center"/>
          </w:tcPr>
          <w:p>
            <w:pPr>
              <w:pStyle w:val="TableContents"/>
              <w:bidi w:val="0"/>
              <w:spacing w:before="0" w:after="0"/>
              <w:ind w:left="0" w:right="0" w:hanging="0"/>
              <w:jc w:val="left"/>
              <w:rPr/>
            </w:pPr>
            <w:r>
              <w:rPr/>
              <w:t>​</w:t>
            </w:r>
          </w:p>
        </w:tc>
        <w:tc>
          <w:tcPr>
            <w:tcW w:w="179" w:type="dxa"/>
            <w:tcBorders/>
            <w:vAlign w:val="center"/>
          </w:tcPr>
          <w:p>
            <w:pPr>
              <w:pStyle w:val="TableContents"/>
              <w:bidi w:val="0"/>
              <w:spacing w:before="0" w:after="0"/>
              <w:ind w:left="0" w:right="0" w:hanging="0"/>
              <w:jc w:val="left"/>
              <w:rPr/>
            </w:pPr>
            <w:r>
              <w:rPr/>
              <w:t>​</w:t>
            </w:r>
          </w:p>
        </w:tc>
        <w:tc>
          <w:tcPr>
            <w:tcW w:w="322" w:type="dxa"/>
            <w:tcBorders/>
            <w:vAlign w:val="center"/>
          </w:tcPr>
          <w:p>
            <w:pPr>
              <w:pStyle w:val="TableContents"/>
              <w:bidi w:val="0"/>
              <w:spacing w:before="0" w:after="0"/>
              <w:ind w:left="0" w:right="0" w:hanging="0"/>
              <w:jc w:val="left"/>
              <w:rPr/>
            </w:pPr>
            <w:r>
              <w:rPr/>
              <w:t>​</w:t>
            </w:r>
          </w:p>
        </w:tc>
        <w:tc>
          <w:tcPr>
            <w:tcW w:w="1053" w:type="dxa"/>
            <w:tcBorders/>
            <w:vAlign w:val="center"/>
          </w:tcPr>
          <w:p>
            <w:pPr>
              <w:pStyle w:val="TableContents"/>
              <w:bidi w:val="0"/>
              <w:spacing w:before="0" w:after="0"/>
              <w:ind w:left="0" w:right="0" w:hanging="0"/>
              <w:jc w:val="left"/>
              <w:rPr/>
            </w:pPr>
            <w:r>
              <w:rPr/>
              <w:t>​</w:t>
            </w:r>
          </w:p>
        </w:tc>
        <w:tc>
          <w:tcPr>
            <w:tcW w:w="179" w:type="dxa"/>
            <w:tcBorders/>
            <w:vAlign w:val="center"/>
          </w:tcPr>
          <w:p>
            <w:pPr>
              <w:pStyle w:val="TableContents"/>
              <w:bidi w:val="0"/>
              <w:spacing w:before="0" w:after="0"/>
              <w:ind w:left="0" w:right="0" w:hanging="0"/>
              <w:jc w:val="left"/>
              <w:rPr/>
            </w:pPr>
            <w:r>
              <w:rPr/>
              <w:t>​</w:t>
            </w:r>
          </w:p>
        </w:tc>
        <w:tc>
          <w:tcPr>
            <w:tcW w:w="322" w:type="dxa"/>
            <w:tcBorders/>
            <w:vAlign w:val="center"/>
          </w:tcPr>
          <w:p>
            <w:pPr>
              <w:pStyle w:val="TableContents"/>
              <w:bidi w:val="0"/>
              <w:spacing w:before="0" w:after="0"/>
              <w:ind w:left="0" w:right="0" w:hanging="0"/>
              <w:jc w:val="center"/>
              <w:rPr/>
            </w:pPr>
            <w:r>
              <w:rPr/>
              <w:t>​</w:t>
            </w:r>
          </w:p>
        </w:tc>
        <w:tc>
          <w:tcPr>
            <w:tcW w:w="1027" w:type="dxa"/>
            <w:tcBorders/>
            <w:vAlign w:val="center"/>
          </w:tcPr>
          <w:p>
            <w:pPr>
              <w:pStyle w:val="TableContents"/>
              <w:bidi w:val="0"/>
              <w:spacing w:before="0" w:after="0"/>
              <w:ind w:left="0" w:right="0" w:hanging="0"/>
              <w:jc w:val="left"/>
              <w:rPr/>
            </w:pPr>
            <w:r>
              <w:rPr/>
              <w:t>​</w:t>
            </w:r>
          </w:p>
        </w:tc>
        <w:tc>
          <w:tcPr>
            <w:tcW w:w="179" w:type="dxa"/>
            <w:tcBorders/>
            <w:vAlign w:val="center"/>
          </w:tcPr>
          <w:p>
            <w:pPr>
              <w:pStyle w:val="TableContents"/>
              <w:bidi w:val="0"/>
              <w:spacing w:before="0" w:after="0"/>
              <w:ind w:left="0" w:right="0" w:hanging="0"/>
              <w:jc w:val="left"/>
              <w:rPr/>
            </w:pPr>
            <w:r>
              <w:rPr/>
              <w:t>​</w:t>
            </w:r>
          </w:p>
        </w:tc>
        <w:tc>
          <w:tcPr>
            <w:tcW w:w="322" w:type="dxa"/>
            <w:tcBorders/>
            <w:vAlign w:val="center"/>
          </w:tcPr>
          <w:p>
            <w:pPr>
              <w:pStyle w:val="TableContents"/>
              <w:bidi w:val="0"/>
              <w:spacing w:before="0" w:after="0"/>
              <w:ind w:left="0" w:right="0" w:hanging="0"/>
              <w:jc w:val="center"/>
              <w:rPr/>
            </w:pPr>
            <w:r>
              <w:rPr/>
              <w:t>​</w:t>
            </w:r>
          </w:p>
        </w:tc>
        <w:tc>
          <w:tcPr>
            <w:tcW w:w="1132" w:type="dxa"/>
            <w:tcBorders/>
            <w:vAlign w:val="center"/>
          </w:tcPr>
          <w:p>
            <w:pPr>
              <w:pStyle w:val="TableContents"/>
              <w:bidi w:val="0"/>
              <w:spacing w:before="0" w:after="0"/>
              <w:ind w:left="0" w:right="0" w:hanging="0"/>
              <w:jc w:val="left"/>
              <w:rPr/>
            </w:pPr>
            <w:r>
              <w:rPr/>
              <w:t>​</w:t>
            </w:r>
          </w:p>
        </w:tc>
      </w:tr>
      <w:tr>
        <w:trPr/>
        <w:tc>
          <w:tcPr>
            <w:tcW w:w="414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Allocation of net income </w:t>
            </w:r>
            <w:r>
              <w:rPr>
                <w:rFonts w:ascii="Times New Roman;Times;serif" w:hAnsi="Times New Roman;Times;serif"/>
                <w:sz w:val="14"/>
              </w:rPr>
              <w:t>(1)</w:t>
            </w:r>
          </w:p>
        </w:tc>
        <w:tc>
          <w:tcPr>
            <w:tcW w:w="322"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102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5,029</w:t>
            </w:r>
          </w:p>
        </w:tc>
        <w:tc>
          <w:tcPr>
            <w:tcW w:w="179" w:type="dxa"/>
            <w:tcBorders/>
            <w:shd w:fill="CCEEFF" w:val="clear"/>
            <w:vAlign w:val="center"/>
          </w:tcPr>
          <w:p>
            <w:pPr>
              <w:pStyle w:val="TableContents"/>
              <w:bidi w:val="0"/>
              <w:spacing w:before="0" w:after="0"/>
              <w:ind w:left="0" w:right="0" w:hanging="0"/>
              <w:jc w:val="right"/>
              <w:rPr/>
            </w:pPr>
            <w:r>
              <w:rPr/>
              <w:t>​</w:t>
            </w:r>
          </w:p>
        </w:tc>
        <w:tc>
          <w:tcPr>
            <w:tcW w:w="322"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105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6,101</w:t>
            </w:r>
          </w:p>
        </w:tc>
        <w:tc>
          <w:tcPr>
            <w:tcW w:w="179" w:type="dxa"/>
            <w:tcBorders/>
            <w:shd w:fill="CCEEFF" w:val="clear"/>
            <w:vAlign w:val="center"/>
          </w:tcPr>
          <w:p>
            <w:pPr>
              <w:pStyle w:val="TableContents"/>
              <w:bidi w:val="0"/>
              <w:spacing w:before="0" w:after="0"/>
              <w:ind w:left="0" w:right="0" w:hanging="0"/>
              <w:jc w:val="right"/>
              <w:rPr/>
            </w:pPr>
            <w:r>
              <w:rPr/>
              <w:t>​</w:t>
            </w:r>
          </w:p>
        </w:tc>
        <w:tc>
          <w:tcPr>
            <w:tcW w:w="322"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102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1,071</w:t>
            </w:r>
          </w:p>
        </w:tc>
        <w:tc>
          <w:tcPr>
            <w:tcW w:w="179" w:type="dxa"/>
            <w:tcBorders/>
            <w:shd w:fill="CCEEFF" w:val="clear"/>
            <w:vAlign w:val="center"/>
          </w:tcPr>
          <w:p>
            <w:pPr>
              <w:pStyle w:val="TableContents"/>
              <w:bidi w:val="0"/>
              <w:spacing w:before="0" w:after="0"/>
              <w:ind w:left="0" w:right="0" w:hanging="0"/>
              <w:jc w:val="right"/>
              <w:rPr/>
            </w:pPr>
            <w:r>
              <w:rPr/>
              <w:t>​</w:t>
            </w:r>
          </w:p>
        </w:tc>
        <w:tc>
          <w:tcPr>
            <w:tcW w:w="322"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113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1,613</w:t>
            </w:r>
          </w:p>
        </w:tc>
      </w:tr>
      <w:tr>
        <w:trPr/>
        <w:tc>
          <w:tcPr>
            <w:tcW w:w="41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Denominator</w:t>
            </w:r>
          </w:p>
        </w:tc>
        <w:tc>
          <w:tcPr>
            <w:tcW w:w="322" w:type="dxa"/>
            <w:tcBorders/>
            <w:vAlign w:val="center"/>
          </w:tcPr>
          <w:p>
            <w:pPr>
              <w:pStyle w:val="TableContents"/>
              <w:bidi w:val="0"/>
              <w:spacing w:before="0" w:after="0"/>
              <w:ind w:left="0" w:right="0" w:hanging="0"/>
              <w:jc w:val="center"/>
              <w:rPr/>
            </w:pPr>
            <w:r>
              <w:rPr/>
              <w:t>​</w:t>
            </w:r>
          </w:p>
        </w:tc>
        <w:tc>
          <w:tcPr>
            <w:tcW w:w="1027" w:type="dxa"/>
            <w:tcBorders/>
            <w:vAlign w:val="center"/>
          </w:tcPr>
          <w:p>
            <w:pPr>
              <w:pStyle w:val="TableContents"/>
              <w:bidi w:val="0"/>
              <w:spacing w:before="0" w:after="0"/>
              <w:ind w:left="0" w:right="0" w:hanging="0"/>
              <w:jc w:val="right"/>
              <w:rPr/>
            </w:pPr>
            <w:r>
              <w:rPr/>
              <w:t>​</w:t>
            </w:r>
          </w:p>
        </w:tc>
        <w:tc>
          <w:tcPr>
            <w:tcW w:w="179" w:type="dxa"/>
            <w:tcBorders/>
            <w:vAlign w:val="center"/>
          </w:tcPr>
          <w:p>
            <w:pPr>
              <w:pStyle w:val="TableContents"/>
              <w:bidi w:val="0"/>
              <w:spacing w:before="0" w:after="0"/>
              <w:ind w:left="0" w:right="0" w:hanging="0"/>
              <w:jc w:val="right"/>
              <w:rPr/>
            </w:pPr>
            <w:r>
              <w:rPr/>
              <w:t>​</w:t>
            </w:r>
          </w:p>
        </w:tc>
        <w:tc>
          <w:tcPr>
            <w:tcW w:w="322" w:type="dxa"/>
            <w:tcBorders/>
            <w:vAlign w:val="center"/>
          </w:tcPr>
          <w:p>
            <w:pPr>
              <w:pStyle w:val="TableContents"/>
              <w:bidi w:val="0"/>
              <w:spacing w:before="0" w:after="0"/>
              <w:ind w:left="0" w:right="0" w:hanging="0"/>
              <w:jc w:val="center"/>
              <w:rPr/>
            </w:pPr>
            <w:r>
              <w:rPr/>
              <w:t>​</w:t>
            </w:r>
          </w:p>
        </w:tc>
        <w:tc>
          <w:tcPr>
            <w:tcW w:w="1053" w:type="dxa"/>
            <w:tcBorders/>
            <w:vAlign w:val="center"/>
          </w:tcPr>
          <w:p>
            <w:pPr>
              <w:pStyle w:val="TableContents"/>
              <w:bidi w:val="0"/>
              <w:spacing w:before="0" w:after="0"/>
              <w:ind w:left="0" w:right="0" w:hanging="0"/>
              <w:jc w:val="right"/>
              <w:rPr/>
            </w:pPr>
            <w:r>
              <w:rPr/>
              <w:t>​</w:t>
            </w:r>
          </w:p>
        </w:tc>
        <w:tc>
          <w:tcPr>
            <w:tcW w:w="179" w:type="dxa"/>
            <w:tcBorders/>
            <w:vAlign w:val="center"/>
          </w:tcPr>
          <w:p>
            <w:pPr>
              <w:pStyle w:val="TableContents"/>
              <w:bidi w:val="0"/>
              <w:spacing w:before="0" w:after="0"/>
              <w:ind w:left="0" w:right="0" w:hanging="0"/>
              <w:jc w:val="right"/>
              <w:rPr/>
            </w:pPr>
            <w:r>
              <w:rPr/>
              <w:t>​</w:t>
            </w:r>
          </w:p>
        </w:tc>
        <w:tc>
          <w:tcPr>
            <w:tcW w:w="322" w:type="dxa"/>
            <w:tcBorders/>
            <w:vAlign w:val="center"/>
          </w:tcPr>
          <w:p>
            <w:pPr>
              <w:pStyle w:val="TableContents"/>
              <w:bidi w:val="0"/>
              <w:spacing w:before="0" w:after="0"/>
              <w:ind w:left="0" w:right="0" w:hanging="0"/>
              <w:jc w:val="center"/>
              <w:rPr/>
            </w:pPr>
            <w:r>
              <w:rPr/>
              <w:t>​</w:t>
            </w:r>
          </w:p>
        </w:tc>
        <w:tc>
          <w:tcPr>
            <w:tcW w:w="1027" w:type="dxa"/>
            <w:tcBorders/>
            <w:vAlign w:val="center"/>
          </w:tcPr>
          <w:p>
            <w:pPr>
              <w:pStyle w:val="TableContents"/>
              <w:bidi w:val="0"/>
              <w:spacing w:before="0" w:after="0"/>
              <w:ind w:left="0" w:right="0" w:hanging="0"/>
              <w:jc w:val="right"/>
              <w:rPr/>
            </w:pPr>
            <w:r>
              <w:rPr/>
              <w:t>​</w:t>
            </w:r>
          </w:p>
        </w:tc>
        <w:tc>
          <w:tcPr>
            <w:tcW w:w="179" w:type="dxa"/>
            <w:tcBorders/>
            <w:vAlign w:val="center"/>
          </w:tcPr>
          <w:p>
            <w:pPr>
              <w:pStyle w:val="TableContents"/>
              <w:bidi w:val="0"/>
              <w:spacing w:before="0" w:after="0"/>
              <w:ind w:left="0" w:right="0" w:hanging="0"/>
              <w:jc w:val="right"/>
              <w:rPr/>
            </w:pPr>
            <w:r>
              <w:rPr/>
              <w:t>​</w:t>
            </w:r>
          </w:p>
        </w:tc>
        <w:tc>
          <w:tcPr>
            <w:tcW w:w="322" w:type="dxa"/>
            <w:tcBorders/>
            <w:vAlign w:val="center"/>
          </w:tcPr>
          <w:p>
            <w:pPr>
              <w:pStyle w:val="TableContents"/>
              <w:bidi w:val="0"/>
              <w:spacing w:before="0" w:after="0"/>
              <w:ind w:left="0" w:right="0" w:hanging="0"/>
              <w:jc w:val="center"/>
              <w:rPr/>
            </w:pPr>
            <w:r>
              <w:rPr/>
              <w:t>​</w:t>
            </w:r>
          </w:p>
        </w:tc>
        <w:tc>
          <w:tcPr>
            <w:tcW w:w="1132" w:type="dxa"/>
            <w:tcBorders/>
            <w:vAlign w:val="center"/>
          </w:tcPr>
          <w:p>
            <w:pPr>
              <w:pStyle w:val="TableContents"/>
              <w:bidi w:val="0"/>
              <w:spacing w:before="0" w:after="0"/>
              <w:ind w:left="0" w:right="0" w:hanging="0"/>
              <w:jc w:val="right"/>
              <w:rPr/>
            </w:pPr>
            <w:r>
              <w:rPr/>
              <w:t>​</w:t>
            </w:r>
          </w:p>
        </w:tc>
      </w:tr>
      <w:tr>
        <w:trPr/>
        <w:tc>
          <w:tcPr>
            <w:tcW w:w="414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Total shares used in per share computation </w:t>
            </w:r>
          </w:p>
        </w:tc>
        <w:tc>
          <w:tcPr>
            <w:tcW w:w="322"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10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71,288</w:t>
            </w:r>
          </w:p>
        </w:tc>
        <w:tc>
          <w:tcPr>
            <w:tcW w:w="179" w:type="dxa"/>
            <w:tcBorders/>
            <w:shd w:fill="CCEEFF" w:val="clear"/>
            <w:vAlign w:val="center"/>
          </w:tcPr>
          <w:p>
            <w:pPr>
              <w:pStyle w:val="TableContents"/>
              <w:bidi w:val="0"/>
              <w:spacing w:before="0" w:after="0"/>
              <w:ind w:left="0" w:right="0" w:hanging="0"/>
              <w:jc w:val="right"/>
              <w:rPr/>
            </w:pPr>
            <w:r>
              <w:rPr/>
              <w:t>​</w:t>
            </w:r>
          </w:p>
        </w:tc>
        <w:tc>
          <w:tcPr>
            <w:tcW w:w="322"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 </w:t>
            </w:r>
          </w:p>
        </w:tc>
        <w:tc>
          <w:tcPr>
            <w:tcW w:w="105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86,481</w:t>
            </w:r>
          </w:p>
        </w:tc>
        <w:tc>
          <w:tcPr>
            <w:tcW w:w="179" w:type="dxa"/>
            <w:tcBorders/>
            <w:shd w:fill="CCEEFF" w:val="clear"/>
            <w:vAlign w:val="center"/>
          </w:tcPr>
          <w:p>
            <w:pPr>
              <w:pStyle w:val="TableContents"/>
              <w:bidi w:val="0"/>
              <w:spacing w:before="0" w:after="0"/>
              <w:ind w:left="0" w:right="0" w:hanging="0"/>
              <w:jc w:val="right"/>
              <w:rPr/>
            </w:pPr>
            <w:r>
              <w:rPr/>
              <w:t>​</w:t>
            </w:r>
          </w:p>
        </w:tc>
        <w:tc>
          <w:tcPr>
            <w:tcW w:w="322"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10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61,560</w:t>
            </w:r>
          </w:p>
        </w:tc>
        <w:tc>
          <w:tcPr>
            <w:tcW w:w="179" w:type="dxa"/>
            <w:tcBorders/>
            <w:shd w:fill="CCEEFF" w:val="clear"/>
            <w:vAlign w:val="center"/>
          </w:tcPr>
          <w:p>
            <w:pPr>
              <w:pStyle w:val="TableContents"/>
              <w:bidi w:val="0"/>
              <w:spacing w:before="0" w:after="0"/>
              <w:ind w:left="0" w:right="0" w:hanging="0"/>
              <w:jc w:val="right"/>
              <w:rPr/>
            </w:pPr>
            <w:r>
              <w:rPr/>
              <w:t>​</w:t>
            </w:r>
          </w:p>
        </w:tc>
        <w:tc>
          <w:tcPr>
            <w:tcW w:w="322"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 </w:t>
            </w:r>
          </w:p>
        </w:tc>
        <w:tc>
          <w:tcPr>
            <w:tcW w:w="11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92,661</w:t>
            </w:r>
          </w:p>
        </w:tc>
      </w:tr>
      <w:tr>
        <w:trPr/>
        <w:tc>
          <w:tcPr>
            <w:tcW w:w="4141"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Basic net income per share:</w:t>
            </w:r>
          </w:p>
        </w:tc>
        <w:tc>
          <w:tcPr>
            <w:tcW w:w="322"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102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0.07</w:t>
            </w:r>
          </w:p>
        </w:tc>
        <w:tc>
          <w:tcPr>
            <w:tcW w:w="179" w:type="dxa"/>
            <w:tcBorders/>
            <w:vAlign w:val="center"/>
          </w:tcPr>
          <w:p>
            <w:pPr>
              <w:pStyle w:val="TableContents"/>
              <w:bidi w:val="0"/>
              <w:spacing w:before="0" w:after="0"/>
              <w:ind w:left="0" w:right="0" w:hanging="0"/>
              <w:jc w:val="right"/>
              <w:rPr/>
            </w:pPr>
            <w:r>
              <w:rPr/>
              <w:t>​</w:t>
            </w:r>
          </w:p>
        </w:tc>
        <w:tc>
          <w:tcPr>
            <w:tcW w:w="322"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105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0.07</w:t>
            </w:r>
          </w:p>
        </w:tc>
        <w:tc>
          <w:tcPr>
            <w:tcW w:w="179" w:type="dxa"/>
            <w:tcBorders/>
            <w:vAlign w:val="center"/>
          </w:tcPr>
          <w:p>
            <w:pPr>
              <w:pStyle w:val="TableContents"/>
              <w:bidi w:val="0"/>
              <w:spacing w:before="0" w:after="0"/>
              <w:ind w:left="0" w:right="0" w:hanging="0"/>
              <w:jc w:val="right"/>
              <w:rPr/>
            </w:pPr>
            <w:r>
              <w:rPr/>
              <w:t>​</w:t>
            </w:r>
          </w:p>
        </w:tc>
        <w:tc>
          <w:tcPr>
            <w:tcW w:w="322"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102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0.02</w:t>
            </w:r>
          </w:p>
        </w:tc>
        <w:tc>
          <w:tcPr>
            <w:tcW w:w="179" w:type="dxa"/>
            <w:tcBorders/>
            <w:vAlign w:val="center"/>
          </w:tcPr>
          <w:p>
            <w:pPr>
              <w:pStyle w:val="TableContents"/>
              <w:bidi w:val="0"/>
              <w:spacing w:before="0" w:after="0"/>
              <w:ind w:left="0" w:right="0" w:hanging="0"/>
              <w:jc w:val="right"/>
              <w:rPr/>
            </w:pPr>
            <w:r>
              <w:rPr/>
              <w:t>​</w:t>
            </w:r>
          </w:p>
        </w:tc>
        <w:tc>
          <w:tcPr>
            <w:tcW w:w="322"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113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0.02</w:t>
            </w:r>
          </w:p>
        </w:tc>
      </w:tr>
      <w:tr>
        <w:trPr/>
        <w:tc>
          <w:tcPr>
            <w:tcW w:w="4141" w:type="dxa"/>
            <w:tcBorders/>
            <w:vAlign w:val="center"/>
          </w:tcPr>
          <w:p>
            <w:pPr>
              <w:pStyle w:val="TableContents"/>
              <w:bidi w:val="0"/>
              <w:spacing w:before="0" w:after="0"/>
              <w:ind w:left="0" w:right="0" w:hanging="0"/>
              <w:jc w:val="left"/>
              <w:rPr/>
            </w:pPr>
            <w:r>
              <w:rPr/>
              <w:t>​</w:t>
            </w:r>
          </w:p>
        </w:tc>
        <w:tc>
          <w:tcPr>
            <w:tcW w:w="322" w:type="dxa"/>
            <w:tcBorders/>
            <w:vAlign w:val="center"/>
          </w:tcPr>
          <w:p>
            <w:pPr>
              <w:pStyle w:val="TableContents"/>
              <w:bidi w:val="0"/>
              <w:spacing w:before="0" w:after="0"/>
              <w:ind w:left="0" w:right="0" w:hanging="0"/>
              <w:jc w:val="left"/>
              <w:rPr/>
            </w:pPr>
            <w:r>
              <w:rPr/>
              <w:t>​</w:t>
            </w:r>
          </w:p>
        </w:tc>
        <w:tc>
          <w:tcPr>
            <w:tcW w:w="1027" w:type="dxa"/>
            <w:tcBorders/>
            <w:vAlign w:val="center"/>
          </w:tcPr>
          <w:p>
            <w:pPr>
              <w:pStyle w:val="TableContents"/>
              <w:bidi w:val="0"/>
              <w:spacing w:before="0" w:after="0"/>
              <w:ind w:left="0" w:right="0" w:hanging="0"/>
              <w:jc w:val="left"/>
              <w:rPr/>
            </w:pPr>
            <w:r>
              <w:rPr/>
              <w:t>​</w:t>
            </w:r>
          </w:p>
        </w:tc>
        <w:tc>
          <w:tcPr>
            <w:tcW w:w="179" w:type="dxa"/>
            <w:tcBorders/>
            <w:vAlign w:val="center"/>
          </w:tcPr>
          <w:p>
            <w:pPr>
              <w:pStyle w:val="TableContents"/>
              <w:bidi w:val="0"/>
              <w:spacing w:before="0" w:after="0"/>
              <w:ind w:left="0" w:right="0" w:hanging="0"/>
              <w:jc w:val="left"/>
              <w:rPr/>
            </w:pPr>
            <w:r>
              <w:rPr/>
              <w:t>​</w:t>
            </w:r>
          </w:p>
        </w:tc>
        <w:tc>
          <w:tcPr>
            <w:tcW w:w="322" w:type="dxa"/>
            <w:tcBorders/>
            <w:vAlign w:val="center"/>
          </w:tcPr>
          <w:p>
            <w:pPr>
              <w:pStyle w:val="TableContents"/>
              <w:bidi w:val="0"/>
              <w:spacing w:before="0" w:after="0"/>
              <w:ind w:left="0" w:right="0" w:hanging="0"/>
              <w:jc w:val="left"/>
              <w:rPr/>
            </w:pPr>
            <w:r>
              <w:rPr/>
              <w:t>​</w:t>
            </w:r>
          </w:p>
        </w:tc>
        <w:tc>
          <w:tcPr>
            <w:tcW w:w="1053" w:type="dxa"/>
            <w:tcBorders/>
            <w:vAlign w:val="center"/>
          </w:tcPr>
          <w:p>
            <w:pPr>
              <w:pStyle w:val="TableContents"/>
              <w:bidi w:val="0"/>
              <w:spacing w:before="0" w:after="0"/>
              <w:ind w:left="0" w:right="0" w:hanging="0"/>
              <w:jc w:val="left"/>
              <w:rPr/>
            </w:pPr>
            <w:r>
              <w:rPr/>
              <w:t>​</w:t>
            </w:r>
          </w:p>
        </w:tc>
        <w:tc>
          <w:tcPr>
            <w:tcW w:w="179" w:type="dxa"/>
            <w:tcBorders/>
            <w:vAlign w:val="center"/>
          </w:tcPr>
          <w:p>
            <w:pPr>
              <w:pStyle w:val="TableContents"/>
              <w:bidi w:val="0"/>
              <w:spacing w:before="0" w:after="0"/>
              <w:ind w:left="0" w:right="0" w:hanging="0"/>
              <w:jc w:val="left"/>
              <w:rPr/>
            </w:pPr>
            <w:r>
              <w:rPr/>
              <w:t>​</w:t>
            </w:r>
          </w:p>
        </w:tc>
        <w:tc>
          <w:tcPr>
            <w:tcW w:w="322" w:type="dxa"/>
            <w:tcBorders/>
            <w:vAlign w:val="center"/>
          </w:tcPr>
          <w:p>
            <w:pPr>
              <w:pStyle w:val="TableContents"/>
              <w:bidi w:val="0"/>
              <w:spacing w:before="0" w:after="0"/>
              <w:ind w:left="0" w:right="0" w:hanging="0"/>
              <w:jc w:val="center"/>
              <w:rPr/>
            </w:pPr>
            <w:r>
              <w:rPr/>
              <w:t>​</w:t>
            </w:r>
          </w:p>
        </w:tc>
        <w:tc>
          <w:tcPr>
            <w:tcW w:w="1027" w:type="dxa"/>
            <w:tcBorders/>
            <w:vAlign w:val="center"/>
          </w:tcPr>
          <w:p>
            <w:pPr>
              <w:pStyle w:val="TableContents"/>
              <w:bidi w:val="0"/>
              <w:spacing w:before="0" w:after="0"/>
              <w:ind w:left="0" w:right="0" w:hanging="0"/>
              <w:jc w:val="right"/>
              <w:rPr/>
            </w:pPr>
            <w:r>
              <w:rPr/>
              <w:t>​</w:t>
            </w:r>
          </w:p>
        </w:tc>
        <w:tc>
          <w:tcPr>
            <w:tcW w:w="179" w:type="dxa"/>
            <w:tcBorders/>
            <w:vAlign w:val="center"/>
          </w:tcPr>
          <w:p>
            <w:pPr>
              <w:pStyle w:val="TableContents"/>
              <w:bidi w:val="0"/>
              <w:spacing w:before="0" w:after="0"/>
              <w:ind w:left="0" w:right="0" w:hanging="0"/>
              <w:jc w:val="right"/>
              <w:rPr/>
            </w:pPr>
            <w:r>
              <w:rPr/>
              <w:t>​</w:t>
            </w:r>
          </w:p>
        </w:tc>
        <w:tc>
          <w:tcPr>
            <w:tcW w:w="322" w:type="dxa"/>
            <w:tcBorders/>
            <w:vAlign w:val="center"/>
          </w:tcPr>
          <w:p>
            <w:pPr>
              <w:pStyle w:val="TableContents"/>
              <w:bidi w:val="0"/>
              <w:spacing w:before="0" w:after="0"/>
              <w:ind w:left="0" w:right="0" w:hanging="0"/>
              <w:jc w:val="center"/>
              <w:rPr/>
            </w:pPr>
            <w:r>
              <w:rPr/>
              <w:t>​</w:t>
            </w:r>
          </w:p>
        </w:tc>
        <w:tc>
          <w:tcPr>
            <w:tcW w:w="1132" w:type="dxa"/>
            <w:tcBorders/>
            <w:vAlign w:val="center"/>
          </w:tcPr>
          <w:p>
            <w:pPr>
              <w:pStyle w:val="TableContents"/>
              <w:bidi w:val="0"/>
              <w:spacing w:before="0" w:after="0"/>
              <w:ind w:left="0" w:right="0" w:hanging="0"/>
              <w:jc w:val="right"/>
              <w:rPr/>
            </w:pPr>
            <w:r>
              <w:rPr/>
              <w:t>​</w:t>
            </w:r>
          </w:p>
        </w:tc>
      </w:tr>
      <w:tr>
        <w:trPr/>
        <w:tc>
          <w:tcPr>
            <w:tcW w:w="4141"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Diluted net income per share:</w:t>
            </w:r>
          </w:p>
        </w:tc>
        <w:tc>
          <w:tcPr>
            <w:tcW w:w="322" w:type="dxa"/>
            <w:tcBorders/>
            <w:shd w:fill="CCEEFF" w:val="clear"/>
            <w:vAlign w:val="center"/>
          </w:tcPr>
          <w:p>
            <w:pPr>
              <w:pStyle w:val="TableContents"/>
              <w:bidi w:val="0"/>
              <w:spacing w:before="0" w:after="0"/>
              <w:ind w:left="0" w:right="0" w:hanging="0"/>
              <w:jc w:val="left"/>
              <w:rPr/>
            </w:pPr>
            <w:r>
              <w:rPr/>
              <w:t>​</w:t>
            </w:r>
          </w:p>
        </w:tc>
        <w:tc>
          <w:tcPr>
            <w:tcW w:w="1027" w:type="dxa"/>
            <w:tcBorders/>
            <w:shd w:fill="CCEEFF" w:val="clear"/>
            <w:vAlign w:val="center"/>
          </w:tcPr>
          <w:p>
            <w:pPr>
              <w:pStyle w:val="TableContents"/>
              <w:bidi w:val="0"/>
              <w:spacing w:before="0" w:after="0"/>
              <w:ind w:left="0" w:right="0" w:hanging="0"/>
              <w:jc w:val="left"/>
              <w:rPr/>
            </w:pPr>
            <w:r>
              <w:rPr/>
              <w:t>​</w:t>
            </w:r>
          </w:p>
        </w:tc>
        <w:tc>
          <w:tcPr>
            <w:tcW w:w="179" w:type="dxa"/>
            <w:tcBorders/>
            <w:shd w:fill="CCEEFF" w:val="clear"/>
            <w:vAlign w:val="center"/>
          </w:tcPr>
          <w:p>
            <w:pPr>
              <w:pStyle w:val="TableContents"/>
              <w:bidi w:val="0"/>
              <w:spacing w:before="0" w:after="0"/>
              <w:ind w:left="0" w:right="0" w:hanging="0"/>
              <w:jc w:val="left"/>
              <w:rPr/>
            </w:pPr>
            <w:r>
              <w:rPr/>
              <w:t>​</w:t>
            </w:r>
          </w:p>
        </w:tc>
        <w:tc>
          <w:tcPr>
            <w:tcW w:w="322" w:type="dxa"/>
            <w:tcBorders/>
            <w:shd w:fill="CCEEFF" w:val="clear"/>
            <w:vAlign w:val="center"/>
          </w:tcPr>
          <w:p>
            <w:pPr>
              <w:pStyle w:val="TableContents"/>
              <w:bidi w:val="0"/>
              <w:spacing w:before="0" w:after="0"/>
              <w:ind w:left="0" w:right="0" w:hanging="0"/>
              <w:jc w:val="left"/>
              <w:rPr/>
            </w:pPr>
            <w:r>
              <w:rPr/>
              <w:t>​</w:t>
            </w:r>
          </w:p>
        </w:tc>
        <w:tc>
          <w:tcPr>
            <w:tcW w:w="1053" w:type="dxa"/>
            <w:tcBorders/>
            <w:shd w:fill="CCEEFF" w:val="clear"/>
            <w:vAlign w:val="center"/>
          </w:tcPr>
          <w:p>
            <w:pPr>
              <w:pStyle w:val="TableContents"/>
              <w:bidi w:val="0"/>
              <w:spacing w:before="0" w:after="0"/>
              <w:ind w:left="0" w:right="0" w:hanging="0"/>
              <w:jc w:val="left"/>
              <w:rPr/>
            </w:pPr>
            <w:r>
              <w:rPr/>
              <w:t>​</w:t>
            </w:r>
          </w:p>
        </w:tc>
        <w:tc>
          <w:tcPr>
            <w:tcW w:w="179" w:type="dxa"/>
            <w:tcBorders/>
            <w:shd w:fill="CCEEFF" w:val="clear"/>
            <w:vAlign w:val="center"/>
          </w:tcPr>
          <w:p>
            <w:pPr>
              <w:pStyle w:val="TableContents"/>
              <w:bidi w:val="0"/>
              <w:spacing w:before="0" w:after="0"/>
              <w:ind w:left="0" w:right="0" w:hanging="0"/>
              <w:jc w:val="left"/>
              <w:rPr/>
            </w:pPr>
            <w:r>
              <w:rPr/>
              <w:t>​</w:t>
            </w:r>
          </w:p>
        </w:tc>
        <w:tc>
          <w:tcPr>
            <w:tcW w:w="322" w:type="dxa"/>
            <w:tcBorders/>
            <w:shd w:fill="CCEEFF" w:val="clear"/>
            <w:vAlign w:val="center"/>
          </w:tcPr>
          <w:p>
            <w:pPr>
              <w:pStyle w:val="TableContents"/>
              <w:bidi w:val="0"/>
              <w:spacing w:before="0" w:after="0"/>
              <w:ind w:left="0" w:right="0" w:hanging="0"/>
              <w:jc w:val="center"/>
              <w:rPr/>
            </w:pPr>
            <w:r>
              <w:rPr/>
              <w:t>​</w:t>
            </w:r>
          </w:p>
        </w:tc>
        <w:tc>
          <w:tcPr>
            <w:tcW w:w="1027" w:type="dxa"/>
            <w:tcBorders/>
            <w:shd w:fill="CCEEFF" w:val="clear"/>
            <w:vAlign w:val="center"/>
          </w:tcPr>
          <w:p>
            <w:pPr>
              <w:pStyle w:val="TableContents"/>
              <w:bidi w:val="0"/>
              <w:spacing w:before="0" w:after="0"/>
              <w:ind w:left="0" w:right="0" w:hanging="0"/>
              <w:jc w:val="right"/>
              <w:rPr/>
            </w:pPr>
            <w:r>
              <w:rPr/>
              <w:t>​</w:t>
            </w:r>
          </w:p>
        </w:tc>
        <w:tc>
          <w:tcPr>
            <w:tcW w:w="179" w:type="dxa"/>
            <w:tcBorders/>
            <w:shd w:fill="CCEEFF" w:val="clear"/>
            <w:vAlign w:val="center"/>
          </w:tcPr>
          <w:p>
            <w:pPr>
              <w:pStyle w:val="TableContents"/>
              <w:bidi w:val="0"/>
              <w:spacing w:before="0" w:after="0"/>
              <w:ind w:left="0" w:right="0" w:hanging="0"/>
              <w:jc w:val="right"/>
              <w:rPr/>
            </w:pPr>
            <w:r>
              <w:rPr/>
              <w:t>​</w:t>
            </w:r>
          </w:p>
        </w:tc>
        <w:tc>
          <w:tcPr>
            <w:tcW w:w="322" w:type="dxa"/>
            <w:tcBorders/>
            <w:shd w:fill="CCEEFF" w:val="clear"/>
            <w:vAlign w:val="center"/>
          </w:tcPr>
          <w:p>
            <w:pPr>
              <w:pStyle w:val="TableContents"/>
              <w:bidi w:val="0"/>
              <w:spacing w:before="0" w:after="0"/>
              <w:ind w:left="0" w:right="0" w:hanging="0"/>
              <w:jc w:val="center"/>
              <w:rPr/>
            </w:pPr>
            <w:r>
              <w:rPr/>
              <w:t>​</w:t>
            </w:r>
          </w:p>
        </w:tc>
        <w:tc>
          <w:tcPr>
            <w:tcW w:w="1132" w:type="dxa"/>
            <w:tcBorders/>
            <w:shd w:fill="CCEEFF" w:val="clear"/>
            <w:vAlign w:val="center"/>
          </w:tcPr>
          <w:p>
            <w:pPr>
              <w:pStyle w:val="TableContents"/>
              <w:bidi w:val="0"/>
              <w:spacing w:before="0" w:after="0"/>
              <w:ind w:left="0" w:right="0" w:hanging="0"/>
              <w:jc w:val="right"/>
              <w:rPr/>
            </w:pPr>
            <w:r>
              <w:rPr/>
              <w:t>​</w:t>
            </w:r>
          </w:p>
        </w:tc>
      </w:tr>
      <w:tr>
        <w:trPr/>
        <w:tc>
          <w:tcPr>
            <w:tcW w:w="41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Numerator</w:t>
            </w:r>
          </w:p>
        </w:tc>
        <w:tc>
          <w:tcPr>
            <w:tcW w:w="322" w:type="dxa"/>
            <w:tcBorders/>
            <w:vAlign w:val="center"/>
          </w:tcPr>
          <w:p>
            <w:pPr>
              <w:pStyle w:val="TableContents"/>
              <w:bidi w:val="0"/>
              <w:spacing w:before="0" w:after="0"/>
              <w:ind w:left="0" w:right="0" w:hanging="0"/>
              <w:jc w:val="left"/>
              <w:rPr/>
            </w:pPr>
            <w:r>
              <w:rPr/>
              <w:t>​</w:t>
            </w:r>
          </w:p>
        </w:tc>
        <w:tc>
          <w:tcPr>
            <w:tcW w:w="1027" w:type="dxa"/>
            <w:tcBorders/>
            <w:vAlign w:val="center"/>
          </w:tcPr>
          <w:p>
            <w:pPr>
              <w:pStyle w:val="TableContents"/>
              <w:bidi w:val="0"/>
              <w:spacing w:before="0" w:after="0"/>
              <w:ind w:left="0" w:right="0" w:hanging="0"/>
              <w:jc w:val="left"/>
              <w:rPr/>
            </w:pPr>
            <w:r>
              <w:rPr/>
              <w:t>​</w:t>
            </w:r>
          </w:p>
        </w:tc>
        <w:tc>
          <w:tcPr>
            <w:tcW w:w="179" w:type="dxa"/>
            <w:tcBorders/>
            <w:vAlign w:val="center"/>
          </w:tcPr>
          <w:p>
            <w:pPr>
              <w:pStyle w:val="TableContents"/>
              <w:bidi w:val="0"/>
              <w:spacing w:before="0" w:after="0"/>
              <w:ind w:left="0" w:right="0" w:hanging="0"/>
              <w:jc w:val="left"/>
              <w:rPr/>
            </w:pPr>
            <w:r>
              <w:rPr/>
              <w:t>​</w:t>
            </w:r>
          </w:p>
        </w:tc>
        <w:tc>
          <w:tcPr>
            <w:tcW w:w="322" w:type="dxa"/>
            <w:tcBorders/>
            <w:vAlign w:val="center"/>
          </w:tcPr>
          <w:p>
            <w:pPr>
              <w:pStyle w:val="TableContents"/>
              <w:bidi w:val="0"/>
              <w:spacing w:before="0" w:after="0"/>
              <w:ind w:left="0" w:right="0" w:hanging="0"/>
              <w:jc w:val="left"/>
              <w:rPr/>
            </w:pPr>
            <w:r>
              <w:rPr/>
              <w:t>​</w:t>
            </w:r>
          </w:p>
        </w:tc>
        <w:tc>
          <w:tcPr>
            <w:tcW w:w="1053" w:type="dxa"/>
            <w:tcBorders/>
            <w:vAlign w:val="center"/>
          </w:tcPr>
          <w:p>
            <w:pPr>
              <w:pStyle w:val="TableContents"/>
              <w:bidi w:val="0"/>
              <w:spacing w:before="0" w:after="0"/>
              <w:ind w:left="0" w:right="0" w:hanging="0"/>
              <w:jc w:val="left"/>
              <w:rPr/>
            </w:pPr>
            <w:r>
              <w:rPr/>
              <w:t>​</w:t>
            </w:r>
          </w:p>
        </w:tc>
        <w:tc>
          <w:tcPr>
            <w:tcW w:w="179" w:type="dxa"/>
            <w:tcBorders/>
            <w:vAlign w:val="center"/>
          </w:tcPr>
          <w:p>
            <w:pPr>
              <w:pStyle w:val="TableContents"/>
              <w:bidi w:val="0"/>
              <w:spacing w:before="0" w:after="0"/>
              <w:ind w:left="0" w:right="0" w:hanging="0"/>
              <w:jc w:val="left"/>
              <w:rPr/>
            </w:pPr>
            <w:r>
              <w:rPr/>
              <w:t>​</w:t>
            </w:r>
          </w:p>
        </w:tc>
        <w:tc>
          <w:tcPr>
            <w:tcW w:w="322" w:type="dxa"/>
            <w:tcBorders/>
            <w:vAlign w:val="center"/>
          </w:tcPr>
          <w:p>
            <w:pPr>
              <w:pStyle w:val="TableContents"/>
              <w:bidi w:val="0"/>
              <w:spacing w:before="0" w:after="0"/>
              <w:ind w:left="0" w:right="0" w:hanging="0"/>
              <w:jc w:val="center"/>
              <w:rPr/>
            </w:pPr>
            <w:r>
              <w:rPr/>
              <w:t>​</w:t>
            </w:r>
          </w:p>
        </w:tc>
        <w:tc>
          <w:tcPr>
            <w:tcW w:w="1027" w:type="dxa"/>
            <w:tcBorders/>
            <w:vAlign w:val="center"/>
          </w:tcPr>
          <w:p>
            <w:pPr>
              <w:pStyle w:val="TableContents"/>
              <w:bidi w:val="0"/>
              <w:spacing w:before="0" w:after="0"/>
              <w:ind w:left="0" w:right="0" w:hanging="0"/>
              <w:jc w:val="right"/>
              <w:rPr/>
            </w:pPr>
            <w:r>
              <w:rPr/>
              <w:t>​</w:t>
            </w:r>
          </w:p>
        </w:tc>
        <w:tc>
          <w:tcPr>
            <w:tcW w:w="179" w:type="dxa"/>
            <w:tcBorders/>
            <w:vAlign w:val="center"/>
          </w:tcPr>
          <w:p>
            <w:pPr>
              <w:pStyle w:val="TableContents"/>
              <w:bidi w:val="0"/>
              <w:spacing w:before="0" w:after="0"/>
              <w:ind w:left="0" w:right="0" w:hanging="0"/>
              <w:jc w:val="right"/>
              <w:rPr/>
            </w:pPr>
            <w:r>
              <w:rPr/>
              <w:t>​</w:t>
            </w:r>
          </w:p>
        </w:tc>
        <w:tc>
          <w:tcPr>
            <w:tcW w:w="322" w:type="dxa"/>
            <w:tcBorders/>
            <w:vAlign w:val="center"/>
          </w:tcPr>
          <w:p>
            <w:pPr>
              <w:pStyle w:val="TableContents"/>
              <w:bidi w:val="0"/>
              <w:spacing w:before="0" w:after="0"/>
              <w:ind w:left="0" w:right="0" w:hanging="0"/>
              <w:jc w:val="center"/>
              <w:rPr/>
            </w:pPr>
            <w:r>
              <w:rPr/>
              <w:t>​</w:t>
            </w:r>
          </w:p>
        </w:tc>
        <w:tc>
          <w:tcPr>
            <w:tcW w:w="1132" w:type="dxa"/>
            <w:tcBorders/>
            <w:vAlign w:val="center"/>
          </w:tcPr>
          <w:p>
            <w:pPr>
              <w:pStyle w:val="TableContents"/>
              <w:bidi w:val="0"/>
              <w:spacing w:before="0" w:after="0"/>
              <w:ind w:left="0" w:right="0" w:hanging="0"/>
              <w:jc w:val="right"/>
              <w:rPr/>
            </w:pPr>
            <w:r>
              <w:rPr/>
              <w:t>​</w:t>
            </w:r>
          </w:p>
        </w:tc>
      </w:tr>
      <w:tr>
        <w:trPr/>
        <w:tc>
          <w:tcPr>
            <w:tcW w:w="414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Allocation of net income </w:t>
            </w:r>
            <w:r>
              <w:rPr>
                <w:rFonts w:ascii="Times New Roman;Times;serif" w:hAnsi="Times New Roman;Times;serif"/>
                <w:sz w:val="14"/>
              </w:rPr>
              <w:t>(1)</w:t>
            </w:r>
          </w:p>
        </w:tc>
        <w:tc>
          <w:tcPr>
            <w:tcW w:w="322"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10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5,215</w:t>
            </w:r>
          </w:p>
        </w:tc>
        <w:tc>
          <w:tcPr>
            <w:tcW w:w="179" w:type="dxa"/>
            <w:tcBorders/>
            <w:shd w:fill="CCEEFF" w:val="clear"/>
            <w:vAlign w:val="center"/>
          </w:tcPr>
          <w:p>
            <w:pPr>
              <w:pStyle w:val="TableContents"/>
              <w:bidi w:val="0"/>
              <w:spacing w:before="0" w:after="0"/>
              <w:ind w:left="0" w:right="0" w:hanging="0"/>
              <w:jc w:val="right"/>
              <w:rPr/>
            </w:pPr>
            <w:r>
              <w:rPr/>
              <w:t>​</w:t>
            </w:r>
          </w:p>
        </w:tc>
        <w:tc>
          <w:tcPr>
            <w:tcW w:w="322"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105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5,915</w:t>
            </w:r>
          </w:p>
        </w:tc>
        <w:tc>
          <w:tcPr>
            <w:tcW w:w="179" w:type="dxa"/>
            <w:tcBorders/>
            <w:shd w:fill="CCEEFF" w:val="clear"/>
            <w:vAlign w:val="center"/>
          </w:tcPr>
          <w:p>
            <w:pPr>
              <w:pStyle w:val="TableContents"/>
              <w:bidi w:val="0"/>
              <w:spacing w:before="0" w:after="0"/>
              <w:ind w:left="0" w:right="0" w:hanging="0"/>
              <w:jc w:val="left"/>
              <w:rPr/>
            </w:pPr>
            <w:r>
              <w:rPr/>
              <w:t>​</w:t>
            </w:r>
          </w:p>
        </w:tc>
        <w:tc>
          <w:tcPr>
            <w:tcW w:w="322"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10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1,135</w:t>
            </w:r>
          </w:p>
        </w:tc>
        <w:tc>
          <w:tcPr>
            <w:tcW w:w="179" w:type="dxa"/>
            <w:tcBorders/>
            <w:shd w:fill="CCEEFF" w:val="clear"/>
            <w:vAlign w:val="center"/>
          </w:tcPr>
          <w:p>
            <w:pPr>
              <w:pStyle w:val="TableContents"/>
              <w:bidi w:val="0"/>
              <w:spacing w:before="0" w:after="0"/>
              <w:ind w:left="0" w:right="0" w:hanging="0"/>
              <w:jc w:val="right"/>
              <w:rPr/>
            </w:pPr>
            <w:r>
              <w:rPr/>
              <w:t>​</w:t>
            </w:r>
          </w:p>
        </w:tc>
        <w:tc>
          <w:tcPr>
            <w:tcW w:w="322"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11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1,549</w:t>
            </w:r>
          </w:p>
        </w:tc>
      </w:tr>
      <w:tr>
        <w:trPr/>
        <w:tc>
          <w:tcPr>
            <w:tcW w:w="41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Total net income used in per diluted computation </w:t>
            </w:r>
          </w:p>
        </w:tc>
        <w:tc>
          <w:tcPr>
            <w:tcW w:w="322"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102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5,215</w:t>
            </w:r>
          </w:p>
        </w:tc>
        <w:tc>
          <w:tcPr>
            <w:tcW w:w="179" w:type="dxa"/>
            <w:tcBorders/>
            <w:vAlign w:val="center"/>
          </w:tcPr>
          <w:p>
            <w:pPr>
              <w:pStyle w:val="TableContents"/>
              <w:bidi w:val="0"/>
              <w:spacing w:before="0" w:after="0"/>
              <w:ind w:left="0" w:right="0" w:hanging="0"/>
              <w:jc w:val="right"/>
              <w:rPr/>
            </w:pPr>
            <w:r>
              <w:rPr/>
              <w:t>​</w:t>
            </w:r>
          </w:p>
        </w:tc>
        <w:tc>
          <w:tcPr>
            <w:tcW w:w="322"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105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5,915</w:t>
            </w:r>
          </w:p>
        </w:tc>
        <w:tc>
          <w:tcPr>
            <w:tcW w:w="179" w:type="dxa"/>
            <w:tcBorders/>
            <w:vAlign w:val="center"/>
          </w:tcPr>
          <w:p>
            <w:pPr>
              <w:pStyle w:val="TableContents"/>
              <w:bidi w:val="0"/>
              <w:spacing w:before="0" w:after="0"/>
              <w:ind w:left="0" w:right="0" w:hanging="0"/>
              <w:jc w:val="left"/>
              <w:rPr/>
            </w:pPr>
            <w:r>
              <w:rPr/>
              <w:t>​</w:t>
            </w:r>
          </w:p>
        </w:tc>
        <w:tc>
          <w:tcPr>
            <w:tcW w:w="322"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102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1,135</w:t>
            </w:r>
          </w:p>
        </w:tc>
        <w:tc>
          <w:tcPr>
            <w:tcW w:w="179" w:type="dxa"/>
            <w:tcBorders/>
            <w:vAlign w:val="center"/>
          </w:tcPr>
          <w:p>
            <w:pPr>
              <w:pStyle w:val="TableContents"/>
              <w:bidi w:val="0"/>
              <w:spacing w:before="0" w:after="0"/>
              <w:ind w:left="0" w:right="0" w:hanging="0"/>
              <w:jc w:val="right"/>
              <w:rPr/>
            </w:pPr>
            <w:r>
              <w:rPr/>
              <w:t>​</w:t>
            </w:r>
          </w:p>
        </w:tc>
        <w:tc>
          <w:tcPr>
            <w:tcW w:w="322"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113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1,549</w:t>
            </w:r>
          </w:p>
        </w:tc>
      </w:tr>
      <w:tr>
        <w:trPr/>
        <w:tc>
          <w:tcPr>
            <w:tcW w:w="414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Denominator</w:t>
            </w:r>
          </w:p>
        </w:tc>
        <w:tc>
          <w:tcPr>
            <w:tcW w:w="322" w:type="dxa"/>
            <w:tcBorders/>
            <w:shd w:fill="CCEEFF" w:val="clear"/>
            <w:vAlign w:val="center"/>
          </w:tcPr>
          <w:p>
            <w:pPr>
              <w:pStyle w:val="TableContents"/>
              <w:bidi w:val="0"/>
              <w:spacing w:before="0" w:after="0"/>
              <w:ind w:left="0" w:right="0" w:hanging="0"/>
              <w:jc w:val="center"/>
              <w:rPr/>
            </w:pPr>
            <w:r>
              <w:rPr/>
              <w:t>​</w:t>
            </w:r>
          </w:p>
        </w:tc>
        <w:tc>
          <w:tcPr>
            <w:tcW w:w="1027" w:type="dxa"/>
            <w:tcBorders/>
            <w:shd w:fill="CCEEFF" w:val="clear"/>
            <w:vAlign w:val="center"/>
          </w:tcPr>
          <w:p>
            <w:pPr>
              <w:pStyle w:val="TableContents"/>
              <w:bidi w:val="0"/>
              <w:spacing w:before="0" w:after="0"/>
              <w:ind w:left="0" w:right="0" w:hanging="0"/>
              <w:jc w:val="right"/>
              <w:rPr/>
            </w:pPr>
            <w:r>
              <w:rPr/>
              <w:t>​</w:t>
            </w:r>
          </w:p>
        </w:tc>
        <w:tc>
          <w:tcPr>
            <w:tcW w:w="179" w:type="dxa"/>
            <w:tcBorders/>
            <w:shd w:fill="CCEEFF" w:val="clear"/>
            <w:vAlign w:val="center"/>
          </w:tcPr>
          <w:p>
            <w:pPr>
              <w:pStyle w:val="TableContents"/>
              <w:bidi w:val="0"/>
              <w:spacing w:before="0" w:after="0"/>
              <w:ind w:left="0" w:right="0" w:hanging="0"/>
              <w:jc w:val="right"/>
              <w:rPr/>
            </w:pPr>
            <w:r>
              <w:rPr/>
              <w:t>​</w:t>
            </w:r>
          </w:p>
        </w:tc>
        <w:tc>
          <w:tcPr>
            <w:tcW w:w="322" w:type="dxa"/>
            <w:tcBorders/>
            <w:shd w:fill="CCEEFF" w:val="clear"/>
            <w:vAlign w:val="center"/>
          </w:tcPr>
          <w:p>
            <w:pPr>
              <w:pStyle w:val="TableContents"/>
              <w:bidi w:val="0"/>
              <w:spacing w:before="0" w:after="0"/>
              <w:ind w:left="0" w:right="0" w:hanging="0"/>
              <w:jc w:val="center"/>
              <w:rPr/>
            </w:pPr>
            <w:r>
              <w:rPr/>
              <w:t>​</w:t>
            </w:r>
          </w:p>
        </w:tc>
        <w:tc>
          <w:tcPr>
            <w:tcW w:w="1053" w:type="dxa"/>
            <w:tcBorders/>
            <w:shd w:fill="CCEEFF" w:val="clear"/>
            <w:vAlign w:val="center"/>
          </w:tcPr>
          <w:p>
            <w:pPr>
              <w:pStyle w:val="TableContents"/>
              <w:bidi w:val="0"/>
              <w:spacing w:before="0" w:after="0"/>
              <w:ind w:left="0" w:right="0" w:hanging="0"/>
              <w:jc w:val="right"/>
              <w:rPr/>
            </w:pPr>
            <w:r>
              <w:rPr/>
              <w:t>​</w:t>
            </w:r>
          </w:p>
        </w:tc>
        <w:tc>
          <w:tcPr>
            <w:tcW w:w="179" w:type="dxa"/>
            <w:tcBorders/>
            <w:shd w:fill="CCEEFF" w:val="clear"/>
            <w:vAlign w:val="center"/>
          </w:tcPr>
          <w:p>
            <w:pPr>
              <w:pStyle w:val="TableContents"/>
              <w:bidi w:val="0"/>
              <w:spacing w:before="0" w:after="0"/>
              <w:ind w:left="0" w:right="0" w:hanging="0"/>
              <w:jc w:val="left"/>
              <w:rPr/>
            </w:pPr>
            <w:r>
              <w:rPr/>
              <w:t>​</w:t>
            </w:r>
          </w:p>
        </w:tc>
        <w:tc>
          <w:tcPr>
            <w:tcW w:w="322" w:type="dxa"/>
            <w:tcBorders/>
            <w:shd w:fill="CCEEFF" w:val="clear"/>
            <w:vAlign w:val="center"/>
          </w:tcPr>
          <w:p>
            <w:pPr>
              <w:pStyle w:val="TableContents"/>
              <w:bidi w:val="0"/>
              <w:spacing w:before="0" w:after="0"/>
              <w:ind w:left="0" w:right="0" w:hanging="0"/>
              <w:jc w:val="center"/>
              <w:rPr/>
            </w:pPr>
            <w:r>
              <w:rPr/>
              <w:t>​</w:t>
            </w:r>
          </w:p>
        </w:tc>
        <w:tc>
          <w:tcPr>
            <w:tcW w:w="1027" w:type="dxa"/>
            <w:tcBorders/>
            <w:shd w:fill="CCEEFF" w:val="clear"/>
            <w:vAlign w:val="center"/>
          </w:tcPr>
          <w:p>
            <w:pPr>
              <w:pStyle w:val="TableContents"/>
              <w:bidi w:val="0"/>
              <w:spacing w:before="0" w:after="0"/>
              <w:ind w:left="0" w:right="0" w:hanging="0"/>
              <w:jc w:val="right"/>
              <w:rPr/>
            </w:pPr>
            <w:r>
              <w:rPr/>
              <w:t>​</w:t>
            </w:r>
          </w:p>
        </w:tc>
        <w:tc>
          <w:tcPr>
            <w:tcW w:w="179" w:type="dxa"/>
            <w:tcBorders/>
            <w:shd w:fill="CCEEFF" w:val="clear"/>
            <w:vAlign w:val="center"/>
          </w:tcPr>
          <w:p>
            <w:pPr>
              <w:pStyle w:val="TableContents"/>
              <w:bidi w:val="0"/>
              <w:spacing w:before="0" w:after="0"/>
              <w:ind w:left="0" w:right="0" w:hanging="0"/>
              <w:jc w:val="right"/>
              <w:rPr/>
            </w:pPr>
            <w:r>
              <w:rPr/>
              <w:t>​</w:t>
            </w:r>
          </w:p>
        </w:tc>
        <w:tc>
          <w:tcPr>
            <w:tcW w:w="322" w:type="dxa"/>
            <w:tcBorders/>
            <w:shd w:fill="CCEEFF" w:val="clear"/>
            <w:vAlign w:val="center"/>
          </w:tcPr>
          <w:p>
            <w:pPr>
              <w:pStyle w:val="TableContents"/>
              <w:bidi w:val="0"/>
              <w:spacing w:before="0" w:after="0"/>
              <w:ind w:left="0" w:right="0" w:hanging="0"/>
              <w:jc w:val="center"/>
              <w:rPr/>
            </w:pPr>
            <w:r>
              <w:rPr/>
              <w:t>​</w:t>
            </w:r>
          </w:p>
        </w:tc>
        <w:tc>
          <w:tcPr>
            <w:tcW w:w="1132" w:type="dxa"/>
            <w:tcBorders/>
            <w:shd w:fill="CCEEFF" w:val="clear"/>
            <w:vAlign w:val="center"/>
          </w:tcPr>
          <w:p>
            <w:pPr>
              <w:pStyle w:val="TableContents"/>
              <w:bidi w:val="0"/>
              <w:spacing w:before="0" w:after="0"/>
              <w:ind w:left="0" w:right="0" w:hanging="0"/>
              <w:jc w:val="right"/>
              <w:rPr/>
            </w:pPr>
            <w:r>
              <w:rPr/>
              <w:t>​</w:t>
            </w:r>
          </w:p>
        </w:tc>
      </w:tr>
      <w:tr>
        <w:trPr/>
        <w:tc>
          <w:tcPr>
            <w:tcW w:w="41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Number shares used in basic per share computation </w:t>
            </w:r>
          </w:p>
        </w:tc>
        <w:tc>
          <w:tcPr>
            <w:tcW w:w="322" w:type="dxa"/>
            <w:tcBorders/>
            <w:vAlign w:val="center"/>
          </w:tcPr>
          <w:p>
            <w:pPr>
              <w:pStyle w:val="TableContents"/>
              <w:bidi w:val="0"/>
              <w:spacing w:before="0" w:after="0"/>
              <w:ind w:left="0" w:right="0" w:hanging="0"/>
              <w:jc w:val="center"/>
              <w:rPr/>
            </w:pPr>
            <w:r>
              <w:rPr/>
              <w:t>​</w:t>
            </w:r>
          </w:p>
        </w:tc>
        <w:tc>
          <w:tcPr>
            <w:tcW w:w="102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71,288</w:t>
            </w:r>
          </w:p>
        </w:tc>
        <w:tc>
          <w:tcPr>
            <w:tcW w:w="179" w:type="dxa"/>
            <w:tcBorders/>
            <w:vAlign w:val="center"/>
          </w:tcPr>
          <w:p>
            <w:pPr>
              <w:pStyle w:val="TableContents"/>
              <w:bidi w:val="0"/>
              <w:spacing w:before="0" w:after="0"/>
              <w:ind w:left="0" w:right="0" w:hanging="0"/>
              <w:jc w:val="right"/>
              <w:rPr/>
            </w:pPr>
            <w:r>
              <w:rPr/>
              <w:t>​</w:t>
            </w:r>
          </w:p>
        </w:tc>
        <w:tc>
          <w:tcPr>
            <w:tcW w:w="322" w:type="dxa"/>
            <w:tcBorders/>
            <w:vAlign w:val="center"/>
          </w:tcPr>
          <w:p>
            <w:pPr>
              <w:pStyle w:val="TableContents"/>
              <w:bidi w:val="0"/>
              <w:spacing w:before="0" w:after="0"/>
              <w:ind w:left="0" w:right="0" w:hanging="0"/>
              <w:jc w:val="center"/>
              <w:rPr/>
            </w:pPr>
            <w:r>
              <w:rPr/>
              <w:t> </w:t>
            </w:r>
          </w:p>
        </w:tc>
        <w:tc>
          <w:tcPr>
            <w:tcW w:w="105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86,481</w:t>
            </w:r>
          </w:p>
        </w:tc>
        <w:tc>
          <w:tcPr>
            <w:tcW w:w="179" w:type="dxa"/>
            <w:tcBorders/>
            <w:vAlign w:val="center"/>
          </w:tcPr>
          <w:p>
            <w:pPr>
              <w:pStyle w:val="TableContents"/>
              <w:bidi w:val="0"/>
              <w:spacing w:before="0" w:after="0"/>
              <w:ind w:left="0" w:right="0" w:hanging="0"/>
              <w:jc w:val="left"/>
              <w:rPr/>
            </w:pPr>
            <w:r>
              <w:rPr/>
              <w:t>​</w:t>
            </w:r>
          </w:p>
        </w:tc>
        <w:tc>
          <w:tcPr>
            <w:tcW w:w="322" w:type="dxa"/>
            <w:tcBorders/>
            <w:vAlign w:val="center"/>
          </w:tcPr>
          <w:p>
            <w:pPr>
              <w:pStyle w:val="TableContents"/>
              <w:bidi w:val="0"/>
              <w:spacing w:before="0" w:after="0"/>
              <w:ind w:left="0" w:right="0" w:hanging="0"/>
              <w:jc w:val="center"/>
              <w:rPr/>
            </w:pPr>
            <w:r>
              <w:rPr/>
              <w:t>​</w:t>
            </w:r>
          </w:p>
        </w:tc>
        <w:tc>
          <w:tcPr>
            <w:tcW w:w="102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61,560</w:t>
            </w:r>
          </w:p>
        </w:tc>
        <w:tc>
          <w:tcPr>
            <w:tcW w:w="179" w:type="dxa"/>
            <w:tcBorders/>
            <w:vAlign w:val="center"/>
          </w:tcPr>
          <w:p>
            <w:pPr>
              <w:pStyle w:val="TableContents"/>
              <w:bidi w:val="0"/>
              <w:spacing w:before="0" w:after="0"/>
              <w:ind w:left="0" w:right="0" w:hanging="0"/>
              <w:jc w:val="right"/>
              <w:rPr/>
            </w:pPr>
            <w:r>
              <w:rPr/>
              <w:t>​</w:t>
            </w:r>
          </w:p>
        </w:tc>
        <w:tc>
          <w:tcPr>
            <w:tcW w:w="322" w:type="dxa"/>
            <w:tcBorders/>
            <w:vAlign w:val="center"/>
          </w:tcPr>
          <w:p>
            <w:pPr>
              <w:pStyle w:val="TableContents"/>
              <w:bidi w:val="0"/>
              <w:spacing w:before="0" w:after="0"/>
              <w:ind w:left="0" w:right="0" w:hanging="0"/>
              <w:jc w:val="center"/>
              <w:rPr/>
            </w:pPr>
            <w:r>
              <w:rPr/>
              <w:t> </w:t>
            </w:r>
          </w:p>
        </w:tc>
        <w:tc>
          <w:tcPr>
            <w:tcW w:w="113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92,661</w:t>
            </w:r>
          </w:p>
        </w:tc>
      </w:tr>
      <w:tr>
        <w:trPr/>
        <w:tc>
          <w:tcPr>
            <w:tcW w:w="414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Dilutive effect of common stock equivalents</w:t>
            </w:r>
          </w:p>
        </w:tc>
        <w:tc>
          <w:tcPr>
            <w:tcW w:w="322"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10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4,955</w:t>
            </w:r>
          </w:p>
        </w:tc>
        <w:tc>
          <w:tcPr>
            <w:tcW w:w="179" w:type="dxa"/>
            <w:tcBorders/>
            <w:shd w:fill="CCEEFF" w:val="clear"/>
            <w:vAlign w:val="center"/>
          </w:tcPr>
          <w:p>
            <w:pPr>
              <w:pStyle w:val="TableContents"/>
              <w:bidi w:val="0"/>
              <w:spacing w:before="0" w:after="0"/>
              <w:ind w:left="0" w:right="0" w:hanging="0"/>
              <w:jc w:val="right"/>
              <w:rPr/>
            </w:pPr>
            <w:r>
              <w:rPr/>
              <w:t>​</w:t>
            </w:r>
          </w:p>
        </w:tc>
        <w:tc>
          <w:tcPr>
            <w:tcW w:w="322"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 </w:t>
            </w:r>
          </w:p>
        </w:tc>
        <w:tc>
          <w:tcPr>
            <w:tcW w:w="105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79" w:type="dxa"/>
            <w:tcBorders/>
            <w:shd w:fill="CCEEFF" w:val="clear"/>
            <w:vAlign w:val="center"/>
          </w:tcPr>
          <w:p>
            <w:pPr>
              <w:pStyle w:val="TableContents"/>
              <w:bidi w:val="0"/>
              <w:spacing w:before="0" w:after="0"/>
              <w:ind w:left="0" w:right="0" w:hanging="0"/>
              <w:jc w:val="left"/>
              <w:rPr/>
            </w:pPr>
            <w:r>
              <w:rPr/>
              <w:t>​</w:t>
            </w:r>
          </w:p>
        </w:tc>
        <w:tc>
          <w:tcPr>
            <w:tcW w:w="322"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10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6,361</w:t>
            </w:r>
          </w:p>
        </w:tc>
        <w:tc>
          <w:tcPr>
            <w:tcW w:w="179" w:type="dxa"/>
            <w:tcBorders/>
            <w:shd w:fill="CCEEFF" w:val="clear"/>
            <w:vAlign w:val="center"/>
          </w:tcPr>
          <w:p>
            <w:pPr>
              <w:pStyle w:val="TableContents"/>
              <w:bidi w:val="0"/>
              <w:spacing w:before="0" w:after="0"/>
              <w:ind w:left="0" w:right="0" w:hanging="0"/>
              <w:jc w:val="right"/>
              <w:rPr/>
            </w:pPr>
            <w:r>
              <w:rPr/>
              <w:t>​</w:t>
            </w:r>
          </w:p>
        </w:tc>
        <w:tc>
          <w:tcPr>
            <w:tcW w:w="322"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 </w:t>
            </w:r>
          </w:p>
        </w:tc>
        <w:tc>
          <w:tcPr>
            <w:tcW w:w="11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4141"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Total shares used in per share computation </w:t>
            </w:r>
            <w:r>
              <w:rPr>
                <w:rFonts w:ascii="Times New Roman;Times;serif" w:hAnsi="Times New Roman;Times;serif"/>
                <w:sz w:val="14"/>
              </w:rPr>
              <w:t>(2)</w:t>
            </w:r>
          </w:p>
        </w:tc>
        <w:tc>
          <w:tcPr>
            <w:tcW w:w="322"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02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76,243</w:t>
            </w:r>
          </w:p>
        </w:tc>
        <w:tc>
          <w:tcPr>
            <w:tcW w:w="179" w:type="dxa"/>
            <w:tcBorders/>
            <w:vAlign w:val="center"/>
          </w:tcPr>
          <w:p>
            <w:pPr>
              <w:pStyle w:val="TableContents"/>
              <w:bidi w:val="0"/>
              <w:spacing w:before="0" w:after="0"/>
              <w:ind w:left="0" w:right="0" w:hanging="0"/>
              <w:jc w:val="right"/>
              <w:rPr/>
            </w:pPr>
            <w:r>
              <w:rPr/>
              <w:t>​</w:t>
            </w:r>
          </w:p>
        </w:tc>
        <w:tc>
          <w:tcPr>
            <w:tcW w:w="322"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05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86,481</w:t>
            </w:r>
          </w:p>
        </w:tc>
        <w:tc>
          <w:tcPr>
            <w:tcW w:w="179" w:type="dxa"/>
            <w:tcBorders/>
            <w:vAlign w:val="center"/>
          </w:tcPr>
          <w:p>
            <w:pPr>
              <w:pStyle w:val="TableContents"/>
              <w:bidi w:val="0"/>
              <w:spacing w:before="0" w:after="0"/>
              <w:ind w:left="0" w:right="0" w:hanging="0"/>
              <w:jc w:val="left"/>
              <w:rPr/>
            </w:pPr>
            <w:r>
              <w:rPr/>
              <w:t>​</w:t>
            </w:r>
          </w:p>
        </w:tc>
        <w:tc>
          <w:tcPr>
            <w:tcW w:w="322"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02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67,921</w:t>
            </w:r>
          </w:p>
        </w:tc>
        <w:tc>
          <w:tcPr>
            <w:tcW w:w="179" w:type="dxa"/>
            <w:tcBorders/>
            <w:vAlign w:val="center"/>
          </w:tcPr>
          <w:p>
            <w:pPr>
              <w:pStyle w:val="TableContents"/>
              <w:bidi w:val="0"/>
              <w:spacing w:before="0" w:after="0"/>
              <w:ind w:left="0" w:right="0" w:hanging="0"/>
              <w:jc w:val="right"/>
              <w:rPr/>
            </w:pPr>
            <w:r>
              <w:rPr/>
              <w:t>​</w:t>
            </w:r>
          </w:p>
        </w:tc>
        <w:tc>
          <w:tcPr>
            <w:tcW w:w="322"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13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92,661</w:t>
            </w:r>
          </w:p>
        </w:tc>
      </w:tr>
      <w:tr>
        <w:trPr/>
        <w:tc>
          <w:tcPr>
            <w:tcW w:w="4141"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Dilutive net income per share:</w:t>
            </w:r>
          </w:p>
        </w:tc>
        <w:tc>
          <w:tcPr>
            <w:tcW w:w="322"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102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0.07</w:t>
            </w:r>
          </w:p>
        </w:tc>
        <w:tc>
          <w:tcPr>
            <w:tcW w:w="179" w:type="dxa"/>
            <w:tcBorders/>
            <w:shd w:fill="CCEEFF" w:val="clear"/>
            <w:vAlign w:val="center"/>
          </w:tcPr>
          <w:p>
            <w:pPr>
              <w:pStyle w:val="TableContents"/>
              <w:bidi w:val="0"/>
              <w:spacing w:before="0" w:after="0"/>
              <w:ind w:left="0" w:right="0" w:hanging="0"/>
              <w:jc w:val="right"/>
              <w:rPr/>
            </w:pPr>
            <w:r>
              <w:rPr/>
              <w:t>​</w:t>
            </w:r>
          </w:p>
        </w:tc>
        <w:tc>
          <w:tcPr>
            <w:tcW w:w="322"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105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0.07</w:t>
            </w:r>
          </w:p>
        </w:tc>
        <w:tc>
          <w:tcPr>
            <w:tcW w:w="179" w:type="dxa"/>
            <w:tcBorders/>
            <w:shd w:fill="CCEEFF" w:val="clear"/>
            <w:vAlign w:val="center"/>
          </w:tcPr>
          <w:p>
            <w:pPr>
              <w:pStyle w:val="TableContents"/>
              <w:bidi w:val="0"/>
              <w:spacing w:before="0" w:after="0"/>
              <w:ind w:left="0" w:right="0" w:hanging="0"/>
              <w:jc w:val="left"/>
              <w:rPr/>
            </w:pPr>
            <w:r>
              <w:rPr/>
              <w:t>​</w:t>
            </w:r>
          </w:p>
        </w:tc>
        <w:tc>
          <w:tcPr>
            <w:tcW w:w="322"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102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0.02</w:t>
            </w:r>
          </w:p>
        </w:tc>
        <w:tc>
          <w:tcPr>
            <w:tcW w:w="179" w:type="dxa"/>
            <w:tcBorders/>
            <w:shd w:fill="CCEEFF" w:val="clear"/>
            <w:vAlign w:val="center"/>
          </w:tcPr>
          <w:p>
            <w:pPr>
              <w:pStyle w:val="TableContents"/>
              <w:bidi w:val="0"/>
              <w:spacing w:before="0" w:after="0"/>
              <w:ind w:left="0" w:right="0" w:hanging="0"/>
              <w:jc w:val="right"/>
              <w:rPr/>
            </w:pPr>
            <w:r>
              <w:rPr/>
              <w:t>​</w:t>
            </w:r>
          </w:p>
        </w:tc>
        <w:tc>
          <w:tcPr>
            <w:tcW w:w="322"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113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0.02</w:t>
            </w:r>
          </w:p>
        </w:tc>
      </w:tr>
      <w:tr>
        <w:trPr/>
        <w:tc>
          <w:tcPr>
            <w:tcW w:w="10205" w:type="dxa"/>
            <w:gridSpan w:val="12"/>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2"/>
              </w:rPr>
              <w:t>(1)</w:t>
            </w:r>
            <w:r>
              <w:rPr>
                <w:rFonts w:ascii="Times New Roman;Times;serif" w:hAnsi="Times New Roman;Times;serif"/>
                <w:sz w:val="16"/>
              </w:rPr>
              <w:t xml:space="preserve"> Allocation of net income is based on the percentages of shares outstanding.</w:t>
            </w:r>
          </w:p>
        </w:tc>
      </w:tr>
      <w:tr>
        <w:trPr/>
        <w:tc>
          <w:tcPr>
            <w:tcW w:w="10205" w:type="dxa"/>
            <w:gridSpan w:val="12"/>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2"/>
              </w:rPr>
              <w:t xml:space="preserve">(2) </w:t>
            </w:r>
            <w:r>
              <w:rPr>
                <w:rFonts w:ascii="Times New Roman;Times;serif" w:hAnsi="Times New Roman;Times;serif"/>
                <w:sz w:val="16"/>
              </w:rPr>
              <w:t>For the three months ended March 31, 2025, a total of 9,498 shares assumed to be converted from the Notes, as well as 7 out-of-the-money options resulted in anti-dilutive impact to EPS and therefore were excluded from the calculation. For the three months ended March 31, 2024, a total of 232 out-of-the-money options resulted in anti-dilutive impact to EPS and therefore were excluded from the calculation.</w:t>
            </w:r>
          </w:p>
        </w:tc>
      </w:tr>
    </w:tbl>
    <w:p>
      <w:pPr>
        <w:pStyle w:val="TextBody"/>
        <w:bidi w:val="0"/>
        <w:spacing w:before="0" w:after="0"/>
        <w:ind w:left="450" w:right="0" w:hanging="0"/>
        <w:jc w:val="left"/>
        <w:rPr>
          <w:color w:val="FF0000"/>
        </w:rPr>
      </w:pPr>
      <w:r>
        <w:rPr>
          <w:color w:val="FF0000"/>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10.    STOCK-BASED AWARD PLANS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2020 Incentive Award Plan (the “2020 Plan”) provides the ability to grant cash and equity-based incentive awards to eligible employees, directors and service providers in order to attract, retain and motivate those that make important contributions to the Company. The Company issued stock options, RSAs, RSUs, and PSUs under the 2020 Plan. As of March 31, 2025, 20,118 shares of Class A common stock were available for issuance under the 2020 Plan. </w:t>
      </w:r>
    </w:p>
    <w:p>
      <w:pPr>
        <w:pStyle w:val="TextBody"/>
        <w:bidi w:val="0"/>
        <w:spacing w:before="0" w:after="0"/>
        <w:ind w:left="0" w:right="0" w:firstLine="36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646" w:type="dxa"/>
        <w:jc w:val="left"/>
        <w:tblInd w:w="0" w:type="dxa"/>
        <w:tblLayout w:type="fixed"/>
        <w:tblCellMar>
          <w:top w:w="0" w:type="dxa"/>
          <w:left w:w="0" w:type="dxa"/>
          <w:bottom w:w="0" w:type="dxa"/>
          <w:right w:w="0" w:type="dxa"/>
        </w:tblCellMar>
      </w:tblPr>
      <w:tblGrid>
        <w:gridCol w:w="6646"/>
      </w:tblGrid>
      <w:tr>
        <w:trPr/>
        <w:tc>
          <w:tcPr>
            <w:tcW w:w="6646" w:type="dxa"/>
            <w:tcBorders/>
            <w:vAlign w:val="center"/>
          </w:tcPr>
          <w:p>
            <w:pPr>
              <w:pStyle w:val="TableContents"/>
              <w:bidi w:val="0"/>
              <w:spacing w:before="0" w:after="283"/>
              <w:ind w:left="0" w:right="0" w:hanging="0"/>
              <w:jc w:val="left"/>
              <w:rPr>
                <w:sz w:val="4"/>
                <w:szCs w:val="4"/>
              </w:rPr>
            </w:pPr>
            <w:r>
              <w:rPr>
                <w:sz w:val="4"/>
                <w:szCs w:val="4"/>
              </w:rPr>
            </w:r>
          </w:p>
        </w:tc>
      </w:tr>
      <w:tr>
        <w:trPr/>
        <w:tc>
          <w:tcPr>
            <w:tcW w:w="66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Vertex, Inc. and Subsidiaries</w:t>
            </w:r>
          </w:p>
        </w:tc>
      </w:tr>
      <w:tr>
        <w:trPr/>
        <w:tc>
          <w:tcPr>
            <w:tcW w:w="66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Condensed Consolidated Financial Statements (unaudited) continued</w:t>
            </w:r>
          </w:p>
        </w:tc>
      </w:tr>
      <w:tr>
        <w:trPr/>
        <w:tc>
          <w:tcPr>
            <w:tcW w:w="66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(Amounts in thousands, except per share data) </w:t>
            </w:r>
          </w:p>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i/>
          <w:sz w:val="20"/>
        </w:rPr>
      </w:pPr>
      <w:bookmarkStart w:id="1201" w:name="Tc_siYVPm8FE0uvqHFeGEwVDA_17_0"/>
      <w:bookmarkStart w:id="1202" w:name="Tc_xNc63cLiOEuSYjBzKX5HPw_7_0"/>
      <w:bookmarkStart w:id="1203" w:name="Tc_XhbwMEIOVU2MSQG01t5fQQ_6_2"/>
      <w:bookmarkStart w:id="1204" w:name="Tc_W1zOAbvd80GkSvgnOvqr8w_5_8"/>
      <w:bookmarkStart w:id="1205" w:name="Tc_aCM2Kk_DS0GmYvjpsFt8Rg_5_6"/>
      <w:bookmarkStart w:id="1206" w:name="Tc_z9t4tAkYkEyQqQbZuTKIZg_5_4"/>
      <w:bookmarkStart w:id="1207" w:name="Tc_KeiCSqgWpU-MuWET1Dl7Ig_5_2"/>
      <w:bookmarkStart w:id="1208" w:name="Tc_QXzFRduuqU67ewKquT8WOQ_5_0"/>
      <w:bookmarkStart w:id="1209" w:name="Tc_1V-XtXsbJEOOxcyDkeE74Q_4_8"/>
      <w:bookmarkStart w:id="1210" w:name="Tc_bcymEl8m6EKqvG4MDLOi-g_4_4"/>
      <w:bookmarkStart w:id="1211" w:name="Tc_vzyIlFpdG0e9SrAvelsiIw_3_8"/>
      <w:bookmarkStart w:id="1212" w:name="Tc_SdyV9Bo690icBQxTfPHD8A_3_4"/>
      <w:bookmarkStart w:id="1213" w:name="Tc_dWKMnqXwokm3ayiE8q4uhw_2_6"/>
      <w:bookmarkStart w:id="1214" w:name="Tc_N6tVfpIkp0qXuysT36iUaw_2_2"/>
      <w:bookmarkStart w:id="1215" w:name="Tc_MJC9yXXE1E2Fe9Q9tTCgog_10_9"/>
      <w:bookmarkStart w:id="1216" w:name="Tc_RK9S1kUG7EyLAK1irZsPFw_10_4"/>
      <w:bookmarkStart w:id="1217" w:name="Tc_hvqufcMkn023siX66LkcJA_10_0"/>
      <w:bookmarkStart w:id="1218" w:name="Tc_Z5NJKw_7wEWQ59KiqQNvyQ_9_9"/>
      <w:bookmarkStart w:id="1219" w:name="Tc_QzOSay0EzkuRc8oaGsrX0A_9_4"/>
      <w:bookmarkStart w:id="1220" w:name="Tc_F1nM_-QlgUS-0AI3Ggq3GQ_9_0"/>
      <w:bookmarkStart w:id="1221" w:name="Tc_xiPTEHC5FUCA_BwodoZ0Bw_8_0"/>
      <w:bookmarkStart w:id="1222" w:name="Tc_xUBzU7Z8okig3dCvabVJEg_7_9"/>
      <w:bookmarkStart w:id="1223" w:name="Tc_eU7g6zxGM0W6U_RoYxTZtg_7_4"/>
      <w:bookmarkStart w:id="1224" w:name="Tc_RWRrry8gOUuRdxejnRVn1w_7_0"/>
      <w:bookmarkStart w:id="1225" w:name="Tc_RmXuvJyGOEyZaqtgumYz-w_6_2"/>
      <w:bookmarkStart w:id="1226" w:name="Tc_4lyzydiur0iqzSIRnCZz5g_5_9"/>
      <w:bookmarkStart w:id="1227" w:name="Tc_lx2dm-RYr02wBJPsXPdkig_5_7"/>
      <w:bookmarkStart w:id="1228" w:name="Tc_VzXBxuwoCU69n5iCCiZr9g_5_5"/>
      <w:bookmarkStart w:id="1229" w:name="Tc_AK0Cg5zziEuk7wZqCQP3sg_5_2"/>
      <w:bookmarkStart w:id="1230" w:name="Tc_elTffjeYHkywyAiD9d37Nw_5_0"/>
      <w:bookmarkStart w:id="1231" w:name="Tc_hjLq-cdXGE2PGh-urTsk7A_4_9"/>
      <w:bookmarkStart w:id="1232" w:name="Tc_pg0lUyliGU6IcD1Zx5ybyQ_4_7"/>
      <w:bookmarkStart w:id="1233" w:name="Tc_iKwKjYqQcUe0bU7Bv39_sw_4_5"/>
      <w:bookmarkStart w:id="1234" w:name="Tc_a3Ipb60UH0ijAaqlsj1fag_3_9"/>
      <w:bookmarkStart w:id="1235" w:name="Tc_N5g3Hg4IUEOgz9wcsp0j4g_3_7"/>
      <w:bookmarkStart w:id="1236" w:name="Tc_EYq9jB5EuUyci0zTd5vo8w_3_5"/>
      <w:bookmarkStart w:id="1237" w:name="Tc_4ReFy3C9HEq7DYFM5gf9JQ_2_7"/>
      <w:bookmarkStart w:id="1238" w:name="Tc_uv9VPXYUtEWYV0kPVP8i5A_2_5"/>
      <w:bookmarkStart w:id="1239" w:name="Tc_KB3kUJAqhU6WSbn-tWxWeg_1_7"/>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r>
        <w:rPr>
          <w:rFonts w:ascii="Times New Roman;Times;serif" w:hAnsi="Times New Roman;Times;serif"/>
          <w:i/>
          <w:sz w:val="20"/>
        </w:rPr>
        <w:t xml:space="preserve">Options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summarizes activity for options outstanding under the 2020 Plan for the three months ended March 31, 2025:</w:t>
      </w:r>
    </w:p>
    <w:p>
      <w:pPr>
        <w:pStyle w:val="TextBody"/>
        <w:bidi w:val="0"/>
        <w:spacing w:before="0" w:after="0"/>
        <w:ind w:left="0" w:right="0" w:hanging="0"/>
        <w:jc w:val="left"/>
        <w:rPr/>
      </w:pPr>
      <w:r>
        <w:rPr/>
        <w:t>​</w:t>
      </w:r>
    </w:p>
    <w:tbl>
      <w:tblPr>
        <w:tblW w:w="8272" w:type="dxa"/>
        <w:jc w:val="left"/>
        <w:tblInd w:w="0" w:type="dxa"/>
        <w:tblLayout w:type="fixed"/>
        <w:tblCellMar>
          <w:top w:w="0" w:type="dxa"/>
          <w:left w:w="0" w:type="dxa"/>
          <w:bottom w:w="0" w:type="dxa"/>
          <w:right w:w="0" w:type="dxa"/>
        </w:tblCellMar>
      </w:tblPr>
      <w:tblGrid>
        <w:gridCol w:w="4156"/>
        <w:gridCol w:w="146"/>
        <w:gridCol w:w="571"/>
        <w:gridCol w:w="109"/>
        <w:gridCol w:w="211"/>
        <w:gridCol w:w="796"/>
        <w:gridCol w:w="146"/>
        <w:gridCol w:w="991"/>
        <w:gridCol w:w="109"/>
        <w:gridCol w:w="211"/>
        <w:gridCol w:w="826"/>
      </w:tblGrid>
      <w:tr>
        <w:trPr/>
        <w:tc>
          <w:tcPr>
            <w:tcW w:w="4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2639060" cy="175260"/>
                      <wp:effectExtent l="0" t="0" r="0" b="0"/>
                      <wp:wrapNone/>
                      <wp:docPr id="245" name="Frame245"/>
                      <a:graphic xmlns:a="http://schemas.openxmlformats.org/drawingml/2006/main">
                        <a:graphicData uri="http://schemas.microsoft.com/office/word/2010/wordprocessingShape">
                          <wps:wsp>
                            <wps:cNvSpPr txBox="1"/>
                            <wps:spPr>
                              <a:xfrm>
                                <a:off x="0" y="0"/>
                                <a:ext cx="2639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92710" cy="175260"/>
                      <wp:effectExtent l="0" t="0" r="0" b="0"/>
                      <wp:wrapNone/>
                      <wp:docPr id="246" name="Frame246"/>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362585" cy="175260"/>
                      <wp:effectExtent l="0" t="0" r="0" b="0"/>
                      <wp:wrapNone/>
                      <wp:docPr id="247" name="Frame24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69215" cy="175260"/>
                      <wp:effectExtent l="0" t="0" r="0" b="0"/>
                      <wp:wrapNone/>
                      <wp:docPr id="248" name="Frame24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133985" cy="175260"/>
                      <wp:effectExtent l="0" t="0" r="0" b="0"/>
                      <wp:wrapNone/>
                      <wp:docPr id="249" name="Frame24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505460" cy="175260"/>
                      <wp:effectExtent l="0" t="0" r="0" b="0"/>
                      <wp:wrapNone/>
                      <wp:docPr id="250" name="Frame250"/>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92710" cy="175260"/>
                      <wp:effectExtent l="0" t="0" r="0" b="0"/>
                      <wp:wrapNone/>
                      <wp:docPr id="251" name="Frame251"/>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629285" cy="175260"/>
                      <wp:effectExtent l="0" t="0" r="0" b="0"/>
                      <wp:wrapNone/>
                      <wp:docPr id="252" name="Frame252"/>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69215" cy="175260"/>
                      <wp:effectExtent l="0" t="0" r="0" b="0"/>
                      <wp:wrapNone/>
                      <wp:docPr id="253" name="Frame25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133985" cy="175260"/>
                      <wp:effectExtent l="0" t="0" r="0" b="0"/>
                      <wp:wrapNone/>
                      <wp:docPr id="254" name="Frame25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524510" cy="175260"/>
                      <wp:effectExtent l="0" t="0" r="0" b="0"/>
                      <wp:wrapNone/>
                      <wp:docPr id="255" name="Frame255"/>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5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r>
      <w:tr>
        <w:trPr/>
        <w:tc>
          <w:tcPr>
            <w:tcW w:w="415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14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109" w:type="dxa"/>
            <w:tcBorders/>
            <w:vAlign w:val="center"/>
          </w:tcPr>
          <w:p>
            <w:pPr>
              <w:pStyle w:val="TableContents"/>
              <w:bidi w:val="0"/>
              <w:spacing w:before="0" w:after="0"/>
              <w:ind w:left="0" w:right="0" w:hanging="0"/>
              <w:jc w:val="left"/>
              <w:rPr/>
            </w:pPr>
            <w:r>
              <w:rPr/>
              <w:t>​</w:t>
            </w:r>
          </w:p>
        </w:tc>
        <w:tc>
          <w:tcPr>
            <w:tcW w:w="1037" w:type="dxa"/>
            <w:gridSpan w:val="2"/>
            <w:tcBorders/>
            <w:vAlign w:val="center"/>
          </w:tcPr>
          <w:p>
            <w:pPr>
              <w:pStyle w:val="TableContents"/>
              <w:bidi w:val="0"/>
              <w:spacing w:before="0" w:after="0"/>
              <w:ind w:left="0" w:right="0" w:hanging="0"/>
              <w:jc w:val="center"/>
              <w:rPr/>
            </w:pPr>
            <w:r>
              <w:rPr/>
              <w:t>​</w:t>
            </w:r>
          </w:p>
        </w:tc>
      </w:tr>
      <w:tr>
        <w:trPr/>
        <w:tc>
          <w:tcPr>
            <w:tcW w:w="415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14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Remaining</w:t>
            </w:r>
          </w:p>
        </w:tc>
        <w:tc>
          <w:tcPr>
            <w:tcW w:w="109" w:type="dxa"/>
            <w:tcBorders/>
            <w:vAlign w:val="center"/>
          </w:tcPr>
          <w:p>
            <w:pPr>
              <w:pStyle w:val="TableContents"/>
              <w:bidi w:val="0"/>
              <w:spacing w:before="0" w:after="0"/>
              <w:ind w:left="0" w:right="0" w:hanging="0"/>
              <w:jc w:val="left"/>
              <w:rPr/>
            </w:pPr>
            <w:r>
              <w:rPr/>
              <w:t>​</w:t>
            </w:r>
          </w:p>
        </w:tc>
        <w:tc>
          <w:tcPr>
            <w:tcW w:w="103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Aggregate</w:t>
            </w:r>
          </w:p>
        </w:tc>
      </w:tr>
      <w:tr>
        <w:trPr/>
        <w:tc>
          <w:tcPr>
            <w:tcW w:w="415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w:t>
            </w:r>
          </w:p>
        </w:tc>
        <w:tc>
          <w:tcPr>
            <w:tcW w:w="14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Contractual</w:t>
            </w:r>
          </w:p>
        </w:tc>
        <w:tc>
          <w:tcPr>
            <w:tcW w:w="109" w:type="dxa"/>
            <w:tcBorders/>
            <w:vAlign w:val="center"/>
          </w:tcPr>
          <w:p>
            <w:pPr>
              <w:pStyle w:val="TableContents"/>
              <w:bidi w:val="0"/>
              <w:spacing w:before="0" w:after="0"/>
              <w:ind w:left="0" w:right="0" w:hanging="0"/>
              <w:jc w:val="left"/>
              <w:rPr/>
            </w:pPr>
            <w:r>
              <w:rPr/>
              <w:t>​</w:t>
            </w:r>
          </w:p>
        </w:tc>
        <w:tc>
          <w:tcPr>
            <w:tcW w:w="103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Intrinsic</w:t>
            </w:r>
          </w:p>
        </w:tc>
      </w:tr>
      <w:tr>
        <w:trPr/>
        <w:tc>
          <w:tcPr>
            <w:tcW w:w="415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2020 Plan Option Activity</w:t>
            </w:r>
          </w:p>
        </w:tc>
        <w:tc>
          <w:tcPr>
            <w:tcW w:w="146" w:type="dxa"/>
            <w:tcBorders/>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Units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Price</w:t>
            </w:r>
          </w:p>
        </w:tc>
        <w:tc>
          <w:tcPr>
            <w:tcW w:w="146" w:type="dxa"/>
            <w:tcBorders/>
            <w:vAlign w:val="center"/>
          </w:tcPr>
          <w:p>
            <w:pPr>
              <w:pStyle w:val="TableContents"/>
              <w:bidi w:val="0"/>
              <w:spacing w:before="0" w:after="0"/>
              <w:ind w:left="0" w:right="0" w:hanging="0"/>
              <w:jc w:val="right"/>
              <w:rPr/>
            </w:pPr>
            <w:r>
              <w:rPr/>
              <w:t>​</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Life (Years)</w:t>
            </w:r>
          </w:p>
        </w:tc>
        <w:tc>
          <w:tcPr>
            <w:tcW w:w="109" w:type="dxa"/>
            <w:tcBorders/>
            <w:vAlign w:val="center"/>
          </w:tcPr>
          <w:p>
            <w:pPr>
              <w:pStyle w:val="TableContents"/>
              <w:bidi w:val="0"/>
              <w:spacing w:before="0" w:after="0"/>
              <w:ind w:left="0" w:right="0" w:hanging="0"/>
              <w:jc w:val="right"/>
              <w:rPr/>
            </w:pPr>
            <w:r>
              <w:rPr/>
              <w:t>​</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8272" w:type="dxa"/>
            <w:gridSpan w:val="11"/>
            <w:tcBorders/>
            <w:vAlign w:val="center"/>
          </w:tcPr>
          <w:p>
            <w:pPr>
              <w:pStyle w:val="TableContents"/>
              <w:bidi w:val="0"/>
              <w:spacing w:before="0" w:after="283"/>
              <w:ind w:left="0" w:right="0" w:hanging="0"/>
              <w:jc w:val="left"/>
              <w:rPr>
                <w:sz w:val="4"/>
                <w:szCs w:val="4"/>
              </w:rPr>
            </w:pPr>
            <w:r>
              <w:rPr>
                <w:sz w:val="4"/>
                <w:szCs w:val="4"/>
              </w:rPr>
            </w:r>
          </w:p>
        </w:tc>
      </w:tr>
      <w:tr>
        <w:trPr/>
        <w:tc>
          <w:tcPr>
            <w:tcW w:w="415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3970" w:type="dxa"/>
            <w:gridSpan w:val="9"/>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r>
      <w:tr>
        <w:trPr/>
        <w:tc>
          <w:tcPr>
            <w:tcW w:w="41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at January 1, 2025</w:t>
            </w:r>
          </w:p>
        </w:tc>
        <w:tc>
          <w:tcPr>
            <w:tcW w:w="1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6.93</w:t>
            </w:r>
          </w:p>
        </w:tc>
        <w:tc>
          <w:tcPr>
            <w:tcW w:w="146" w:type="dxa"/>
            <w:tcBorders/>
            <w:shd w:fill="CCEEFF" w:val="clear"/>
            <w:vAlign w:val="center"/>
          </w:tcPr>
          <w:p>
            <w:pPr>
              <w:pStyle w:val="TableContents"/>
              <w:bidi w:val="0"/>
              <w:spacing w:before="0" w:after="0"/>
              <w:ind w:left="0" w:right="0" w:hanging="0"/>
              <w:jc w:val="righ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137,857</w:t>
            </w:r>
          </w:p>
        </w:tc>
      </w:tr>
      <w:tr>
        <w:trPr/>
        <w:tc>
          <w:tcPr>
            <w:tcW w:w="41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Exercised</w:t>
            </w:r>
          </w:p>
        </w:tc>
        <w:tc>
          <w:tcPr>
            <w:tcW w:w="146" w:type="dxa"/>
            <w:tcBorders/>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(387)</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4.04</w:t>
            </w:r>
          </w:p>
        </w:tc>
        <w:tc>
          <w:tcPr>
            <w:tcW w:w="14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r>
      <w:tr>
        <w:trPr/>
        <w:tc>
          <w:tcPr>
            <w:tcW w:w="41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2020 Plan options outstanding at March 31, 2025</w:t>
            </w:r>
          </w:p>
        </w:tc>
        <w:tc>
          <w:tcPr>
            <w:tcW w:w="146" w:type="dxa"/>
            <w:tcBorders/>
            <w:shd w:fill="CCEEFF" w:val="clear"/>
            <w:vAlign w:val="center"/>
          </w:tcPr>
          <w:p>
            <w:pPr>
              <w:pStyle w:val="TableContents"/>
              <w:bidi w:val="0"/>
              <w:spacing w:before="0" w:after="0"/>
              <w:ind w:left="0" w:right="0" w:hanging="0"/>
              <w:jc w:val="left"/>
              <w:rPr/>
            </w:pPr>
            <w:r>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7.36</w:t>
            </w:r>
          </w:p>
        </w:tc>
        <w:tc>
          <w:tcPr>
            <w:tcW w:w="14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71,401</w:t>
            </w:r>
          </w:p>
        </w:tc>
      </w:tr>
      <w:tr>
        <w:trPr/>
        <w:tc>
          <w:tcPr>
            <w:tcW w:w="41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2020 Plan options exercisable at March 31, 2025</w:t>
            </w:r>
          </w:p>
        </w:tc>
        <w:tc>
          <w:tcPr>
            <w:tcW w:w="146" w:type="dxa"/>
            <w:tcBorders/>
            <w:vAlign w:val="center"/>
          </w:tcPr>
          <w:p>
            <w:pPr>
              <w:pStyle w:val="TableContents"/>
              <w:bidi w:val="0"/>
              <w:spacing w:before="0" w:after="0"/>
              <w:ind w:left="0" w:right="0" w:hanging="0"/>
              <w:jc w:val="left"/>
              <w:rPr/>
            </w:pPr>
            <w:r>
              <w:rPr/>
              <w:t> </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2,513</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7.05</w:t>
            </w:r>
          </w:p>
        </w:tc>
        <w:tc>
          <w:tcPr>
            <w:tcW w:w="1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70,260</w:t>
            </w:r>
          </w:p>
        </w:tc>
      </w:tr>
    </w:tbl>
    <w:p>
      <w:pPr>
        <w:pStyle w:val="TextBody"/>
        <w:shd w:fill="FFFFFF" w:val="clea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details of options outstanding, vested, and exercisable under the 2020 Plan as of March 31, 2025 are as follows:</w:t>
      </w:r>
    </w:p>
    <w:p>
      <w:pPr>
        <w:pStyle w:val="TextBody"/>
        <w:bidi w:val="0"/>
        <w:spacing w:before="0" w:after="0"/>
        <w:ind w:left="0" w:right="0" w:hanging="0"/>
        <w:jc w:val="left"/>
        <w:rPr/>
      </w:pPr>
      <w:r>
        <w:rPr/>
        <w:t>​</w:t>
      </w:r>
    </w:p>
    <w:tbl>
      <w:tblPr>
        <w:tblW w:w="8421" w:type="dxa"/>
        <w:jc w:val="left"/>
        <w:tblInd w:w="0" w:type="dxa"/>
        <w:tblLayout w:type="fixed"/>
        <w:tblCellMar>
          <w:top w:w="0" w:type="dxa"/>
          <w:left w:w="0" w:type="dxa"/>
          <w:bottom w:w="0" w:type="dxa"/>
          <w:right w:w="0" w:type="dxa"/>
        </w:tblCellMar>
      </w:tblPr>
      <w:tblGrid>
        <w:gridCol w:w="3466"/>
        <w:gridCol w:w="326"/>
        <w:gridCol w:w="571"/>
        <w:gridCol w:w="326"/>
        <w:gridCol w:w="976"/>
        <w:gridCol w:w="326"/>
        <w:gridCol w:w="723"/>
        <w:gridCol w:w="413"/>
        <w:gridCol w:w="1294"/>
      </w:tblGrid>
      <w:tr>
        <w:trPr/>
        <w:tc>
          <w:tcPr>
            <w:tcW w:w="3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2200910" cy="175260"/>
                      <wp:effectExtent l="0" t="0" r="0" b="0"/>
                      <wp:wrapNone/>
                      <wp:docPr id="256" name="Frame256"/>
                      <a:graphic xmlns:a="http://schemas.openxmlformats.org/drawingml/2006/main">
                        <a:graphicData uri="http://schemas.microsoft.com/office/word/2010/wordprocessingShape">
                          <wps:wsp>
                            <wps:cNvSpPr txBox="1"/>
                            <wps:spPr>
                              <a:xfrm>
                                <a:off x="0" y="0"/>
                                <a:ext cx="2200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207010" cy="175260"/>
                      <wp:effectExtent l="0" t="0" r="0" b="0"/>
                      <wp:wrapNone/>
                      <wp:docPr id="257" name="Frame2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362585" cy="175260"/>
                      <wp:effectExtent l="0" t="0" r="0" b="0"/>
                      <wp:wrapNone/>
                      <wp:docPr id="258" name="Frame25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207010" cy="175260"/>
                      <wp:effectExtent l="0" t="0" r="0" b="0"/>
                      <wp:wrapNone/>
                      <wp:docPr id="259" name="Frame2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619760" cy="175260"/>
                      <wp:effectExtent l="0" t="0" r="0" b="0"/>
                      <wp:wrapNone/>
                      <wp:docPr id="260" name="Frame260"/>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207010" cy="175260"/>
                      <wp:effectExtent l="0" t="0" r="0" b="0"/>
                      <wp:wrapNone/>
                      <wp:docPr id="261" name="Frame2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459105" cy="175260"/>
                      <wp:effectExtent l="0" t="0" r="0" b="0"/>
                      <wp:wrapNone/>
                      <wp:docPr id="262" name="Frame262"/>
                      <a:graphic xmlns:a="http://schemas.openxmlformats.org/drawingml/2006/main">
                        <a:graphicData uri="http://schemas.microsoft.com/office/word/2010/wordprocessingShape">
                          <wps:wsp>
                            <wps:cNvSpPr txBox="1"/>
                            <wps:spPr>
                              <a:xfrm>
                                <a:off x="0" y="0"/>
                                <a:ext cx="4591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262255" cy="175260"/>
                      <wp:effectExtent l="0" t="0" r="0" b="0"/>
                      <wp:wrapNone/>
                      <wp:docPr id="263" name="Frame263"/>
                      <a:graphic xmlns:a="http://schemas.openxmlformats.org/drawingml/2006/main">
                        <a:graphicData uri="http://schemas.microsoft.com/office/word/2010/wordprocessingShape">
                          <wps:wsp>
                            <wps:cNvSpPr txBox="1"/>
                            <wps:spPr>
                              <a:xfrm>
                                <a:off x="0" y="0"/>
                                <a:ext cx="262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821690" cy="175260"/>
                      <wp:effectExtent l="0" t="0" r="0" b="0"/>
                      <wp:wrapNone/>
                      <wp:docPr id="264" name="Frame264"/>
                      <a:graphic xmlns:a="http://schemas.openxmlformats.org/drawingml/2006/main">
                        <a:graphicData uri="http://schemas.microsoft.com/office/word/2010/wordprocessingShape">
                          <wps:wsp>
                            <wps:cNvSpPr txBox="1"/>
                            <wps:spPr>
                              <a:xfrm>
                                <a:off x="0" y="0"/>
                                <a:ext cx="8216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723" w:type="dxa"/>
            <w:tcBorders/>
            <w:vAlign w:val="center"/>
          </w:tcPr>
          <w:p>
            <w:pPr>
              <w:pStyle w:val="TableContents"/>
              <w:bidi w:val="0"/>
              <w:spacing w:before="0" w:after="0"/>
              <w:ind w:left="0" w:right="0" w:hanging="0"/>
              <w:jc w:val="center"/>
              <w:rPr/>
            </w:pPr>
            <w:r>
              <w:rPr/>
              <w:t>​</w:t>
            </w:r>
          </w:p>
        </w:tc>
        <w:tc>
          <w:tcPr>
            <w:tcW w:w="413" w:type="dxa"/>
            <w:tcBorders/>
            <w:vAlign w:val="center"/>
          </w:tcPr>
          <w:p>
            <w:pPr>
              <w:pStyle w:val="TableContents"/>
              <w:bidi w:val="0"/>
              <w:spacing w:before="0" w:after="0"/>
              <w:ind w:left="0" w:right="0" w:hanging="0"/>
              <w:jc w:val="left"/>
              <w:rPr/>
            </w:pPr>
            <w:r>
              <w:rPr/>
              <w:t>​</w:t>
            </w:r>
          </w:p>
        </w:tc>
        <w:tc>
          <w:tcPr>
            <w:tcW w:w="1294" w:type="dxa"/>
            <w:tcBorders/>
            <w:vAlign w:val="center"/>
          </w:tcPr>
          <w:p>
            <w:pPr>
              <w:pStyle w:val="TableContents"/>
              <w:bidi w:val="0"/>
              <w:spacing w:before="0" w:after="0"/>
              <w:ind w:left="0" w:right="0" w:hanging="0"/>
              <w:jc w:val="center"/>
              <w:rPr/>
            </w:pPr>
            <w:r>
              <w:rPr/>
              <w:t>​</w:t>
            </w:r>
          </w:p>
        </w:tc>
      </w:tr>
      <w:tr>
        <w:trPr/>
        <w:tc>
          <w:tcPr>
            <w:tcW w:w="34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7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Options Outstanding</w:t>
            </w:r>
          </w:p>
        </w:tc>
        <w:tc>
          <w:tcPr>
            <w:tcW w:w="326" w:type="dxa"/>
            <w:tcBorders/>
            <w:vAlign w:val="center"/>
          </w:tcPr>
          <w:p>
            <w:pPr>
              <w:pStyle w:val="TableContents"/>
              <w:bidi w:val="0"/>
              <w:spacing w:before="0" w:after="0"/>
              <w:ind w:left="0" w:right="0" w:hanging="0"/>
              <w:jc w:val="left"/>
              <w:rPr/>
            </w:pPr>
            <w:r>
              <w:rPr/>
              <w:t>​</w:t>
            </w:r>
          </w:p>
        </w:tc>
        <w:tc>
          <w:tcPr>
            <w:tcW w:w="2430"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Options Vested and Exercisable</w:t>
            </w:r>
          </w:p>
        </w:tc>
      </w:tr>
      <w:tr>
        <w:trPr/>
        <w:tc>
          <w:tcPr>
            <w:tcW w:w="34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26" w:type="dxa"/>
            <w:tcBorders/>
            <w:vAlign w:val="center"/>
          </w:tcPr>
          <w:p>
            <w:pPr>
              <w:pStyle w:val="TableContents"/>
              <w:bidi w:val="0"/>
              <w:spacing w:before="0" w:after="0"/>
              <w:ind w:left="0" w:right="0" w:hanging="0"/>
              <w:jc w:val="left"/>
              <w:rPr/>
            </w:pPr>
            <w:r>
              <w:rPr/>
              <w:t>    </w:t>
            </w:r>
          </w:p>
        </w:tc>
        <w:tc>
          <w:tcPr>
            <w:tcW w:w="723" w:type="dxa"/>
            <w:tcBorders/>
            <w:vAlign w:val="center"/>
          </w:tcPr>
          <w:p>
            <w:pPr>
              <w:pStyle w:val="TableContents"/>
              <w:bidi w:val="0"/>
              <w:spacing w:before="0" w:after="0"/>
              <w:ind w:left="0" w:right="0" w:hanging="0"/>
              <w:jc w:val="center"/>
              <w:rPr/>
            </w:pPr>
            <w:r>
              <w:rPr/>
              <w:t>​</w:t>
            </w:r>
          </w:p>
        </w:tc>
        <w:tc>
          <w:tcPr>
            <w:tcW w:w="413" w:type="dxa"/>
            <w:tcBorders/>
            <w:vAlign w:val="center"/>
          </w:tcPr>
          <w:p>
            <w:pPr>
              <w:pStyle w:val="TableContents"/>
              <w:bidi w:val="0"/>
              <w:spacing w:before="0" w:after="0"/>
              <w:ind w:left="0" w:right="0" w:hanging="0"/>
              <w:jc w:val="left"/>
              <w:rPr/>
            </w:pPr>
            <w:r>
              <w:rPr/>
              <w:t>    </w:t>
            </w:r>
          </w:p>
        </w:tc>
        <w:tc>
          <w:tcPr>
            <w:tcW w:w="1294"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346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26" w:type="dxa"/>
            <w:tcBorders/>
            <w:vAlign w:val="center"/>
          </w:tcPr>
          <w:p>
            <w:pPr>
              <w:pStyle w:val="TableContents"/>
              <w:bidi w:val="0"/>
              <w:spacing w:before="0" w:after="0"/>
              <w:ind w:left="0" w:right="0" w:hanging="0"/>
              <w:jc w:val="left"/>
              <w:rPr/>
            </w:pPr>
            <w:r>
              <w:rPr/>
              <w:t>​</w:t>
            </w:r>
          </w:p>
        </w:tc>
        <w:tc>
          <w:tcPr>
            <w:tcW w:w="723" w:type="dxa"/>
            <w:tcBorders/>
            <w:vAlign w:val="center"/>
          </w:tcPr>
          <w:p>
            <w:pPr>
              <w:pStyle w:val="TableContents"/>
              <w:bidi w:val="0"/>
              <w:spacing w:before="0" w:after="0"/>
              <w:ind w:left="0" w:right="0" w:hanging="0"/>
              <w:jc w:val="center"/>
              <w:rPr/>
            </w:pPr>
            <w:r>
              <w:rPr/>
              <w:t>​</w:t>
            </w:r>
          </w:p>
        </w:tc>
        <w:tc>
          <w:tcPr>
            <w:tcW w:w="413" w:type="dxa"/>
            <w:tcBorders/>
            <w:vAlign w:val="center"/>
          </w:tcPr>
          <w:p>
            <w:pPr>
              <w:pStyle w:val="TableContents"/>
              <w:bidi w:val="0"/>
              <w:spacing w:before="0" w:after="0"/>
              <w:ind w:left="0" w:right="0" w:hanging="0"/>
              <w:jc w:val="left"/>
              <w:rPr/>
            </w:pPr>
            <w:r>
              <w:rPr/>
              <w:t>​</w:t>
            </w:r>
          </w:p>
        </w:tc>
        <w:tc>
          <w:tcPr>
            <w:tcW w:w="1294"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r>
      <w:tr>
        <w:trPr/>
        <w:tc>
          <w:tcPr>
            <w:tcW w:w="34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Exercise Prices</w:t>
            </w:r>
          </w:p>
        </w:tc>
        <w:tc>
          <w:tcPr>
            <w:tcW w:w="326" w:type="dxa"/>
            <w:tcBorders/>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Units</w:t>
            </w:r>
          </w:p>
        </w:tc>
        <w:tc>
          <w:tcPr>
            <w:tcW w:w="326" w:type="dxa"/>
            <w:tcBorders/>
            <w:vAlign w:val="center"/>
          </w:tcPr>
          <w:p>
            <w:pPr>
              <w:pStyle w:val="TableContents"/>
              <w:bidi w:val="0"/>
              <w:spacing w:before="0" w:after="0"/>
              <w:ind w:left="0" w:right="0" w:hanging="0"/>
              <w:jc w:val="left"/>
              <w:rPr/>
            </w:pPr>
            <w:r>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Life (Years)</w:t>
            </w:r>
          </w:p>
        </w:tc>
        <w:tc>
          <w:tcPr>
            <w:tcW w:w="326" w:type="dxa"/>
            <w:tcBorders/>
            <w:vAlign w:val="center"/>
          </w:tcPr>
          <w:p>
            <w:pPr>
              <w:pStyle w:val="TableContents"/>
              <w:bidi w:val="0"/>
              <w:spacing w:before="0" w:after="0"/>
              <w:ind w:left="0" w:right="0" w:hanging="0"/>
              <w:jc w:val="left"/>
              <w:rPr/>
            </w:pPr>
            <w:r>
              <w:rPr/>
              <w:t>​</w:t>
            </w:r>
          </w:p>
        </w:tc>
        <w:tc>
          <w:tcPr>
            <w:tcW w:w="72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Units</w:t>
            </w:r>
          </w:p>
        </w:tc>
        <w:tc>
          <w:tcPr>
            <w:tcW w:w="413" w:type="dxa"/>
            <w:tcBorders/>
            <w:vAlign w:val="center"/>
          </w:tcPr>
          <w:p>
            <w:pPr>
              <w:pStyle w:val="TableContents"/>
              <w:bidi w:val="0"/>
              <w:spacing w:before="0" w:after="0"/>
              <w:ind w:left="0" w:right="0" w:hanging="0"/>
              <w:jc w:val="left"/>
              <w:rPr/>
            </w:pPr>
            <w:r>
              <w:rPr/>
              <w:t>​</w:t>
            </w:r>
          </w:p>
        </w:tc>
        <w:tc>
          <w:tcPr>
            <w:tcW w:w="129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Life (Years)</w:t>
            </w:r>
          </w:p>
        </w:tc>
      </w:tr>
      <w:tr>
        <w:trPr/>
        <w:tc>
          <w:tcPr>
            <w:tcW w:w="8421" w:type="dxa"/>
            <w:gridSpan w:val="9"/>
            <w:tcBorders/>
            <w:vAlign w:val="center"/>
          </w:tcPr>
          <w:p>
            <w:pPr>
              <w:pStyle w:val="TableContents"/>
              <w:bidi w:val="0"/>
              <w:spacing w:before="0" w:after="283"/>
              <w:ind w:left="0" w:right="0" w:hanging="0"/>
              <w:jc w:val="left"/>
              <w:rPr>
                <w:sz w:val="4"/>
                <w:szCs w:val="4"/>
              </w:rPr>
            </w:pPr>
            <w:r>
              <w:rPr>
                <w:sz w:val="4"/>
                <w:szCs w:val="4"/>
              </w:rPr>
            </w:r>
          </w:p>
        </w:tc>
      </w:tr>
      <w:tr>
        <w:trPr/>
        <w:tc>
          <w:tcPr>
            <w:tcW w:w="34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629" w:type="dxa"/>
            <w:gridSpan w:val="7"/>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r>
      <w:tr>
        <w:trPr/>
        <w:tc>
          <w:tcPr>
            <w:tcW w:w="34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$0.15 to $0.71</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310</w:t>
            </w:r>
          </w:p>
        </w:tc>
        <w:tc>
          <w:tcPr>
            <w:tcW w:w="32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310</w:t>
            </w:r>
          </w:p>
        </w:tc>
        <w:tc>
          <w:tcPr>
            <w:tcW w:w="413" w:type="dxa"/>
            <w:tcBorders/>
            <w:shd w:fill="CCEEFF" w:val="clear"/>
            <w:vAlign w:val="center"/>
          </w:tcPr>
          <w:p>
            <w:pPr>
              <w:pStyle w:val="TableContents"/>
              <w:bidi w:val="0"/>
              <w:spacing w:before="0" w:after="0"/>
              <w:ind w:left="0" w:right="0" w:hanging="0"/>
              <w:jc w:val="left"/>
              <w:rPr/>
            </w:pPr>
            <w:r>
              <w:rPr/>
              <w:t>​</w:t>
            </w:r>
          </w:p>
        </w:tc>
        <w:tc>
          <w:tcPr>
            <w:tcW w:w="1294" w:type="dxa"/>
            <w:tcBorders/>
            <w:shd w:fill="CCEEFF" w:val="cle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4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$2.50 </w:t>
            </w:r>
          </w:p>
        </w:tc>
        <w:tc>
          <w:tcPr>
            <w:tcW w:w="32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444</w:t>
            </w:r>
          </w:p>
        </w:tc>
        <w:tc>
          <w:tcPr>
            <w:tcW w:w="32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26" w:type="dxa"/>
            <w:tcBorders/>
            <w:vAlign w:val="center"/>
          </w:tcPr>
          <w:p>
            <w:pPr>
              <w:pStyle w:val="TableContents"/>
              <w:bidi w:val="0"/>
              <w:spacing w:before="0" w:after="0"/>
              <w:ind w:left="0" w:right="0" w:hanging="0"/>
              <w:jc w:val="left"/>
              <w:rPr/>
            </w:pPr>
            <w:r>
              <w:rPr/>
              <w:t>​</w:t>
            </w:r>
          </w:p>
        </w:tc>
        <w:tc>
          <w:tcPr>
            <w:tcW w:w="7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444</w:t>
            </w:r>
          </w:p>
        </w:tc>
        <w:tc>
          <w:tcPr>
            <w:tcW w:w="413" w:type="dxa"/>
            <w:tcBorders/>
            <w:vAlign w:val="center"/>
          </w:tcPr>
          <w:p>
            <w:pPr>
              <w:pStyle w:val="TableContents"/>
              <w:bidi w:val="0"/>
              <w:spacing w:before="0" w:after="0"/>
              <w:ind w:left="0" w:right="0" w:hanging="0"/>
              <w:jc w:val="left"/>
              <w:rPr/>
            </w:pPr>
            <w:r>
              <w:rPr/>
              <w:t>​</w:t>
            </w:r>
          </w:p>
        </w:tc>
        <w:tc>
          <w:tcPr>
            <w:tcW w:w="12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r>
      <w:tr>
        <w:trPr/>
        <w:tc>
          <w:tcPr>
            <w:tcW w:w="34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$3.17 </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w:t>
            </w:r>
          </w:p>
        </w:tc>
        <w:tc>
          <w:tcPr>
            <w:tcW w:w="32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326" w:type="dxa"/>
            <w:tcBorders/>
            <w:shd w:fill="CCEEFF" w:val="clear"/>
            <w:vAlign w:val="center"/>
          </w:tcPr>
          <w:p>
            <w:pPr>
              <w:pStyle w:val="TableContents"/>
              <w:bidi w:val="0"/>
              <w:spacing w:before="0" w:after="0"/>
              <w:ind w:left="0" w:right="0" w:hanging="0"/>
              <w:jc w:val="left"/>
              <w:rPr/>
            </w:pPr>
            <w:r>
              <w:rPr/>
              <w:t>​</w:t>
            </w:r>
          </w:p>
        </w:tc>
        <w:tc>
          <w:tcPr>
            <w:tcW w:w="7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w:t>
            </w:r>
          </w:p>
        </w:tc>
        <w:tc>
          <w:tcPr>
            <w:tcW w:w="413" w:type="dxa"/>
            <w:tcBorders/>
            <w:shd w:fill="CCEEFF" w:val="clear"/>
            <w:vAlign w:val="center"/>
          </w:tcPr>
          <w:p>
            <w:pPr>
              <w:pStyle w:val="TableContents"/>
              <w:bidi w:val="0"/>
              <w:spacing w:before="0" w:after="0"/>
              <w:ind w:left="0" w:right="0" w:hanging="0"/>
              <w:jc w:val="left"/>
              <w:rPr/>
            </w:pPr>
            <w:r>
              <w:rPr/>
              <w:t>​</w:t>
            </w:r>
          </w:p>
        </w:tc>
        <w:tc>
          <w:tcPr>
            <w:tcW w:w="12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r>
      <w:tr>
        <w:trPr/>
        <w:tc>
          <w:tcPr>
            <w:tcW w:w="34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$3.73 </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737</w:t>
            </w:r>
          </w:p>
        </w:tc>
        <w:tc>
          <w:tcPr>
            <w:tcW w:w="32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c>
          <w:tcPr>
            <w:tcW w:w="326" w:type="dxa"/>
            <w:tcBorders/>
            <w:vAlign w:val="center"/>
          </w:tcPr>
          <w:p>
            <w:pPr>
              <w:pStyle w:val="TableContents"/>
              <w:bidi w:val="0"/>
              <w:spacing w:before="0" w:after="0"/>
              <w:ind w:left="0" w:right="0" w:hanging="0"/>
              <w:jc w:val="left"/>
              <w:rPr/>
            </w:pPr>
            <w:r>
              <w:rPr/>
              <w:t>​</w:t>
            </w:r>
          </w:p>
        </w:tc>
        <w:tc>
          <w:tcPr>
            <w:tcW w:w="7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737</w:t>
            </w:r>
          </w:p>
        </w:tc>
        <w:tc>
          <w:tcPr>
            <w:tcW w:w="413" w:type="dxa"/>
            <w:tcBorders/>
            <w:vAlign w:val="center"/>
          </w:tcPr>
          <w:p>
            <w:pPr>
              <w:pStyle w:val="TableContents"/>
              <w:bidi w:val="0"/>
              <w:spacing w:before="0" w:after="0"/>
              <w:ind w:left="0" w:right="0" w:hanging="0"/>
              <w:jc w:val="left"/>
              <w:rPr/>
            </w:pPr>
            <w:r>
              <w:rPr/>
              <w:t>​</w:t>
            </w:r>
          </w:p>
        </w:tc>
        <w:tc>
          <w:tcPr>
            <w:tcW w:w="12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r>
      <w:tr>
        <w:trPr/>
        <w:tc>
          <w:tcPr>
            <w:tcW w:w="34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$4.70 </w:t>
            </w:r>
          </w:p>
        </w:tc>
        <w:tc>
          <w:tcPr>
            <w:tcW w:w="32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466</w:t>
            </w:r>
          </w:p>
        </w:tc>
        <w:tc>
          <w:tcPr>
            <w:tcW w:w="32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c>
          <w:tcPr>
            <w:tcW w:w="326" w:type="dxa"/>
            <w:tcBorders/>
            <w:shd w:fill="CCEEFF" w:val="clear"/>
            <w:vAlign w:val="center"/>
          </w:tcPr>
          <w:p>
            <w:pPr>
              <w:pStyle w:val="TableContents"/>
              <w:bidi w:val="0"/>
              <w:spacing w:before="0" w:after="0"/>
              <w:ind w:left="0" w:right="0" w:hanging="0"/>
              <w:jc w:val="left"/>
              <w:rPr/>
            </w:pPr>
            <w:r>
              <w:rPr/>
              <w:t>​</w:t>
            </w:r>
          </w:p>
        </w:tc>
        <w:tc>
          <w:tcPr>
            <w:tcW w:w="7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466</w:t>
            </w:r>
          </w:p>
        </w:tc>
        <w:tc>
          <w:tcPr>
            <w:tcW w:w="413" w:type="dxa"/>
            <w:tcBorders/>
            <w:shd w:fill="CCEEFF" w:val="clear"/>
            <w:vAlign w:val="center"/>
          </w:tcPr>
          <w:p>
            <w:pPr>
              <w:pStyle w:val="TableContents"/>
              <w:bidi w:val="0"/>
              <w:spacing w:before="0" w:after="0"/>
              <w:ind w:left="0" w:right="0" w:hanging="0"/>
              <w:jc w:val="left"/>
              <w:rPr/>
            </w:pPr>
            <w:r>
              <w:rPr/>
              <w:t>​</w:t>
            </w:r>
          </w:p>
        </w:tc>
        <w:tc>
          <w:tcPr>
            <w:tcW w:w="12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r>
      <w:tr>
        <w:trPr/>
        <w:tc>
          <w:tcPr>
            <w:tcW w:w="34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$18.47 </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w:t>
            </w:r>
          </w:p>
        </w:tc>
        <w:tc>
          <w:tcPr>
            <w:tcW w:w="32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w:t>
            </w:r>
          </w:p>
        </w:tc>
        <w:tc>
          <w:tcPr>
            <w:tcW w:w="326" w:type="dxa"/>
            <w:tcBorders/>
            <w:vAlign w:val="center"/>
          </w:tcPr>
          <w:p>
            <w:pPr>
              <w:pStyle w:val="TableContents"/>
              <w:bidi w:val="0"/>
              <w:spacing w:before="0" w:after="0"/>
              <w:ind w:left="0" w:right="0" w:hanging="0"/>
              <w:jc w:val="left"/>
              <w:rPr/>
            </w:pPr>
            <w:r>
              <w:rPr/>
              <w:t>​</w:t>
            </w:r>
          </w:p>
        </w:tc>
        <w:tc>
          <w:tcPr>
            <w:tcW w:w="7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w:t>
            </w:r>
          </w:p>
        </w:tc>
        <w:tc>
          <w:tcPr>
            <w:tcW w:w="413" w:type="dxa"/>
            <w:tcBorders/>
            <w:vAlign w:val="center"/>
          </w:tcPr>
          <w:p>
            <w:pPr>
              <w:pStyle w:val="TableContents"/>
              <w:bidi w:val="0"/>
              <w:spacing w:before="0" w:after="0"/>
              <w:ind w:left="0" w:right="0" w:hanging="0"/>
              <w:jc w:val="left"/>
              <w:rPr/>
            </w:pPr>
            <w:r>
              <w:rPr/>
              <w:t>​</w:t>
            </w:r>
          </w:p>
        </w:tc>
        <w:tc>
          <w:tcPr>
            <w:tcW w:w="12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w:t>
            </w:r>
          </w:p>
        </w:tc>
      </w:tr>
      <w:tr>
        <w:trPr/>
        <w:tc>
          <w:tcPr>
            <w:tcW w:w="34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$18.96 </w:t>
            </w:r>
          </w:p>
        </w:tc>
        <w:tc>
          <w:tcPr>
            <w:tcW w:w="32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c>
          <w:tcPr>
            <w:tcW w:w="32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c>
          <w:tcPr>
            <w:tcW w:w="326" w:type="dxa"/>
            <w:tcBorders/>
            <w:shd w:fill="CCEEFF" w:val="clear"/>
            <w:vAlign w:val="center"/>
          </w:tcPr>
          <w:p>
            <w:pPr>
              <w:pStyle w:val="TableContents"/>
              <w:bidi w:val="0"/>
              <w:spacing w:before="0" w:after="0"/>
              <w:ind w:left="0" w:right="0" w:hanging="0"/>
              <w:jc w:val="left"/>
              <w:rPr/>
            </w:pPr>
            <w:r>
              <w:rPr/>
              <w:t>​</w:t>
            </w:r>
          </w:p>
        </w:tc>
        <w:tc>
          <w:tcPr>
            <w:tcW w:w="7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c>
          <w:tcPr>
            <w:tcW w:w="413" w:type="dxa"/>
            <w:tcBorders/>
            <w:shd w:fill="CCEEFF" w:val="clear"/>
            <w:vAlign w:val="center"/>
          </w:tcPr>
          <w:p>
            <w:pPr>
              <w:pStyle w:val="TableContents"/>
              <w:bidi w:val="0"/>
              <w:spacing w:before="0" w:after="0"/>
              <w:ind w:left="0" w:right="0" w:hanging="0"/>
              <w:jc w:val="left"/>
              <w:rPr/>
            </w:pPr>
            <w:r>
              <w:rPr/>
              <w:t>​</w:t>
            </w:r>
          </w:p>
        </w:tc>
        <w:tc>
          <w:tcPr>
            <w:tcW w:w="12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r>
      <w:tr>
        <w:trPr/>
        <w:tc>
          <w:tcPr>
            <w:tcW w:w="34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$19.00 </w:t>
            </w:r>
          </w:p>
        </w:tc>
        <w:tc>
          <w:tcPr>
            <w:tcW w:w="32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c>
          <w:tcPr>
            <w:tcW w:w="32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w:t>
            </w:r>
          </w:p>
        </w:tc>
        <w:tc>
          <w:tcPr>
            <w:tcW w:w="326" w:type="dxa"/>
            <w:tcBorders/>
            <w:vAlign w:val="center"/>
          </w:tcPr>
          <w:p>
            <w:pPr>
              <w:pStyle w:val="TableContents"/>
              <w:bidi w:val="0"/>
              <w:spacing w:before="0" w:after="0"/>
              <w:ind w:left="0" w:right="0" w:hanging="0"/>
              <w:jc w:val="left"/>
              <w:rPr/>
            </w:pPr>
            <w:r>
              <w:rPr/>
              <w:t>​</w:t>
            </w:r>
          </w:p>
        </w:tc>
        <w:tc>
          <w:tcPr>
            <w:tcW w:w="7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413" w:type="dxa"/>
            <w:tcBorders/>
            <w:vAlign w:val="center"/>
          </w:tcPr>
          <w:p>
            <w:pPr>
              <w:pStyle w:val="TableContents"/>
              <w:bidi w:val="0"/>
              <w:spacing w:before="0" w:after="0"/>
              <w:ind w:left="0" w:right="0" w:hanging="0"/>
              <w:jc w:val="left"/>
              <w:rPr/>
            </w:pPr>
            <w:r>
              <w:rPr/>
              <w:t>​</w:t>
            </w:r>
          </w:p>
        </w:tc>
        <w:tc>
          <w:tcPr>
            <w:tcW w:w="12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w:t>
            </w:r>
          </w:p>
        </w:tc>
      </w:tr>
      <w:tr>
        <w:trPr/>
        <w:tc>
          <w:tcPr>
            <w:tcW w:w="34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$32.16 </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w:t>
            </w:r>
          </w:p>
        </w:tc>
        <w:tc>
          <w:tcPr>
            <w:tcW w:w="32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w:t>
            </w:r>
          </w:p>
        </w:tc>
        <w:tc>
          <w:tcPr>
            <w:tcW w:w="326" w:type="dxa"/>
            <w:tcBorders/>
            <w:shd w:fill="CCEEFF" w:val="clear"/>
            <w:vAlign w:val="center"/>
          </w:tcPr>
          <w:p>
            <w:pPr>
              <w:pStyle w:val="TableContents"/>
              <w:bidi w:val="0"/>
              <w:spacing w:before="0" w:after="0"/>
              <w:ind w:left="0" w:right="0" w:hanging="0"/>
              <w:jc w:val="left"/>
              <w:rPr/>
            </w:pPr>
            <w:r>
              <w:rPr/>
              <w:t>​</w:t>
            </w:r>
          </w:p>
        </w:tc>
        <w:tc>
          <w:tcPr>
            <w:tcW w:w="7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w:t>
            </w:r>
          </w:p>
        </w:tc>
        <w:tc>
          <w:tcPr>
            <w:tcW w:w="413" w:type="dxa"/>
            <w:tcBorders/>
            <w:shd w:fill="CCEEFF" w:val="clear"/>
            <w:vAlign w:val="center"/>
          </w:tcPr>
          <w:p>
            <w:pPr>
              <w:pStyle w:val="TableContents"/>
              <w:bidi w:val="0"/>
              <w:spacing w:before="0" w:after="0"/>
              <w:ind w:left="0" w:right="0" w:hanging="0"/>
              <w:jc w:val="left"/>
              <w:rPr/>
            </w:pPr>
            <w:r>
              <w:rPr/>
              <w:t>​</w:t>
            </w:r>
          </w:p>
        </w:tc>
        <w:tc>
          <w:tcPr>
            <w:tcW w:w="12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w:t>
            </w:r>
          </w:p>
        </w:tc>
      </w:tr>
      <w:tr>
        <w:trPr/>
        <w:tc>
          <w:tcPr>
            <w:tcW w:w="34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2,583</w:t>
            </w:r>
          </w:p>
        </w:tc>
        <w:tc>
          <w:tcPr>
            <w:tcW w:w="32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72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2,513</w:t>
            </w:r>
          </w:p>
        </w:tc>
        <w:tc>
          <w:tcPr>
            <w:tcW w:w="413" w:type="dxa"/>
            <w:tcBorders/>
            <w:vAlign w:val="center"/>
          </w:tcPr>
          <w:p>
            <w:pPr>
              <w:pStyle w:val="TableContents"/>
              <w:bidi w:val="0"/>
              <w:spacing w:before="0" w:after="0"/>
              <w:ind w:left="0" w:right="0" w:hanging="0"/>
              <w:jc w:val="left"/>
              <w:rPr/>
            </w:pPr>
            <w:r>
              <w:rPr/>
              <w:t>​</w:t>
            </w:r>
          </w:p>
        </w:tc>
        <w:tc>
          <w:tcPr>
            <w:tcW w:w="1294" w:type="dxa"/>
            <w:tcBorders/>
            <w:vAlign w:val="center"/>
          </w:tcPr>
          <w:p>
            <w:pPr>
              <w:pStyle w:val="TableContents"/>
              <w:bidi w:val="0"/>
              <w:spacing w:before="0" w:after="0"/>
              <w:ind w:left="0" w:right="0" w:hanging="0"/>
              <w:jc w:val="left"/>
              <w:rPr/>
            </w:pPr>
            <w:r>
              <w:rPr/>
              <w:t>​</w:t>
            </w:r>
          </w:p>
        </w:tc>
      </w:tr>
      <w:tr>
        <w:trPr/>
        <w:tc>
          <w:tcPr>
            <w:tcW w:w="346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*These options have indefinite contractual lives.</w:t>
            </w:r>
          </w:p>
        </w:tc>
        <w:tc>
          <w:tcPr>
            <w:tcW w:w="32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23" w:type="dxa"/>
            <w:tcBorders/>
            <w:vAlign w:val="center"/>
          </w:tcPr>
          <w:p>
            <w:pPr>
              <w:pStyle w:val="TableContents"/>
              <w:bidi w:val="0"/>
              <w:spacing w:before="0" w:after="0"/>
              <w:ind w:left="0" w:right="0" w:hanging="0"/>
              <w:jc w:val="left"/>
              <w:rPr/>
            </w:pPr>
            <w:r>
              <w:rPr/>
              <w:t>​</w:t>
            </w:r>
          </w:p>
        </w:tc>
        <w:tc>
          <w:tcPr>
            <w:tcW w:w="413" w:type="dxa"/>
            <w:tcBorders/>
            <w:vAlign w:val="center"/>
          </w:tcPr>
          <w:p>
            <w:pPr>
              <w:pStyle w:val="TableContents"/>
              <w:bidi w:val="0"/>
              <w:spacing w:before="0" w:after="0"/>
              <w:ind w:left="0" w:right="0" w:hanging="0"/>
              <w:jc w:val="left"/>
              <w:rPr/>
            </w:pPr>
            <w:r>
              <w:rPr/>
              <w:t>​</w:t>
            </w:r>
          </w:p>
        </w:tc>
        <w:tc>
          <w:tcPr>
            <w:tcW w:w="129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Board of Directors (the “Board”) intends all options granted to be exercisable at a price per share not less than the per share fair market value of the Company’s Class A common stock underlying the options on the date of grant. Compensation expense for option awards are measured based on the grant date fair value of the awards and recognized in the condensed consolidated statements of comprehensive income (loss) over the period during which the participant is required to perform the requisite services. The vesting period is generally </w:t>
      </w:r>
      <w:r>
        <w:rPr>
          <w:rFonts w:ascii="Times New Roman;Times;serif" w:hAnsi="Times New Roman;Times;serif"/>
          <w:b w:val="false"/>
          <w:i w:val="false"/>
          <w:caps w:val="false"/>
          <w:smallCaps w:val="false"/>
          <w:sz w:val="20"/>
        </w:rPr>
        <w:t>one</w:t>
      </w:r>
      <w:r>
        <w:rPr>
          <w:rFonts w:ascii="Times New Roman;Times;serif" w:hAnsi="Times New Roman;Times;serif"/>
          <w:sz w:val="20"/>
        </w:rPr>
        <w:t xml:space="preserve"> to four years. The grant date fair value of options is estimated using the Black-Scholes model.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646" w:type="dxa"/>
        <w:jc w:val="left"/>
        <w:tblInd w:w="0" w:type="dxa"/>
        <w:tblLayout w:type="fixed"/>
        <w:tblCellMar>
          <w:top w:w="0" w:type="dxa"/>
          <w:left w:w="0" w:type="dxa"/>
          <w:bottom w:w="0" w:type="dxa"/>
          <w:right w:w="0" w:type="dxa"/>
        </w:tblCellMar>
      </w:tblPr>
      <w:tblGrid>
        <w:gridCol w:w="6646"/>
      </w:tblGrid>
      <w:tr>
        <w:trPr/>
        <w:tc>
          <w:tcPr>
            <w:tcW w:w="6646" w:type="dxa"/>
            <w:tcBorders/>
            <w:vAlign w:val="center"/>
          </w:tcPr>
          <w:p>
            <w:pPr>
              <w:pStyle w:val="TableContents"/>
              <w:bidi w:val="0"/>
              <w:spacing w:before="0" w:after="283"/>
              <w:ind w:left="0" w:right="0" w:hanging="0"/>
              <w:jc w:val="left"/>
              <w:rPr>
                <w:sz w:val="4"/>
                <w:szCs w:val="4"/>
              </w:rPr>
            </w:pPr>
            <w:r>
              <w:rPr>
                <w:sz w:val="4"/>
                <w:szCs w:val="4"/>
              </w:rPr>
            </w:r>
          </w:p>
        </w:tc>
      </w:tr>
      <w:tr>
        <w:trPr/>
        <w:tc>
          <w:tcPr>
            <w:tcW w:w="66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Vertex, Inc. and Subsidiaries</w:t>
            </w:r>
          </w:p>
        </w:tc>
      </w:tr>
      <w:tr>
        <w:trPr/>
        <w:tc>
          <w:tcPr>
            <w:tcW w:w="66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Condensed Consolidated Financial Statements (unaudited) continued</w:t>
            </w:r>
          </w:p>
        </w:tc>
      </w:tr>
      <w:tr>
        <w:trPr/>
        <w:tc>
          <w:tcPr>
            <w:tcW w:w="66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(Amounts in thousands, except per share data) </w:t>
            </w:r>
          </w:p>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bookmarkStart w:id="1240" w:name="Tc_sO3X6Cj8eUKvsSvn0PUefA_7_4"/>
      <w:bookmarkStart w:id="1241" w:name="Tc__JIKnz37ikqeKxsUuCLVhg_7_0"/>
      <w:bookmarkStart w:id="1242" w:name="Tc_SEVJVBgxFU--Quu5894O0Q_6_4"/>
      <w:bookmarkStart w:id="1243" w:name="Tc_dGiY9nckekiblOlSdtku8g_6_0"/>
      <w:bookmarkStart w:id="1244" w:name="Tc_p24Bdm9OaUWYjXNd0z9YmA_5_4"/>
      <w:bookmarkStart w:id="1245" w:name="Tc_r4dWVfsQGUq5Dfv4VRE5QQ_5_2"/>
      <w:bookmarkStart w:id="1246" w:name="Tc_SuoL7WMAFk-71wTlfQdBRw_4_4"/>
      <w:bookmarkStart w:id="1247" w:name="Tc_P6njrS5W-k-zTBRisLk53g_3_4"/>
      <w:bookmarkStart w:id="1248" w:name="Tc_mbpvajraBkmi5otoHiDctQ_2_4"/>
      <w:bookmarkStart w:id="1249" w:name="Tc_fua3XNvVbkK_CFdciSmi5Q_10_4"/>
      <w:bookmarkStart w:id="1250" w:name="Tc_z2Vc1PHXU0CeBMyJzLBtuQ_10_0"/>
      <w:bookmarkStart w:id="1251" w:name="Tc_kQh0GrypEk6QI2VQd1xsOQ_9_0"/>
      <w:bookmarkStart w:id="1252" w:name="Tc_azeL5gHPmkiGYG333fOxsA_8_0"/>
      <w:bookmarkStart w:id="1253" w:name="Tc_5YbI5n68wka7df7TLx6bIw_7_0"/>
      <w:bookmarkStart w:id="1254" w:name="Tc_K-YaqSgXdEmsBiJs6pFHyg_6_4"/>
      <w:bookmarkStart w:id="1255" w:name="Tc_mHpRrjdUTUWNoJmQkduCQA_6_0"/>
      <w:bookmarkStart w:id="1256" w:name="Tc_aZ8Ok0X9h0uo7ugbKLqYGw_5_4"/>
      <w:bookmarkStart w:id="1257" w:name="Tc_WA72MMMfR0y-VvPNkesfEQ_5_2"/>
      <w:bookmarkStart w:id="1258" w:name="Tc_zl7HcFrRgUWmafGmo3ySDw_4_4"/>
      <w:bookmarkStart w:id="1259" w:name="Tc_-N1ibuzdK0usRi0ZwP21Jw_3_4"/>
      <w:bookmarkStart w:id="1260" w:name="Tc_WJSDV4QmcEankPdhOJbYkg_2_4"/>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r>
        <w:rPr>
          <w:rFonts w:ascii="Times New Roman;Times;serif" w:hAnsi="Times New Roman;Times;serif"/>
          <w:sz w:val="20"/>
        </w:rPr>
        <w:t>There were no options issued under the 2020 Plan during the three months ended March 31, 2025 or 2024.</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At March 31, 2025, $284 of unrecognized compensation expense associated with options is expected to be recognized over a weighted average period of approximately 0.7 years.</w:t>
      </w:r>
    </w:p>
    <w:p>
      <w:pPr>
        <w:pStyle w:val="TextBody"/>
        <w:bidi w:val="0"/>
        <w:spacing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i/>
          <w:sz w:val="20"/>
        </w:rPr>
      </w:pPr>
      <w:r>
        <w:rPr>
          <w:rFonts w:ascii="Times New Roman;Times;serif" w:hAnsi="Times New Roman;Times;serif"/>
          <w:i/>
          <w:sz w:val="20"/>
        </w:rPr>
        <w:t>Restricted Stock Units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 summarizes RSU activity for the three months ended March 31, 2025:</w:t>
      </w:r>
    </w:p>
    <w:p>
      <w:pPr>
        <w:pStyle w:val="TextBody"/>
        <w:bidi w:val="0"/>
        <w:spacing w:before="0" w:after="0"/>
        <w:ind w:left="0" w:right="0" w:hanging="0"/>
        <w:jc w:val="left"/>
        <w:rPr/>
      </w:pPr>
      <w:r>
        <w:rPr/>
        <w:t>​</w:t>
      </w:r>
    </w:p>
    <w:tbl>
      <w:tblPr>
        <w:tblW w:w="5350" w:type="dxa"/>
        <w:jc w:val="left"/>
        <w:tblInd w:w="0" w:type="dxa"/>
        <w:tblLayout w:type="fixed"/>
        <w:tblCellMar>
          <w:top w:w="0" w:type="dxa"/>
          <w:left w:w="0" w:type="dxa"/>
          <w:bottom w:w="0" w:type="dxa"/>
          <w:right w:w="0" w:type="dxa"/>
        </w:tblCellMar>
      </w:tblPr>
      <w:tblGrid>
        <w:gridCol w:w="2656"/>
        <w:gridCol w:w="326"/>
        <w:gridCol w:w="691"/>
        <w:gridCol w:w="326"/>
        <w:gridCol w:w="343"/>
        <w:gridCol w:w="1008"/>
      </w:tblGrid>
      <w:tr>
        <w:trPr/>
        <w:tc>
          <w:tcPr>
            <w:tcW w:w="26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1686560" cy="175260"/>
                      <wp:effectExtent l="0" t="0" r="0" b="0"/>
                      <wp:wrapNone/>
                      <wp:docPr id="265" name="Frame265"/>
                      <a:graphic xmlns:a="http://schemas.openxmlformats.org/drawingml/2006/main">
                        <a:graphicData uri="http://schemas.microsoft.com/office/word/2010/wordprocessingShape">
                          <wps:wsp>
                            <wps:cNvSpPr txBox="1"/>
                            <wps:spPr>
                              <a:xfrm>
                                <a:off x="0" y="0"/>
                                <a:ext cx="1686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207010" cy="175260"/>
                      <wp:effectExtent l="0" t="0" r="0" b="0"/>
                      <wp:wrapNone/>
                      <wp:docPr id="266" name="Frame2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438785" cy="175260"/>
                      <wp:effectExtent l="0" t="0" r="0" b="0"/>
                      <wp:wrapNone/>
                      <wp:docPr id="267" name="Frame26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207010" cy="175260"/>
                      <wp:effectExtent l="0" t="0" r="0" b="0"/>
                      <wp:wrapNone/>
                      <wp:docPr id="268" name="Frame2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217805" cy="175260"/>
                      <wp:effectExtent l="0" t="0" r="0" b="0"/>
                      <wp:wrapNone/>
                      <wp:docPr id="269" name="Frame269"/>
                      <a:graphic xmlns:a="http://schemas.openxmlformats.org/drawingml/2006/main">
                        <a:graphicData uri="http://schemas.microsoft.com/office/word/2010/wordprocessingShape">
                          <wps:wsp>
                            <wps:cNvSpPr txBox="1"/>
                            <wps:spPr>
                              <a:xfrm>
                                <a:off x="0" y="0"/>
                                <a:ext cx="2178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640080" cy="175260"/>
                      <wp:effectExtent l="0" t="0" r="0" b="0"/>
                      <wp:wrapNone/>
                      <wp:docPr id="270" name="Frame270"/>
                      <a:graphic xmlns:a="http://schemas.openxmlformats.org/drawingml/2006/main">
                        <a:graphicData uri="http://schemas.microsoft.com/office/word/2010/wordprocessingShape">
                          <wps:wsp>
                            <wps:cNvSpPr txBox="1"/>
                            <wps:spPr>
                              <a:xfrm>
                                <a:off x="0" y="0"/>
                                <a:ext cx="6400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center"/>
              <w:rPr/>
            </w:pPr>
            <w:r>
              <w:rPr/>
              <w:t>    </w:t>
            </w:r>
          </w:p>
        </w:tc>
        <w:tc>
          <w:tcPr>
            <w:tcW w:w="326" w:type="dxa"/>
            <w:tcBorders/>
            <w:vAlign w:val="center"/>
          </w:tcPr>
          <w:p>
            <w:pPr>
              <w:pStyle w:val="TableContents"/>
              <w:bidi w:val="0"/>
              <w:spacing w:before="0" w:after="0"/>
              <w:ind w:left="0" w:right="0" w:hanging="0"/>
              <w:jc w:val="left"/>
              <w:rPr/>
            </w:pPr>
            <w:r>
              <w:rPr/>
              <w:t>    </w:t>
            </w:r>
          </w:p>
        </w:tc>
        <w:tc>
          <w:tcPr>
            <w:tcW w:w="343" w:type="dxa"/>
            <w:tcBorders/>
            <w:vAlign w:val="center"/>
          </w:tcPr>
          <w:p>
            <w:pPr>
              <w:pStyle w:val="TableContents"/>
              <w:bidi w:val="0"/>
              <w:spacing w:before="0" w:after="0"/>
              <w:ind w:left="0" w:right="0" w:hanging="0"/>
              <w:jc w:val="center"/>
              <w:rPr/>
            </w:pPr>
            <w:r>
              <w:rPr/>
              <w:t>​</w:t>
            </w:r>
          </w:p>
        </w:tc>
        <w:tc>
          <w:tcPr>
            <w:tcW w:w="1008" w:type="dxa"/>
            <w:tcBorders/>
            <w:vAlign w:val="center"/>
          </w:tcPr>
          <w:p>
            <w:pPr>
              <w:pStyle w:val="TableContents"/>
              <w:bidi w:val="0"/>
              <w:spacing w:before="0" w:after="0"/>
              <w:ind w:left="0" w:right="0" w:hanging="0"/>
              <w:jc w:val="center"/>
              <w:rPr/>
            </w:pPr>
            <w:r>
              <w:rPr/>
              <w:t>​</w:t>
            </w:r>
          </w:p>
        </w:tc>
      </w:tr>
      <w:tr>
        <w:trPr/>
        <w:tc>
          <w:tcPr>
            <w:tcW w:w="26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26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r>
      <w:tr>
        <w:trPr/>
        <w:tc>
          <w:tcPr>
            <w:tcW w:w="26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Grant Date Fair</w:t>
            </w:r>
          </w:p>
        </w:tc>
      </w:tr>
      <w:tr>
        <w:trPr/>
        <w:tc>
          <w:tcPr>
            <w:tcW w:w="26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Units</w:t>
            </w:r>
          </w:p>
        </w:tc>
        <w:tc>
          <w:tcPr>
            <w:tcW w:w="326" w:type="dxa"/>
            <w:tcBorders/>
            <w:vAlign w:val="center"/>
          </w:tcPr>
          <w:p>
            <w:pPr>
              <w:pStyle w:val="TableContents"/>
              <w:bidi w:val="0"/>
              <w:spacing w:before="0" w:after="0"/>
              <w:ind w:left="0" w:right="0" w:hanging="0"/>
              <w:jc w:val="left"/>
              <w:rPr/>
            </w:pPr>
            <w:r>
              <w:rPr/>
              <w:t>​</w:t>
            </w:r>
          </w:p>
        </w:tc>
        <w:tc>
          <w:tcPr>
            <w:tcW w:w="13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 Per Share</w:t>
            </w:r>
          </w:p>
        </w:tc>
      </w:tr>
      <w:tr>
        <w:trPr/>
        <w:tc>
          <w:tcPr>
            <w:tcW w:w="26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at January 1, 2025</w:t>
            </w:r>
          </w:p>
        </w:tc>
        <w:tc>
          <w:tcPr>
            <w:tcW w:w="32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4,534</w:t>
            </w:r>
          </w:p>
        </w:tc>
        <w:tc>
          <w:tcPr>
            <w:tcW w:w="326" w:type="dxa"/>
            <w:tcBorders/>
            <w:shd w:fill="CCEEFF" w:val="clear"/>
            <w:vAlign w:val="center"/>
          </w:tcPr>
          <w:p>
            <w:pPr>
              <w:pStyle w:val="TableContents"/>
              <w:bidi w:val="0"/>
              <w:spacing w:before="0" w:after="0"/>
              <w:ind w:left="0" w:right="0" w:hanging="0"/>
              <w:jc w:val="left"/>
              <w:rPr/>
            </w:pPr>
            <w:r>
              <w:rPr/>
              <w:t>​</w:t>
            </w:r>
          </w:p>
        </w:tc>
        <w:tc>
          <w:tcPr>
            <w:tcW w:w="34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19.96</w:t>
            </w:r>
          </w:p>
        </w:tc>
      </w:tr>
      <w:tr>
        <w:trPr/>
        <w:tc>
          <w:tcPr>
            <w:tcW w:w="265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Granted </w:t>
            </w:r>
          </w:p>
        </w:tc>
        <w:tc>
          <w:tcPr>
            <w:tcW w:w="3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1,119</w:t>
            </w:r>
          </w:p>
        </w:tc>
        <w:tc>
          <w:tcPr>
            <w:tcW w:w="326" w:type="dxa"/>
            <w:tcBorders/>
            <w:vAlign w:val="center"/>
          </w:tcPr>
          <w:p>
            <w:pPr>
              <w:pStyle w:val="TableContents"/>
              <w:bidi w:val="0"/>
              <w:spacing w:before="0" w:after="0"/>
              <w:ind w:left="0" w:right="0" w:hanging="0"/>
              <w:jc w:val="left"/>
              <w:rPr/>
            </w:pPr>
            <w:r>
              <w:rPr/>
              <w:t>​</w:t>
            </w:r>
          </w:p>
        </w:tc>
        <w:tc>
          <w:tcPr>
            <w:tcW w:w="343" w:type="dxa"/>
            <w:tcBorders/>
            <w:vAlign w:val="center"/>
          </w:tcPr>
          <w:p>
            <w:pPr>
              <w:pStyle w:val="TableContents"/>
              <w:bidi w:val="0"/>
              <w:spacing w:before="0" w:after="0"/>
              <w:ind w:left="0" w:right="0" w:hanging="0"/>
              <w:jc w:val="center"/>
              <w:rPr/>
            </w:pPr>
            <w:r>
              <w:rPr/>
              <w:t>​</w:t>
            </w:r>
          </w:p>
        </w:tc>
        <w:tc>
          <w:tcPr>
            <w:tcW w:w="100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45.43</w:t>
            </w:r>
          </w:p>
        </w:tc>
      </w:tr>
      <w:tr>
        <w:trPr/>
        <w:tc>
          <w:tcPr>
            <w:tcW w:w="26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w:t>
            </w:r>
          </w:p>
        </w:tc>
        <w:tc>
          <w:tcPr>
            <w:tcW w:w="32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(1,408)</w:t>
            </w:r>
          </w:p>
        </w:tc>
        <w:tc>
          <w:tcPr>
            <w:tcW w:w="326" w:type="dxa"/>
            <w:tcBorders/>
            <w:shd w:fill="CCEEFF" w:val="clear"/>
            <w:vAlign w:val="center"/>
          </w:tcPr>
          <w:p>
            <w:pPr>
              <w:pStyle w:val="TableContents"/>
              <w:bidi w:val="0"/>
              <w:spacing w:before="0" w:after="0"/>
              <w:ind w:left="0" w:right="0" w:hanging="0"/>
              <w:jc w:val="left"/>
              <w:rPr/>
            </w:pPr>
            <w:r>
              <w:rPr/>
              <w:t>​</w:t>
            </w:r>
          </w:p>
        </w:tc>
        <w:tc>
          <w:tcPr>
            <w:tcW w:w="343" w:type="dxa"/>
            <w:tcBorders/>
            <w:shd w:fill="CCEEFF" w:val="clear"/>
            <w:vAlign w:val="center"/>
          </w:tcPr>
          <w:p>
            <w:pPr>
              <w:pStyle w:val="TableContents"/>
              <w:bidi w:val="0"/>
              <w:spacing w:before="0" w:after="0"/>
              <w:ind w:left="0" w:right="0" w:hanging="0"/>
              <w:jc w:val="center"/>
              <w:rPr/>
            </w:pPr>
            <w:r>
              <w:rPr/>
              <w:t>​</w:t>
            </w:r>
          </w:p>
        </w:tc>
        <w:tc>
          <w:tcPr>
            <w:tcW w:w="10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18.68</w:t>
            </w:r>
          </w:p>
        </w:tc>
      </w:tr>
      <w:tr>
        <w:trPr/>
        <w:tc>
          <w:tcPr>
            <w:tcW w:w="26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26" w:type="dxa"/>
            <w:tcBorders/>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26" w:type="dxa"/>
            <w:tcBorders/>
            <w:vAlign w:val="center"/>
          </w:tcPr>
          <w:p>
            <w:pPr>
              <w:pStyle w:val="TableContents"/>
              <w:bidi w:val="0"/>
              <w:spacing w:before="0" w:after="0"/>
              <w:ind w:left="0" w:right="0" w:hanging="0"/>
              <w:jc w:val="left"/>
              <w:rPr/>
            </w:pPr>
            <w:r>
              <w:rPr/>
              <w:t>​</w:t>
            </w:r>
          </w:p>
        </w:tc>
        <w:tc>
          <w:tcPr>
            <w:tcW w:w="343" w:type="dxa"/>
            <w:tcBorders/>
            <w:vAlign w:val="center"/>
          </w:tcPr>
          <w:p>
            <w:pPr>
              <w:pStyle w:val="TableContents"/>
              <w:bidi w:val="0"/>
              <w:spacing w:before="0" w:after="0"/>
              <w:ind w:left="0" w:right="0" w:hanging="0"/>
              <w:jc w:val="center"/>
              <w:rPr/>
            </w:pPr>
            <w:r>
              <w:rPr/>
              <w:t>​</w:t>
            </w:r>
          </w:p>
        </w:tc>
        <w:tc>
          <w:tcPr>
            <w:tcW w:w="100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32.26</w:t>
            </w:r>
          </w:p>
        </w:tc>
      </w:tr>
      <w:tr>
        <w:trPr/>
        <w:tc>
          <w:tcPr>
            <w:tcW w:w="26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at March 31, 2025</w:t>
            </w:r>
          </w:p>
        </w:tc>
        <w:tc>
          <w:tcPr>
            <w:tcW w:w="326" w:type="dxa"/>
            <w:tcBorders/>
            <w:shd w:fill="CCEEFF" w:val="clear"/>
            <w:vAlign w:val="center"/>
          </w:tcPr>
          <w:p>
            <w:pPr>
              <w:pStyle w:val="TableContents"/>
              <w:bidi w:val="0"/>
              <w:spacing w:before="0" w:after="0"/>
              <w:ind w:left="0" w:right="0" w:hanging="0"/>
              <w:jc w:val="left"/>
              <w:rPr/>
            </w:pPr>
            <w:r>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4,232</w:t>
            </w:r>
          </w:p>
        </w:tc>
        <w:tc>
          <w:tcPr>
            <w:tcW w:w="326" w:type="dxa"/>
            <w:tcBorders/>
            <w:shd w:fill="CCEEFF" w:val="clear"/>
            <w:vAlign w:val="center"/>
          </w:tcPr>
          <w:p>
            <w:pPr>
              <w:pStyle w:val="TableContents"/>
              <w:bidi w:val="0"/>
              <w:spacing w:before="0" w:after="0"/>
              <w:ind w:left="0" w:right="0" w:hanging="0"/>
              <w:jc w:val="left"/>
              <w:rPr/>
            </w:pPr>
            <w:r>
              <w:rPr/>
              <w:t>​</w:t>
            </w:r>
          </w:p>
        </w:tc>
        <w:tc>
          <w:tcPr>
            <w:tcW w:w="34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27.08</w:t>
            </w:r>
          </w:p>
        </w:tc>
      </w:tr>
      <w:tr>
        <w:trPr/>
        <w:tc>
          <w:tcPr>
            <w:tcW w:w="265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343" w:type="dxa"/>
            <w:tcBorders/>
            <w:vAlign w:val="center"/>
          </w:tcPr>
          <w:p>
            <w:pPr>
              <w:pStyle w:val="TableContents"/>
              <w:bidi w:val="0"/>
              <w:spacing w:before="0" w:after="0"/>
              <w:ind w:left="0" w:right="0" w:hanging="0"/>
              <w:jc w:val="center"/>
              <w:rPr/>
            </w:pPr>
            <w:r>
              <w:rPr/>
              <w:t>​</w:t>
            </w:r>
          </w:p>
        </w:tc>
        <w:tc>
          <w:tcPr>
            <w:tcW w:w="1008" w:type="dxa"/>
            <w:tcBorders/>
            <w:vAlign w:val="center"/>
          </w:tcPr>
          <w:p>
            <w:pPr>
              <w:pStyle w:val="TableContents"/>
              <w:bidi w:val="0"/>
              <w:spacing w:before="0" w:after="0"/>
              <w:ind w:left="0" w:right="0" w:hanging="0"/>
              <w:jc w:val="center"/>
              <w:rPr/>
            </w:pPr>
            <w:r>
              <w:rPr/>
              <w:t>​</w:t>
            </w:r>
          </w:p>
        </w:tc>
      </w:tr>
      <w:tr>
        <w:trPr/>
        <w:tc>
          <w:tcPr>
            <w:tcW w:w="26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343" w:type="dxa"/>
            <w:tcBorders/>
            <w:vAlign w:val="center"/>
          </w:tcPr>
          <w:p>
            <w:pPr>
              <w:pStyle w:val="TableContents"/>
              <w:bidi w:val="0"/>
              <w:spacing w:before="0" w:after="0"/>
              <w:ind w:left="0" w:right="0" w:hanging="0"/>
              <w:jc w:val="center"/>
              <w:rPr/>
            </w:pPr>
            <w:r>
              <w:rPr/>
              <w:t>​</w:t>
            </w:r>
          </w:p>
        </w:tc>
        <w:tc>
          <w:tcPr>
            <w:tcW w:w="1008" w:type="dxa"/>
            <w:tcBorders/>
            <w:vAlign w:val="center"/>
          </w:tcPr>
          <w:p>
            <w:pPr>
              <w:pStyle w:val="TableContents"/>
              <w:bidi w:val="0"/>
              <w:spacing w:before="0" w:after="0"/>
              <w:ind w:left="0" w:right="0" w:hanging="0"/>
              <w:jc w:val="center"/>
              <w:rPr/>
            </w:pPr>
            <w:r>
              <w:rPr/>
              <w:t>​</w:t>
            </w:r>
          </w:p>
        </w:tc>
      </w:tr>
    </w:tbl>
    <w:p>
      <w:pPr>
        <w:pStyle w:val="TextBody"/>
        <w:bidi w:val="0"/>
        <w:spacing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Stock-based compensation cost for RSUs is measured based on the fair value of the Company’s underlying common stock on the date of grant and is recognized on a straight-line basis in the condensed consolidated statements of comprehensive</w:t>
      </w:r>
      <w:r>
        <w:rPr>
          <w:rFonts w:ascii="Times New Roman;Times;serif" w:hAnsi="Times New Roman;Times;serif"/>
          <w:color w:val="FF0000"/>
          <w:sz w:val="20"/>
        </w:rPr>
        <w:t xml:space="preserve"> </w:t>
      </w:r>
      <w:r>
        <w:rPr>
          <w:rFonts w:ascii="Times New Roman;Times;serif" w:hAnsi="Times New Roman;Times;serif"/>
          <w:sz w:val="20"/>
        </w:rPr>
        <w:t xml:space="preserve">income (loss) over the period during which the participant is required to perform services in exchange for the award, which is generally </w:t>
      </w:r>
      <w:r>
        <w:rPr>
          <w:rFonts w:ascii="Times New Roman;Times;serif" w:hAnsi="Times New Roman;Times;serif"/>
          <w:b w:val="false"/>
          <w:i w:val="false"/>
          <w:caps w:val="false"/>
          <w:smallCaps w:val="false"/>
          <w:sz w:val="20"/>
        </w:rPr>
        <w:t>one</w:t>
      </w:r>
      <w:r>
        <w:rPr>
          <w:rFonts w:ascii="Times New Roman;Times;serif" w:hAnsi="Times New Roman;Times;serif"/>
          <w:sz w:val="20"/>
        </w:rPr>
        <w:t xml:space="preserve"> to four years. Vested RSUs are settled by issuing Class A shares or the equivalent value in cash at the Board’s discretion. At March 31, 2025, $87,607 of unrecognized compensation expense for RSUs is expected to be recognized over a weighted average period of approximately 2.8 years.</w:t>
      </w:r>
    </w:p>
    <w:p>
      <w:pPr>
        <w:pStyle w:val="TextBody"/>
        <w:bidi w:val="0"/>
        <w:spacing w:before="0" w:after="240"/>
        <w:ind w:left="0" w:right="0" w:firstLine="360"/>
        <w:jc w:val="both"/>
        <w:rPr>
          <w:rFonts w:ascii="Times New Roman;Times;serif" w:hAnsi="Times New Roman;Times;serif"/>
          <w:i/>
          <w:sz w:val="20"/>
        </w:rPr>
      </w:pPr>
      <w:r>
        <w:rPr>
          <w:rFonts w:ascii="Times New Roman;Times;serif" w:hAnsi="Times New Roman;Times;serif"/>
          <w:i/>
          <w:sz w:val="20"/>
        </w:rPr>
        <w:t>Restricted Stock Awards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following table summarizes RSA activity for the three months ended March 31, 2025: </w:t>
      </w:r>
    </w:p>
    <w:p>
      <w:pPr>
        <w:pStyle w:val="TextBody"/>
        <w:bidi w:val="0"/>
        <w:spacing w:before="0" w:after="0"/>
        <w:ind w:left="0" w:right="0" w:hanging="0"/>
        <w:jc w:val="left"/>
        <w:rPr/>
      </w:pPr>
      <w:r>
        <w:rPr/>
        <w:t>​</w:t>
      </w:r>
    </w:p>
    <w:tbl>
      <w:tblPr>
        <w:tblW w:w="4923" w:type="dxa"/>
        <w:jc w:val="left"/>
        <w:tblInd w:w="0" w:type="dxa"/>
        <w:tblLayout w:type="fixed"/>
        <w:tblCellMar>
          <w:top w:w="0" w:type="dxa"/>
          <w:left w:w="0" w:type="dxa"/>
          <w:bottom w:w="0" w:type="dxa"/>
          <w:right w:w="0" w:type="dxa"/>
        </w:tblCellMar>
      </w:tblPr>
      <w:tblGrid>
        <w:gridCol w:w="2656"/>
        <w:gridCol w:w="326"/>
        <w:gridCol w:w="481"/>
        <w:gridCol w:w="109"/>
        <w:gridCol w:w="317"/>
        <w:gridCol w:w="1034"/>
      </w:tblGrid>
      <w:tr>
        <w:trPr/>
        <w:tc>
          <w:tcPr>
            <w:tcW w:w="26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1686560" cy="175260"/>
                      <wp:effectExtent l="0" t="0" r="0" b="0"/>
                      <wp:wrapNone/>
                      <wp:docPr id="271" name="Frame271"/>
                      <a:graphic xmlns:a="http://schemas.openxmlformats.org/drawingml/2006/main">
                        <a:graphicData uri="http://schemas.microsoft.com/office/word/2010/wordprocessingShape">
                          <wps:wsp>
                            <wps:cNvSpPr txBox="1"/>
                            <wps:spPr>
                              <a:xfrm>
                                <a:off x="0" y="0"/>
                                <a:ext cx="1686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207010" cy="175260"/>
                      <wp:effectExtent l="0" t="0" r="0" b="0"/>
                      <wp:wrapNone/>
                      <wp:docPr id="272" name="Frame2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305435" cy="175260"/>
                      <wp:effectExtent l="0" t="0" r="0" b="0"/>
                      <wp:wrapNone/>
                      <wp:docPr id="273" name="Frame273"/>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69215" cy="175260"/>
                      <wp:effectExtent l="0" t="0" r="0" b="0"/>
                      <wp:wrapNone/>
                      <wp:docPr id="274" name="Frame27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201295" cy="175260"/>
                      <wp:effectExtent l="0" t="0" r="0" b="0"/>
                      <wp:wrapNone/>
                      <wp:docPr id="275" name="Frame275"/>
                      <a:graphic xmlns:a="http://schemas.openxmlformats.org/drawingml/2006/main">
                        <a:graphicData uri="http://schemas.microsoft.com/office/word/2010/wordprocessingShape">
                          <wps:wsp>
                            <wps:cNvSpPr txBox="1"/>
                            <wps:spPr>
                              <a:xfrm>
                                <a:off x="0" y="0"/>
                                <a:ext cx="201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656590" cy="175260"/>
                      <wp:effectExtent l="0" t="0" r="0" b="0"/>
                      <wp:wrapNone/>
                      <wp:docPr id="276" name="Frame276"/>
                      <a:graphic xmlns:a="http://schemas.openxmlformats.org/drawingml/2006/main">
                        <a:graphicData uri="http://schemas.microsoft.com/office/word/2010/wordprocessingShape">
                          <wps:wsp>
                            <wps:cNvSpPr txBox="1"/>
                            <wps:spPr>
                              <a:xfrm>
                                <a:off x="0" y="0"/>
                                <a:ext cx="656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center"/>
              <w:rPr/>
            </w:pPr>
            <w:r>
              <w:rPr/>
              <w:t>​</w:t>
            </w:r>
          </w:p>
        </w:tc>
        <w:tc>
          <w:tcPr>
            <w:tcW w:w="1034" w:type="dxa"/>
            <w:tcBorders/>
            <w:vAlign w:val="center"/>
          </w:tcPr>
          <w:p>
            <w:pPr>
              <w:pStyle w:val="TableContents"/>
              <w:bidi w:val="0"/>
              <w:spacing w:before="0" w:after="0"/>
              <w:ind w:left="0" w:right="0" w:hanging="0"/>
              <w:jc w:val="center"/>
              <w:rPr/>
            </w:pPr>
            <w:r>
              <w:rPr/>
              <w:t>​</w:t>
            </w:r>
          </w:p>
        </w:tc>
      </w:tr>
      <w:tr>
        <w:trPr/>
        <w:tc>
          <w:tcPr>
            <w:tcW w:w="26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3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26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3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r>
      <w:tr>
        <w:trPr/>
        <w:tc>
          <w:tcPr>
            <w:tcW w:w="26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3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Grant Date Fair</w:t>
            </w:r>
          </w:p>
        </w:tc>
      </w:tr>
      <w:tr>
        <w:trPr/>
        <w:tc>
          <w:tcPr>
            <w:tcW w:w="26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Units</w:t>
            </w:r>
          </w:p>
        </w:tc>
        <w:tc>
          <w:tcPr>
            <w:tcW w:w="109" w:type="dxa"/>
            <w:tcBorders/>
            <w:vAlign w:val="center"/>
          </w:tcPr>
          <w:p>
            <w:pPr>
              <w:pStyle w:val="TableContents"/>
              <w:bidi w:val="0"/>
              <w:spacing w:before="0" w:after="0"/>
              <w:ind w:left="0" w:right="0" w:hanging="0"/>
              <w:jc w:val="left"/>
              <w:rPr/>
            </w:pPr>
            <w:r>
              <w:rPr/>
              <w:t>​</w:t>
            </w:r>
          </w:p>
        </w:tc>
        <w:tc>
          <w:tcPr>
            <w:tcW w:w="13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 Per Share</w:t>
            </w:r>
          </w:p>
        </w:tc>
      </w:tr>
      <w:tr>
        <w:trPr/>
        <w:tc>
          <w:tcPr>
            <w:tcW w:w="26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at January 1, 2025</w:t>
            </w:r>
          </w:p>
        </w:tc>
        <w:tc>
          <w:tcPr>
            <w:tcW w:w="326" w:type="dxa"/>
            <w:tcBorders/>
            <w:shd w:fill="CCEEFF" w:val="clear"/>
            <w:vAlign w:val="center"/>
          </w:tcPr>
          <w:p>
            <w:pPr>
              <w:pStyle w:val="TableContents"/>
              <w:bidi w:val="0"/>
              <w:spacing w:before="0" w:after="0"/>
              <w:ind w:left="0" w:right="0" w:hanging="0"/>
              <w:jc w:val="left"/>
              <w:rPr/>
            </w:pPr>
            <w:r>
              <w:rPr/>
              <w:t>​</w:t>
            </w:r>
          </w:p>
        </w:tc>
        <w:tc>
          <w:tcPr>
            <w:tcW w:w="4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109"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35.06</w:t>
            </w:r>
          </w:p>
        </w:tc>
      </w:tr>
      <w:tr>
        <w:trPr/>
        <w:tc>
          <w:tcPr>
            <w:tcW w:w="26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at March 31, 2025</w:t>
            </w:r>
          </w:p>
        </w:tc>
        <w:tc>
          <w:tcPr>
            <w:tcW w:w="326" w:type="dxa"/>
            <w:tcBorders/>
            <w:vAlign w:val="center"/>
          </w:tcPr>
          <w:p>
            <w:pPr>
              <w:pStyle w:val="TableContents"/>
              <w:bidi w:val="0"/>
              <w:spacing w:before="0" w:after="0"/>
              <w:ind w:left="0" w:right="0" w:hanging="0"/>
              <w:jc w:val="left"/>
              <w:rPr/>
            </w:pPr>
            <w:r>
              <w:rPr/>
              <w:t> </w:t>
            </w:r>
          </w:p>
        </w:tc>
        <w:tc>
          <w:tcPr>
            <w:tcW w:w="4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109"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4" w:type="dxa"/>
            <w:tcBorders/>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35.06</w:t>
            </w:r>
          </w:p>
        </w:tc>
      </w:tr>
    </w:tbl>
    <w:p>
      <w:pPr>
        <w:pStyle w:val="TextBody"/>
        <w:bidi w:val="0"/>
        <w:spacing w:before="0" w:after="24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Stock-based compensation cost for RSAs is measured based on the fair value of the Company’s underlying common stock on the date of grant and is recognized on a straight-line basis in the condensed consolidated statements of comprehensive</w:t>
      </w:r>
      <w:r>
        <w:rPr>
          <w:rFonts w:ascii="Times New Roman;Times;serif" w:hAnsi="Times New Roman;Times;serif"/>
          <w:color w:val="FF0000"/>
          <w:sz w:val="20"/>
        </w:rPr>
        <w:t xml:space="preserve"> </w:t>
      </w:r>
      <w:r>
        <w:rPr>
          <w:rFonts w:ascii="Times New Roman;Times;serif" w:hAnsi="Times New Roman;Times;serif"/>
          <w:sz w:val="20"/>
        </w:rPr>
        <w:t xml:space="preserve">income (loss) over the period during which the participant is required to perform services in exchange for the award, which is generally </w:t>
      </w:r>
      <w:r>
        <w:rPr>
          <w:rFonts w:ascii="Times New Roman;Times;serif" w:hAnsi="Times New Roman;Times;serif"/>
          <w:b w:val="false"/>
          <w:i w:val="false"/>
          <w:caps w:val="false"/>
          <w:smallCaps w:val="false"/>
          <w:sz w:val="20"/>
        </w:rPr>
        <w:t>one</w:t>
      </w:r>
      <w:r>
        <w:rPr>
          <w:rFonts w:ascii="Times New Roman;Times;serif" w:hAnsi="Times New Roman;Times;serif"/>
          <w:sz w:val="20"/>
        </w:rPr>
        <w:t xml:space="preserve"> to four years. At March 31, 2025, $235 of unrecognized compensation expense for RSAs is expected to be recognized over a weighted average period of approximately 0.3 years.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646" w:type="dxa"/>
        <w:jc w:val="left"/>
        <w:tblInd w:w="0" w:type="dxa"/>
        <w:tblLayout w:type="fixed"/>
        <w:tblCellMar>
          <w:top w:w="0" w:type="dxa"/>
          <w:left w:w="0" w:type="dxa"/>
          <w:bottom w:w="0" w:type="dxa"/>
          <w:right w:w="0" w:type="dxa"/>
        </w:tblCellMar>
      </w:tblPr>
      <w:tblGrid>
        <w:gridCol w:w="6646"/>
      </w:tblGrid>
      <w:tr>
        <w:trPr/>
        <w:tc>
          <w:tcPr>
            <w:tcW w:w="6646" w:type="dxa"/>
            <w:tcBorders/>
            <w:vAlign w:val="center"/>
          </w:tcPr>
          <w:p>
            <w:pPr>
              <w:pStyle w:val="TableContents"/>
              <w:bidi w:val="0"/>
              <w:spacing w:before="0" w:after="283"/>
              <w:ind w:left="0" w:right="0" w:hanging="0"/>
              <w:jc w:val="left"/>
              <w:rPr>
                <w:sz w:val="4"/>
                <w:szCs w:val="4"/>
              </w:rPr>
            </w:pPr>
            <w:r>
              <w:rPr>
                <w:sz w:val="4"/>
                <w:szCs w:val="4"/>
              </w:rPr>
            </w:r>
          </w:p>
        </w:tc>
      </w:tr>
      <w:tr>
        <w:trPr/>
        <w:tc>
          <w:tcPr>
            <w:tcW w:w="66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Vertex, Inc. and Subsidiaries</w:t>
            </w:r>
          </w:p>
        </w:tc>
      </w:tr>
      <w:tr>
        <w:trPr/>
        <w:tc>
          <w:tcPr>
            <w:tcW w:w="66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Condensed Consolidated Financial Statements (unaudited) continued</w:t>
            </w:r>
          </w:p>
        </w:tc>
      </w:tr>
      <w:tr>
        <w:trPr/>
        <w:tc>
          <w:tcPr>
            <w:tcW w:w="66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(Amounts in thousands, except per share data) </w:t>
            </w:r>
          </w:p>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i/>
          <w:sz w:val="20"/>
        </w:rPr>
      </w:pPr>
      <w:bookmarkStart w:id="1261" w:name="Tc_rj81Cypow0mYuUi2WoLLsQ_6_4"/>
      <w:bookmarkStart w:id="1262" w:name="Tc_M9HZznYF3kecSEZv2sop3Q_6_0"/>
      <w:bookmarkStart w:id="1263" w:name="Tc_WX6F8NCuc0m5pRyoBgkffw_5_0"/>
      <w:bookmarkStart w:id="1264" w:name="Tc_Jv-aC-TUYUqWDUo-UkvsEw_4_4"/>
      <w:bookmarkStart w:id="1265" w:name="Tc_QR9DgKXVXUC5ydHPqTES_g_4_0"/>
      <w:bookmarkStart w:id="1266" w:name="Tc_GN4Uk64G5EOR5IZizzlMnA_3_4"/>
      <w:bookmarkStart w:id="1267" w:name="Tc_7EMkVPWJrEiCtw0LvTmPcw_3_2"/>
      <w:bookmarkStart w:id="1268" w:name="Tc_p3qwJjzp9kCf6SncpOB5Vg_2_4"/>
      <w:bookmarkStart w:id="1269" w:name="Tc_-R6sgZq4GE62yUeZy2SXig_1_4"/>
      <w:bookmarkEnd w:id="1261"/>
      <w:bookmarkEnd w:id="1262"/>
      <w:bookmarkEnd w:id="1263"/>
      <w:bookmarkEnd w:id="1264"/>
      <w:bookmarkEnd w:id="1265"/>
      <w:bookmarkEnd w:id="1266"/>
      <w:bookmarkEnd w:id="1267"/>
      <w:bookmarkEnd w:id="1268"/>
      <w:bookmarkEnd w:id="1269"/>
      <w:r>
        <w:rPr>
          <w:rFonts w:ascii="Times New Roman;Times;serif" w:hAnsi="Times New Roman;Times;serif"/>
          <w:i/>
          <w:sz w:val="20"/>
        </w:rPr>
        <w:t>Performance Stock Units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In connection with the 2024 ecosio acquisition, current and newly hired employees of ecosio have or may receive RSUs that vest upon continuing service and performance conditions (“Performance Stock Units” or “PSUs”). These performance conditions are based upon ecosio’s monthly software revenues meeting specified annual targets over a three-year period. The annual targets are based on a range of performance targets in which grantees may earn a prorated portion of the base number of awards granted up to 100%.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stock-compensation expense associated with the awards will be accounted for as compensation expense over the vesting periods based on the Company’s assessment of the probability of achieving the targets. If the required conditions are not met, no compensation expense is recognized and any previously recognized compensation expense is reversed. As of March 31, 2025, the Company determined that it is probable that the performance target for the first annual measurement period would be achieved and has recorded $830 in stock-based compensation expense for the three months ended March 31, 2025. No compensation expense has been recorded in connection with the second or </w:t>
      </w:r>
      <w:r>
        <w:rPr>
          <w:rFonts w:ascii="Times New Roman;Times;serif" w:hAnsi="Times New Roman;Times;serif"/>
          <w:b w:val="false"/>
          <w:i w:val="false"/>
          <w:caps w:val="false"/>
          <w:smallCaps w:val="false"/>
          <w:sz w:val="20"/>
        </w:rPr>
        <w:t>third</w:t>
      </w:r>
      <w:r>
        <w:rPr>
          <w:rFonts w:ascii="Times New Roman;Times;serif" w:hAnsi="Times New Roman;Times;serif"/>
          <w:sz w:val="20"/>
        </w:rPr>
        <w:t xml:space="preserve"> annual targets as the Company has not yet deemed it probable that the performance targets will be achieved.</w:t>
      </w:r>
    </w:p>
    <w:p>
      <w:pPr>
        <w:pStyle w:val="TextBody"/>
        <w:bidi w:val="0"/>
        <w:spacing w:before="0" w:after="0"/>
        <w:ind w:left="0" w:right="0" w:hanging="0"/>
        <w:jc w:val="left"/>
        <w:rPr/>
      </w:pPr>
      <w:r>
        <w:rPr/>
        <w:t>​</w:t>
      </w:r>
    </w:p>
    <w:tbl>
      <w:tblPr>
        <w:tblW w:w="4706" w:type="dxa"/>
        <w:jc w:val="left"/>
        <w:tblInd w:w="0" w:type="dxa"/>
        <w:tblLayout w:type="fixed"/>
        <w:tblCellMar>
          <w:top w:w="0" w:type="dxa"/>
          <w:left w:w="0" w:type="dxa"/>
          <w:bottom w:w="0" w:type="dxa"/>
          <w:right w:w="0" w:type="dxa"/>
        </w:tblCellMar>
      </w:tblPr>
      <w:tblGrid>
        <w:gridCol w:w="2656"/>
        <w:gridCol w:w="109"/>
        <w:gridCol w:w="481"/>
        <w:gridCol w:w="109"/>
        <w:gridCol w:w="317"/>
        <w:gridCol w:w="1034"/>
      </w:tblGrid>
      <w:tr>
        <w:trPr/>
        <w:tc>
          <w:tcPr>
            <w:tcW w:w="26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1686560" cy="175260"/>
                      <wp:effectExtent l="0" t="0" r="0" b="0"/>
                      <wp:wrapNone/>
                      <wp:docPr id="277" name="Frame277"/>
                      <a:graphic xmlns:a="http://schemas.openxmlformats.org/drawingml/2006/main">
                        <a:graphicData uri="http://schemas.microsoft.com/office/word/2010/wordprocessingShape">
                          <wps:wsp>
                            <wps:cNvSpPr txBox="1"/>
                            <wps:spPr>
                              <a:xfrm>
                                <a:off x="0" y="0"/>
                                <a:ext cx="1686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69215" cy="175260"/>
                      <wp:effectExtent l="0" t="0" r="0" b="0"/>
                      <wp:wrapNone/>
                      <wp:docPr id="278" name="Frame27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305435" cy="175260"/>
                      <wp:effectExtent l="0" t="0" r="0" b="0"/>
                      <wp:wrapNone/>
                      <wp:docPr id="279" name="Frame279"/>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69215" cy="175260"/>
                      <wp:effectExtent l="0" t="0" r="0" b="0"/>
                      <wp:wrapNone/>
                      <wp:docPr id="280" name="Frame28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201295" cy="175260"/>
                      <wp:effectExtent l="0" t="0" r="0" b="0"/>
                      <wp:wrapNone/>
                      <wp:docPr id="281" name="Frame281"/>
                      <a:graphic xmlns:a="http://schemas.openxmlformats.org/drawingml/2006/main">
                        <a:graphicData uri="http://schemas.microsoft.com/office/word/2010/wordprocessingShape">
                          <wps:wsp>
                            <wps:cNvSpPr txBox="1"/>
                            <wps:spPr>
                              <a:xfrm>
                                <a:off x="0" y="0"/>
                                <a:ext cx="201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656590" cy="175260"/>
                      <wp:effectExtent l="0" t="0" r="0" b="0"/>
                      <wp:wrapNone/>
                      <wp:docPr id="282" name="Frame282"/>
                      <a:graphic xmlns:a="http://schemas.openxmlformats.org/drawingml/2006/main">
                        <a:graphicData uri="http://schemas.microsoft.com/office/word/2010/wordprocessingShape">
                          <wps:wsp>
                            <wps:cNvSpPr txBox="1"/>
                            <wps:spPr>
                              <a:xfrm>
                                <a:off x="0" y="0"/>
                                <a:ext cx="656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3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r>
      <w:tr>
        <w:trPr/>
        <w:tc>
          <w:tcPr>
            <w:tcW w:w="26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3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Grant Date Fair</w:t>
            </w:r>
          </w:p>
        </w:tc>
      </w:tr>
      <w:tr>
        <w:trPr/>
        <w:tc>
          <w:tcPr>
            <w:tcW w:w="26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Units</w:t>
            </w:r>
          </w:p>
        </w:tc>
        <w:tc>
          <w:tcPr>
            <w:tcW w:w="109" w:type="dxa"/>
            <w:tcBorders/>
            <w:vAlign w:val="center"/>
          </w:tcPr>
          <w:p>
            <w:pPr>
              <w:pStyle w:val="TableContents"/>
              <w:bidi w:val="0"/>
              <w:spacing w:before="0" w:after="0"/>
              <w:ind w:left="0" w:right="0" w:hanging="0"/>
              <w:jc w:val="left"/>
              <w:rPr/>
            </w:pPr>
            <w:r>
              <w:rPr/>
              <w:t>​</w:t>
            </w:r>
          </w:p>
        </w:tc>
        <w:tc>
          <w:tcPr>
            <w:tcW w:w="13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 Per Share</w:t>
            </w:r>
          </w:p>
        </w:tc>
      </w:tr>
      <w:tr>
        <w:trPr/>
        <w:tc>
          <w:tcPr>
            <w:tcW w:w="26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at January 1, 2025</w:t>
            </w:r>
          </w:p>
        </w:tc>
        <w:tc>
          <w:tcPr>
            <w:tcW w:w="109" w:type="dxa"/>
            <w:tcBorders/>
            <w:shd w:fill="CCEEFF" w:val="clear"/>
            <w:vAlign w:val="center"/>
          </w:tcPr>
          <w:p>
            <w:pPr>
              <w:pStyle w:val="TableContents"/>
              <w:bidi w:val="0"/>
              <w:spacing w:before="0" w:after="0"/>
              <w:ind w:left="0" w:right="0" w:hanging="0"/>
              <w:jc w:val="left"/>
              <w:rPr/>
            </w:pPr>
            <w:r>
              <w:rPr/>
              <w:t>​</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w:t>
            </w:r>
          </w:p>
        </w:tc>
        <w:tc>
          <w:tcPr>
            <w:tcW w:w="109"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53.46</w:t>
            </w:r>
          </w:p>
        </w:tc>
      </w:tr>
      <w:tr>
        <w:trPr/>
        <w:tc>
          <w:tcPr>
            <w:tcW w:w="26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109" w:type="dxa"/>
            <w:tcBorders/>
            <w:vAlign w:val="center"/>
          </w:tcPr>
          <w:p>
            <w:pPr>
              <w:pStyle w:val="TableContents"/>
              <w:bidi w:val="0"/>
              <w:spacing w:before="0" w:after="0"/>
              <w:ind w:left="0" w:right="0" w:hanging="0"/>
              <w:jc w:val="left"/>
              <w:rPr/>
            </w:pPr>
            <w:r>
              <w:rPr/>
              <w:t>​</w:t>
            </w:r>
          </w:p>
        </w:tc>
        <w:tc>
          <w:tcPr>
            <w:tcW w:w="4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109"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10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53.46</w:t>
            </w:r>
          </w:p>
        </w:tc>
      </w:tr>
      <w:tr>
        <w:trPr/>
        <w:tc>
          <w:tcPr>
            <w:tcW w:w="26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at March 31, 2025</w:t>
            </w:r>
          </w:p>
        </w:tc>
        <w:tc>
          <w:tcPr>
            <w:tcW w:w="109" w:type="dxa"/>
            <w:tcBorders/>
            <w:shd w:fill="CCEEFF" w:val="clear"/>
            <w:vAlign w:val="center"/>
          </w:tcPr>
          <w:p>
            <w:pPr>
              <w:pStyle w:val="TableContents"/>
              <w:bidi w:val="0"/>
              <w:spacing w:before="0" w:after="0"/>
              <w:ind w:left="0" w:right="0" w:hanging="0"/>
              <w:jc w:val="left"/>
              <w:rPr/>
            </w:pPr>
            <w:r>
              <w:rPr/>
              <w:t>​</w:t>
            </w:r>
          </w:p>
        </w:tc>
        <w:tc>
          <w:tcPr>
            <w:tcW w:w="4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w:t>
            </w:r>
          </w:p>
        </w:tc>
        <w:tc>
          <w:tcPr>
            <w:tcW w:w="109"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4" w:type="dxa"/>
            <w:tcBorders/>
            <w:shd w:fill="CCEEFF" w:val="cle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53.46</w:t>
            </w:r>
          </w:p>
        </w:tc>
      </w:tr>
    </w:tbl>
    <w:p>
      <w:pPr>
        <w:pStyle w:val="TextBody"/>
        <w:bidi w:val="0"/>
        <w:spacing w:before="0" w:after="24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At March 31, 2025, a maximum of $9,032 of unrecognized compensation expense for PSUs, pending achievement of targets, may be recognized over a weighted average period of approximately 2.7 years.</w:t>
      </w:r>
    </w:p>
    <w:p>
      <w:pPr>
        <w:pStyle w:val="TextBody"/>
        <w:bidi w:val="0"/>
        <w:spacing w:before="0" w:after="240"/>
        <w:ind w:left="0" w:right="0" w:firstLine="360"/>
        <w:jc w:val="both"/>
        <w:rPr>
          <w:rFonts w:ascii="Times New Roman;Times;serif" w:hAnsi="Times New Roman;Times;serif"/>
          <w:i/>
          <w:sz w:val="20"/>
        </w:rPr>
      </w:pPr>
      <w:r>
        <w:rPr>
          <w:rFonts w:ascii="Times New Roman;Times;serif" w:hAnsi="Times New Roman;Times;serif"/>
          <w:i/>
          <w:sz w:val="20"/>
        </w:rPr>
        <w:t>Employee Stock Purchase Plan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ESPP provides eligible employees with rights during each six-month ESPP offering period to purchase shares of the Company’s Class A common stock through payroll deductions of up to a specified percentage of their eligible compensation. The purchase price of the shares, in the absence of a contrary designation, is 85% of the lower of the fair value of the Class A common stock on the first or last day of the ESPP offering period. Amounts withheld from participants are included in accrued salaries and benefits in the condensed consolidated balance sheets until such shares are purchased. Amounts withheld from participants for the offering period ending May 31, 2025 aggregated $1,457 as of March 31, 2025. As of March 31, 2025, 6,335 shares of Class A common stock were available for issuance under the ESPP.</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As of March 31, 2025, there was approximately $171 of unrecognized ESPP stock-based compensation expense expected to be recognized on a straight-line basis over the remaining term of the six-month offering period ending May 31, 2025.</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At March 31, 2025 and 2024, there were two ESPP offering periods open that end May 31, 2025 and 2024, respectively. The fair value of ESPP purchase rights for the offering periods is comprised of the value of the 15% ESPP discount and the value associated with the call or put over the respective ESPP offering period. ESPP offering periods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646" w:type="dxa"/>
        <w:jc w:val="left"/>
        <w:tblInd w:w="0" w:type="dxa"/>
        <w:tblLayout w:type="fixed"/>
        <w:tblCellMar>
          <w:top w:w="0" w:type="dxa"/>
          <w:left w:w="0" w:type="dxa"/>
          <w:bottom w:w="0" w:type="dxa"/>
          <w:right w:w="0" w:type="dxa"/>
        </w:tblCellMar>
      </w:tblPr>
      <w:tblGrid>
        <w:gridCol w:w="6646"/>
      </w:tblGrid>
      <w:tr>
        <w:trPr/>
        <w:tc>
          <w:tcPr>
            <w:tcW w:w="6646" w:type="dxa"/>
            <w:tcBorders/>
            <w:vAlign w:val="center"/>
          </w:tcPr>
          <w:p>
            <w:pPr>
              <w:pStyle w:val="TableContents"/>
              <w:bidi w:val="0"/>
              <w:spacing w:before="0" w:after="283"/>
              <w:ind w:left="0" w:right="0" w:hanging="0"/>
              <w:jc w:val="left"/>
              <w:rPr>
                <w:sz w:val="4"/>
                <w:szCs w:val="4"/>
              </w:rPr>
            </w:pPr>
            <w:r>
              <w:rPr>
                <w:sz w:val="4"/>
                <w:szCs w:val="4"/>
              </w:rPr>
            </w:r>
          </w:p>
        </w:tc>
      </w:tr>
      <w:tr>
        <w:trPr/>
        <w:tc>
          <w:tcPr>
            <w:tcW w:w="66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Vertex, Inc. and Subsidiaries</w:t>
            </w:r>
          </w:p>
        </w:tc>
      </w:tr>
      <w:tr>
        <w:trPr/>
        <w:tc>
          <w:tcPr>
            <w:tcW w:w="66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Condensed Consolidated Financial Statements (unaudited) continued</w:t>
            </w:r>
          </w:p>
        </w:tc>
      </w:tr>
      <w:tr>
        <w:trPr/>
        <w:tc>
          <w:tcPr>
            <w:tcW w:w="66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(Amounts in thousands, except per share data) </w:t>
            </w:r>
          </w:p>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bookmarkStart w:id="1270" w:name="Tc_b6H4nJRM-0KCFOMKVuv7DQ_10_5"/>
      <w:bookmarkStart w:id="1271" w:name="Tc_88SEbTLe8kii-5p0ubLcFA_10_2"/>
      <w:bookmarkStart w:id="1272" w:name="Tc_cJYknQonEE2bnUP2wpoxVA_10_0"/>
      <w:bookmarkStart w:id="1273" w:name="Tc_jbMzQu0-q0GKcYqTQkaeeQ_9_0"/>
      <w:bookmarkStart w:id="1274" w:name="Tc_fKii0T9y6Ei0lMty80puzA_8_0"/>
      <w:bookmarkStart w:id="1275" w:name="Tc_lOd__ZrJ502b-8KGnFAFCQ_7_0"/>
      <w:bookmarkStart w:id="1276" w:name="Tc_I7taxkUYi0K3a8u9CgZc6A_6_0"/>
      <w:bookmarkStart w:id="1277" w:name="Tc_1wBV5JDarEC3YiUVYYsg4A_5_5"/>
      <w:bookmarkStart w:id="1278" w:name="Tc_3t5Q9o5jSE2DaDobSfPKFA_5_2"/>
      <w:bookmarkStart w:id="1279" w:name="Tc_8oFT3SQRnkueFw-eC3BNrQ_5_0"/>
      <w:bookmarkStart w:id="1280" w:name="Tc_Zr9jCEv_0UKq2AGWS0kPaA_4_0"/>
      <w:bookmarkStart w:id="1281" w:name="Tc_0-KQcsaGSkqpUZgh0Ft8zQ_3_2"/>
      <w:bookmarkStart w:id="1282" w:name="Tc_V2kPkyQMWUS0cCf_QV1buw_2_5"/>
      <w:bookmarkStart w:id="1283" w:name="Tc_rbvBCHmFIUiM6Xfca-FalA_2_2"/>
      <w:bookmarkStart w:id="1284" w:name="Tc_u7-m25DwNEqcAC-4JXEtAQ_1_2"/>
      <w:bookmarkStart w:id="1285" w:name="Tc_ibmEahbTBU6GCwIsUwqNBQ_10_5"/>
      <w:bookmarkStart w:id="1286" w:name="Tc__Mm6gBLp-keDsvWP51BuEg_10_2"/>
      <w:bookmarkStart w:id="1287" w:name="Tc_MANgHBSopku7uG8itFfo8Q_10_0"/>
      <w:bookmarkStart w:id="1288" w:name="Tc_9X6A3LDwl0qssx37Yc3kMw_9_0"/>
      <w:bookmarkStart w:id="1289" w:name="Tc_x5nBOTCB2ku1iOpQ9jZWSA_8_6"/>
      <w:bookmarkStart w:id="1290" w:name="Tc_eQWAGoFObkyhBNnnxdUGsQ_8_0"/>
      <w:bookmarkStart w:id="1291" w:name="Tc_2kRUeLwjZEeAzJRhfKBvyA_7_0"/>
      <w:bookmarkStart w:id="1292" w:name="Tc_GQWb9lf9pEybskb7As1QYA_6_0"/>
      <w:bookmarkStart w:id="1293" w:name="Tc_9awalEcOb0qftVqFN7B-jA_5_5"/>
      <w:bookmarkStart w:id="1294" w:name="Tc_yAQcSlbKHUa3lCkT1Eq9Xw_5_2"/>
      <w:bookmarkStart w:id="1295" w:name="Tc_awH5WnSTIkS2D4MVws632A_5_0"/>
      <w:bookmarkStart w:id="1296" w:name="Tc_bUxyevS6LkeBmtWT7Y5JOw_4_0"/>
      <w:bookmarkStart w:id="1297" w:name="Tc_ccIAo-ROc0K52g5e2UFeIA_3_2"/>
      <w:bookmarkStart w:id="1298" w:name="Tc__ct85CX3mU6ocANOpxkz_Q_2_5"/>
      <w:bookmarkStart w:id="1299" w:name="Tc_V_OD0EZM8E6R8T0cK2-pqg_2_2"/>
      <w:bookmarkStart w:id="1300" w:name="Tc_cmeNGSmoWE-XVoxpTcsH9g_1_2"/>
      <w:bookmarkStart w:id="1301" w:name="Tc_eQumSVoCikSyu6SjQrGDIQ_7_6"/>
      <w:bookmarkStart w:id="1302" w:name="Tc__3PyOS0iPUSOy15NT2gs5Q_7_3"/>
      <w:bookmarkStart w:id="1303" w:name="Tc_Fc0agOTL10a5OJD95hmF-A_7_0"/>
      <w:bookmarkStart w:id="1304" w:name="Tc_ZEMxkN9hqk29lMSxZkzxjA_6_6"/>
      <w:bookmarkStart w:id="1305" w:name="Tc_Ie6zMJwYfUOQlWHRURKi-Q_6_5"/>
      <w:bookmarkStart w:id="1306" w:name="Tc_LbANcg4JuEmqYaWccNkmoA_6_3"/>
      <w:bookmarkStart w:id="1307" w:name="Tc__v7hdutk90qy3gWXewHjaw_6_2"/>
      <w:bookmarkStart w:id="1308" w:name="Tc_kJIiTHG8dU6F56xRxeS9VQ_6_0"/>
      <w:bookmarkStart w:id="1309" w:name="Tc_iu2Z1MDsGkqlmgAwDqcdqA_5_0"/>
      <w:bookmarkStart w:id="1310" w:name="Tc_95rBsv8NCU2kMUl4R47g4Q_4_6"/>
      <w:bookmarkStart w:id="1311" w:name="Tc_rFIgUv_07E2c_oXplA9lCg_4_3"/>
      <w:bookmarkStart w:id="1312" w:name="Tc_n-hdVg0AUkmaLhn81iXhfA_4_0"/>
      <w:bookmarkStart w:id="1313" w:name="Tc_iWRy7OMsKUGCYasiNnqjqQ_3_4"/>
      <w:bookmarkStart w:id="1314" w:name="Tc_LLeBzq9Ug0az3XMqpEJgOg_3_1"/>
      <w:bookmarkStart w:id="1315" w:name="Tc_biG3Kyxy6E2XGZ0aGxCLtg_3_0"/>
      <w:bookmarkStart w:id="1316" w:name="Tc_R0slK4mCe0W9wD3etVEkdg_2_4"/>
      <w:bookmarkStart w:id="1317" w:name="Tc_cY5_3Xe5o0-6iFkeKCjN1Q_2_1"/>
      <w:bookmarkStart w:id="1318" w:name="Tc_ZaYJ9khbDEGdMeGaFSS0cQ_1_1"/>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r>
        <w:rPr>
          <w:rFonts w:ascii="Times New Roman;Times;serif" w:hAnsi="Times New Roman;Times;serif"/>
          <w:sz w:val="20"/>
        </w:rPr>
        <w:t xml:space="preserve">reported in the March 31, 2025 and 2024 financial statements include the periods noted below in the table. The value of the call or put was estimated using the Black-Scholes model with the following assumptions: </w:t>
      </w:r>
    </w:p>
    <w:p>
      <w:pPr>
        <w:pStyle w:val="TextBody"/>
        <w:bidi w:val="0"/>
        <w:spacing w:before="0" w:after="0"/>
        <w:ind w:left="0" w:right="0" w:firstLine="360"/>
        <w:jc w:val="left"/>
        <w:rPr/>
      </w:pPr>
      <w:r>
        <w:rPr/>
        <w:t>​</w:t>
      </w:r>
    </w:p>
    <w:tbl>
      <w:tblPr>
        <w:tblW w:w="5298" w:type="dxa"/>
        <w:jc w:val="left"/>
        <w:tblInd w:w="0" w:type="dxa"/>
        <w:tblLayout w:type="fixed"/>
        <w:tblCellMar>
          <w:top w:w="0" w:type="dxa"/>
          <w:left w:w="0" w:type="dxa"/>
          <w:bottom w:w="0" w:type="dxa"/>
          <w:right w:w="0" w:type="dxa"/>
        </w:tblCellMar>
      </w:tblPr>
      <w:tblGrid>
        <w:gridCol w:w="2971"/>
        <w:gridCol w:w="222"/>
        <w:gridCol w:w="603"/>
        <w:gridCol w:w="316"/>
        <w:gridCol w:w="222"/>
        <w:gridCol w:w="603"/>
        <w:gridCol w:w="361"/>
      </w:tblGrid>
      <w:tr>
        <w:trPr/>
        <w:tc>
          <w:tcPr>
            <w:tcW w:w="29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1886585" cy="175260"/>
                      <wp:effectExtent l="0" t="0" r="0" b="0"/>
                      <wp:wrapNone/>
                      <wp:docPr id="283" name="Frame283"/>
                      <a:graphic xmlns:a="http://schemas.openxmlformats.org/drawingml/2006/main">
                        <a:graphicData uri="http://schemas.microsoft.com/office/word/2010/wordprocessingShape">
                          <wps:wsp>
                            <wps:cNvSpPr txBox="1"/>
                            <wps:spPr>
                              <a:xfrm>
                                <a:off x="0" y="0"/>
                                <a:ext cx="1886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140970" cy="175260"/>
                      <wp:effectExtent l="0" t="0" r="0" b="0"/>
                      <wp:wrapNone/>
                      <wp:docPr id="284" name="Frame284"/>
                      <a:graphic xmlns:a="http://schemas.openxmlformats.org/drawingml/2006/main">
                        <a:graphicData uri="http://schemas.microsoft.com/office/word/2010/wordprocessingShape">
                          <wps:wsp>
                            <wps:cNvSpPr txBox="1"/>
                            <wps:spPr>
                              <a:xfrm>
                                <a:off x="0" y="0"/>
                                <a:ext cx="140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382905" cy="175260"/>
                      <wp:effectExtent l="0" t="0" r="0" b="0"/>
                      <wp:wrapNone/>
                      <wp:docPr id="285" name="Frame285"/>
                      <a:graphic xmlns:a="http://schemas.openxmlformats.org/drawingml/2006/main">
                        <a:graphicData uri="http://schemas.microsoft.com/office/word/2010/wordprocessingShape">
                          <wps:wsp>
                            <wps:cNvSpPr txBox="1"/>
                            <wps:spPr>
                              <a:xfrm>
                                <a:off x="0" y="0"/>
                                <a:ext cx="3829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200660" cy="175260"/>
                      <wp:effectExtent l="0" t="0" r="0" b="0"/>
                      <wp:wrapNone/>
                      <wp:docPr id="286" name="Frame286"/>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140970" cy="175260"/>
                      <wp:effectExtent l="0" t="0" r="0" b="0"/>
                      <wp:wrapNone/>
                      <wp:docPr id="287" name="Frame287"/>
                      <a:graphic xmlns:a="http://schemas.openxmlformats.org/drawingml/2006/main">
                        <a:graphicData uri="http://schemas.microsoft.com/office/word/2010/wordprocessingShape">
                          <wps:wsp>
                            <wps:cNvSpPr txBox="1"/>
                            <wps:spPr>
                              <a:xfrm>
                                <a:off x="0" y="0"/>
                                <a:ext cx="140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382905" cy="175260"/>
                      <wp:effectExtent l="0" t="0" r="0" b="0"/>
                      <wp:wrapNone/>
                      <wp:docPr id="288" name="Frame288"/>
                      <a:graphic xmlns:a="http://schemas.openxmlformats.org/drawingml/2006/main">
                        <a:graphicData uri="http://schemas.microsoft.com/office/word/2010/wordprocessingShape">
                          <wps:wsp>
                            <wps:cNvSpPr txBox="1"/>
                            <wps:spPr>
                              <a:xfrm>
                                <a:off x="0" y="0"/>
                                <a:ext cx="3829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229235" cy="175260"/>
                      <wp:effectExtent l="0" t="0" r="0" b="0"/>
                      <wp:wrapNone/>
                      <wp:docPr id="289" name="Frame289"/>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71" w:type="dxa"/>
            <w:tcBorders/>
            <w:vAlign w:val="center"/>
          </w:tcPr>
          <w:p>
            <w:pPr>
              <w:pStyle w:val="TableContents"/>
              <w:bidi w:val="0"/>
              <w:spacing w:before="0" w:after="0"/>
              <w:ind w:left="0" w:right="0" w:hanging="0"/>
              <w:jc w:val="left"/>
              <w:rPr/>
            </w:pPr>
            <w:r>
              <w:rPr/>
              <w:t>​</w:t>
            </w:r>
          </w:p>
        </w:tc>
        <w:tc>
          <w:tcPr>
            <w:tcW w:w="2327"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Offering Period Ending</w:t>
            </w:r>
          </w:p>
        </w:tc>
      </w:tr>
      <w:tr>
        <w:trPr/>
        <w:tc>
          <w:tcPr>
            <w:tcW w:w="2971" w:type="dxa"/>
            <w:tcBorders/>
            <w:vAlign w:val="center"/>
          </w:tcPr>
          <w:p>
            <w:pPr>
              <w:pStyle w:val="TableContents"/>
              <w:bidi w:val="0"/>
              <w:spacing w:before="0" w:after="0"/>
              <w:ind w:left="0" w:right="0" w:hanging="0"/>
              <w:jc w:val="left"/>
              <w:rPr/>
            </w:pPr>
            <w:r>
              <w:rPr/>
              <w:t>​</w:t>
            </w:r>
          </w:p>
        </w:tc>
        <w:tc>
          <w:tcPr>
            <w:tcW w:w="8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5/31/2025</w:t>
            </w:r>
          </w:p>
        </w:tc>
        <w:tc>
          <w:tcPr>
            <w:tcW w:w="316" w:type="dxa"/>
            <w:tcBorders/>
            <w:vAlign w:val="center"/>
          </w:tcPr>
          <w:p>
            <w:pPr>
              <w:pStyle w:val="TableContents"/>
              <w:bidi w:val="0"/>
              <w:spacing w:before="0" w:after="0"/>
              <w:ind w:left="0" w:right="0" w:hanging="0"/>
              <w:jc w:val="center"/>
              <w:rPr/>
            </w:pPr>
            <w:r>
              <w:rPr/>
              <w:t>​</w:t>
            </w:r>
          </w:p>
        </w:tc>
        <w:tc>
          <w:tcPr>
            <w:tcW w:w="8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5/31/2024</w:t>
            </w:r>
          </w:p>
        </w:tc>
        <w:tc>
          <w:tcPr>
            <w:tcW w:w="361" w:type="dxa"/>
            <w:tcBorders/>
            <w:vAlign w:val="center"/>
          </w:tcPr>
          <w:p>
            <w:pPr>
              <w:pStyle w:val="TableContents"/>
              <w:bidi w:val="0"/>
              <w:spacing w:before="0" w:after="0"/>
              <w:ind w:left="0" w:right="0" w:hanging="0"/>
              <w:jc w:val="center"/>
              <w:rPr/>
            </w:pPr>
            <w:r>
              <w:rPr/>
              <w:t>​</w:t>
            </w:r>
          </w:p>
        </w:tc>
      </w:tr>
      <w:tr>
        <w:trPr/>
        <w:tc>
          <w:tcPr>
            <w:tcW w:w="29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Fair market value of common stock</w:t>
            </w:r>
          </w:p>
        </w:tc>
        <w:tc>
          <w:tcPr>
            <w:tcW w:w="2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54.64</w:t>
            </w:r>
          </w:p>
        </w:tc>
        <w:tc>
          <w:tcPr>
            <w:tcW w:w="31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27.82</w:t>
            </w:r>
          </w:p>
        </w:tc>
        <w:tc>
          <w:tcPr>
            <w:tcW w:w="361" w:type="dxa"/>
            <w:tcBorders/>
            <w:shd w:fill="CCEEFF" w:val="clear"/>
            <w:vAlign w:val="center"/>
          </w:tcPr>
          <w:p>
            <w:pPr>
              <w:pStyle w:val="TableContents"/>
              <w:bidi w:val="0"/>
              <w:spacing w:before="0" w:after="0"/>
              <w:ind w:left="0" w:right="0" w:hanging="0"/>
              <w:jc w:val="left"/>
              <w:rPr/>
            </w:pPr>
            <w:r>
              <w:rPr/>
              <w:t>​</w:t>
            </w:r>
          </w:p>
        </w:tc>
      </w:tr>
      <w:tr>
        <w:trPr/>
        <w:tc>
          <w:tcPr>
            <w:tcW w:w="29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Volatility</w:t>
            </w:r>
          </w:p>
        </w:tc>
        <w:tc>
          <w:tcPr>
            <w:tcW w:w="222" w:type="dxa"/>
            <w:tcBorders/>
            <w:vAlign w:val="center"/>
          </w:tcPr>
          <w:p>
            <w:pPr>
              <w:pStyle w:val="TableContents"/>
              <w:bidi w:val="0"/>
              <w:spacing w:before="0" w:after="0"/>
              <w:ind w:left="0" w:right="0" w:hanging="0"/>
              <w:jc w:val="left"/>
              <w:rPr/>
            </w:pPr>
            <w:r>
              <w:rPr/>
              <w:t> </w:t>
            </w:r>
          </w:p>
        </w:tc>
        <w:tc>
          <w:tcPr>
            <w:tcW w:w="6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222" w:type="dxa"/>
            <w:tcBorders/>
            <w:vAlign w:val="center"/>
          </w:tcPr>
          <w:p>
            <w:pPr>
              <w:pStyle w:val="TableContents"/>
              <w:bidi w:val="0"/>
              <w:spacing w:before="0" w:after="0"/>
              <w:ind w:left="0" w:right="0" w:hanging="0"/>
              <w:jc w:val="left"/>
              <w:rPr/>
            </w:pPr>
            <w:r>
              <w:rPr/>
              <w:t> </w:t>
            </w:r>
          </w:p>
        </w:tc>
        <w:tc>
          <w:tcPr>
            <w:tcW w:w="6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r>
      <w:tr>
        <w:trPr/>
        <w:tc>
          <w:tcPr>
            <w:tcW w:w="29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term (years)</w:t>
            </w:r>
          </w:p>
        </w:tc>
        <w:tc>
          <w:tcPr>
            <w:tcW w:w="222" w:type="dxa"/>
            <w:tcBorders/>
            <w:shd w:fill="CCEEFF" w:val="clear"/>
            <w:vAlign w:val="center"/>
          </w:tcPr>
          <w:p>
            <w:pPr>
              <w:pStyle w:val="TableContents"/>
              <w:bidi w:val="0"/>
              <w:spacing w:before="0" w:after="0"/>
              <w:ind w:left="0" w:right="0" w:hanging="0"/>
              <w:jc w:val="left"/>
              <w:rPr/>
            </w:pPr>
            <w:r>
              <w:rPr/>
              <w:t> </w:t>
            </w:r>
          </w:p>
        </w:tc>
        <w:tc>
          <w:tcPr>
            <w:tcW w:w="6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c>
          <w:tcPr>
            <w:tcW w:w="31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 </w:t>
            </w:r>
          </w:p>
        </w:tc>
        <w:tc>
          <w:tcPr>
            <w:tcW w:w="6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c>
          <w:tcPr>
            <w:tcW w:w="361" w:type="dxa"/>
            <w:tcBorders/>
            <w:shd w:fill="CCEEFF" w:val="clear"/>
            <w:vAlign w:val="center"/>
          </w:tcPr>
          <w:p>
            <w:pPr>
              <w:pStyle w:val="TableContents"/>
              <w:bidi w:val="0"/>
              <w:spacing w:before="0" w:after="0"/>
              <w:ind w:left="0" w:right="0" w:hanging="0"/>
              <w:jc w:val="left"/>
              <w:rPr/>
            </w:pPr>
            <w:r>
              <w:rPr/>
              <w:t>​</w:t>
            </w:r>
          </w:p>
        </w:tc>
      </w:tr>
      <w:tr>
        <w:trPr/>
        <w:tc>
          <w:tcPr>
            <w:tcW w:w="29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dividend yield</w:t>
            </w:r>
          </w:p>
        </w:tc>
        <w:tc>
          <w:tcPr>
            <w:tcW w:w="222" w:type="dxa"/>
            <w:tcBorders/>
            <w:vAlign w:val="center"/>
          </w:tcPr>
          <w:p>
            <w:pPr>
              <w:pStyle w:val="TableContents"/>
              <w:bidi w:val="0"/>
              <w:spacing w:before="0" w:after="0"/>
              <w:ind w:left="0" w:right="0" w:hanging="0"/>
              <w:jc w:val="left"/>
              <w:rPr/>
            </w:pPr>
            <w:r>
              <w:rPr/>
              <w:t> </w:t>
            </w:r>
          </w:p>
        </w:tc>
        <w:tc>
          <w:tcPr>
            <w:tcW w:w="6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222" w:type="dxa"/>
            <w:tcBorders/>
            <w:vAlign w:val="center"/>
          </w:tcPr>
          <w:p>
            <w:pPr>
              <w:pStyle w:val="TableContents"/>
              <w:bidi w:val="0"/>
              <w:spacing w:before="0" w:after="0"/>
              <w:ind w:left="0" w:right="0" w:hanging="0"/>
              <w:jc w:val="left"/>
              <w:rPr/>
            </w:pPr>
            <w:r>
              <w:rPr/>
              <w:t> </w:t>
            </w:r>
          </w:p>
        </w:tc>
        <w:tc>
          <w:tcPr>
            <w:tcW w:w="6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r>
      <w:tr>
        <w:trPr/>
        <w:tc>
          <w:tcPr>
            <w:tcW w:w="29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Risk-free interest rate</w:t>
            </w:r>
          </w:p>
        </w:tc>
        <w:tc>
          <w:tcPr>
            <w:tcW w:w="222" w:type="dxa"/>
            <w:tcBorders/>
            <w:shd w:fill="CCEEFF" w:val="clear"/>
            <w:vAlign w:val="center"/>
          </w:tcPr>
          <w:p>
            <w:pPr>
              <w:pStyle w:val="TableContents"/>
              <w:bidi w:val="0"/>
              <w:spacing w:before="0" w:after="0"/>
              <w:ind w:left="0" w:right="0" w:hanging="0"/>
              <w:jc w:val="left"/>
              <w:rPr/>
            </w:pPr>
            <w:r>
              <w:rPr/>
              <w:t> </w:t>
            </w:r>
          </w:p>
        </w:tc>
        <w:tc>
          <w:tcPr>
            <w:tcW w:w="6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222" w:type="dxa"/>
            <w:tcBorders/>
            <w:shd w:fill="CCEEFF" w:val="clear"/>
            <w:vAlign w:val="center"/>
          </w:tcPr>
          <w:p>
            <w:pPr>
              <w:pStyle w:val="TableContents"/>
              <w:bidi w:val="0"/>
              <w:spacing w:before="0" w:after="0"/>
              <w:ind w:left="0" w:right="0" w:hanging="0"/>
              <w:jc w:val="left"/>
              <w:rPr/>
            </w:pPr>
            <w:r>
              <w:rPr/>
              <w:t> </w:t>
            </w:r>
          </w:p>
        </w:tc>
        <w:tc>
          <w:tcPr>
            <w:tcW w:w="6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Volatility is representative of expected stock price volatility over the offering period. The Company’s volatility is applied to current and future offering periods. The expected term represents the term of the ESPP offering period, which is six months. The Company does not expect to pay dividends. The risk-free interest rate was based on the rate for a U.S. Treasury zero-coupon issue with a term that closely approximates the expected term of the award at the date nearest to the offering term.</w:t>
      </w:r>
    </w:p>
    <w:p>
      <w:pPr>
        <w:pStyle w:val="TextBody"/>
        <w:bidi w:val="0"/>
        <w:spacing w:before="0" w:after="0"/>
        <w:ind w:left="0" w:right="0" w:firstLine="360"/>
        <w:jc w:val="left"/>
        <w:rPr/>
      </w:pPr>
      <w:r>
        <w:rPr/>
        <w:t>​</w:t>
      </w:r>
    </w:p>
    <w:p>
      <w:pPr>
        <w:pStyle w:val="TextBody"/>
        <w:bidi w:val="0"/>
        <w:spacing w:before="0" w:after="240"/>
        <w:ind w:left="0" w:right="0" w:firstLine="360"/>
        <w:jc w:val="left"/>
        <w:rPr>
          <w:rFonts w:ascii="Times New Roman;Times;serif" w:hAnsi="Times New Roman;Times;serif"/>
          <w:b/>
          <w:sz w:val="20"/>
        </w:rPr>
      </w:pPr>
      <w:r>
        <w:rPr>
          <w:rFonts w:ascii="Times New Roman;Times;serif" w:hAnsi="Times New Roman;Times;serif"/>
          <w:b/>
          <w:sz w:val="20"/>
        </w:rPr>
        <w:t>Stock-Based Compensation</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recognized total stock-based compensation expense related to incentive awards, net of forfeitures, as follows:</w:t>
      </w:r>
    </w:p>
    <w:p>
      <w:pPr>
        <w:pStyle w:val="TextBody"/>
        <w:bidi w:val="0"/>
        <w:spacing w:before="0" w:after="0"/>
        <w:ind w:left="0" w:right="0" w:hanging="0"/>
        <w:jc w:val="left"/>
        <w:rPr/>
      </w:pPr>
      <w:r>
        <w:rPr/>
        <w:t>​</w:t>
      </w:r>
    </w:p>
    <w:tbl>
      <w:tblPr>
        <w:tblW w:w="6544" w:type="dxa"/>
        <w:jc w:val="left"/>
        <w:tblInd w:w="0" w:type="dxa"/>
        <w:tblLayout w:type="fixed"/>
        <w:tblCellMar>
          <w:top w:w="0" w:type="dxa"/>
          <w:left w:w="0" w:type="dxa"/>
          <w:bottom w:w="0" w:type="dxa"/>
          <w:right w:w="0" w:type="dxa"/>
        </w:tblCellMar>
      </w:tblPr>
      <w:tblGrid>
        <w:gridCol w:w="3451"/>
        <w:gridCol w:w="109"/>
        <w:gridCol w:w="284"/>
        <w:gridCol w:w="911"/>
        <w:gridCol w:w="439"/>
        <w:gridCol w:w="284"/>
        <w:gridCol w:w="1066"/>
      </w:tblGrid>
      <w:tr>
        <w:trPr/>
        <w:tc>
          <w:tcPr>
            <w:tcW w:w="3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2191385" cy="175260"/>
                      <wp:effectExtent l="0" t="0" r="0" b="0"/>
                      <wp:wrapNone/>
                      <wp:docPr id="290" name="Frame290"/>
                      <a:graphic xmlns:a="http://schemas.openxmlformats.org/drawingml/2006/main">
                        <a:graphicData uri="http://schemas.microsoft.com/office/word/2010/wordprocessingShape">
                          <wps:wsp>
                            <wps:cNvSpPr txBox="1"/>
                            <wps:spPr>
                              <a:xfrm>
                                <a:off x="0" y="0"/>
                                <a:ext cx="2191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69215" cy="175260"/>
                      <wp:effectExtent l="0" t="0" r="0" b="0"/>
                      <wp:wrapNone/>
                      <wp:docPr id="291" name="Frame29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180340" cy="175260"/>
                      <wp:effectExtent l="0" t="0" r="0" b="0"/>
                      <wp:wrapNone/>
                      <wp:docPr id="292" name="Frame292"/>
                      <a:graphic xmlns:a="http://schemas.openxmlformats.org/drawingml/2006/main">
                        <a:graphicData uri="http://schemas.microsoft.com/office/word/2010/wordprocessingShape">
                          <wps:wsp>
                            <wps:cNvSpPr txBox="1"/>
                            <wps:spPr>
                              <a:xfrm>
                                <a:off x="0" y="0"/>
                                <a:ext cx="180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578485" cy="175260"/>
                      <wp:effectExtent l="0" t="0" r="0" b="0"/>
                      <wp:wrapNone/>
                      <wp:docPr id="293" name="Frame293"/>
                      <a:graphic xmlns:a="http://schemas.openxmlformats.org/drawingml/2006/main">
                        <a:graphicData uri="http://schemas.microsoft.com/office/word/2010/wordprocessingShape">
                          <wps:wsp>
                            <wps:cNvSpPr txBox="1"/>
                            <wps:spPr>
                              <a:xfrm>
                                <a:off x="0" y="0"/>
                                <a:ext cx="578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278765" cy="175260"/>
                      <wp:effectExtent l="0" t="0" r="0" b="0"/>
                      <wp:wrapNone/>
                      <wp:docPr id="294" name="Frame294"/>
                      <a:graphic xmlns:a="http://schemas.openxmlformats.org/drawingml/2006/main">
                        <a:graphicData uri="http://schemas.microsoft.com/office/word/2010/wordprocessingShape">
                          <wps:wsp>
                            <wps:cNvSpPr txBox="1"/>
                            <wps:spPr>
                              <a:xfrm>
                                <a:off x="0" y="0"/>
                                <a:ext cx="278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180340" cy="175260"/>
                      <wp:effectExtent l="0" t="0" r="0" b="0"/>
                      <wp:wrapNone/>
                      <wp:docPr id="295" name="Frame295"/>
                      <a:graphic xmlns:a="http://schemas.openxmlformats.org/drawingml/2006/main">
                        <a:graphicData uri="http://schemas.microsoft.com/office/word/2010/wordprocessingShape">
                          <wps:wsp>
                            <wps:cNvSpPr txBox="1"/>
                            <wps:spPr>
                              <a:xfrm>
                                <a:off x="0" y="0"/>
                                <a:ext cx="180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676910" cy="175260"/>
                      <wp:effectExtent l="0" t="0" r="0" b="0"/>
                      <wp:wrapNone/>
                      <wp:docPr id="296" name="Frame296"/>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98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three months ended March 31, </w:t>
            </w:r>
          </w:p>
        </w:tc>
      </w:tr>
      <w:tr>
        <w:trPr/>
        <w:tc>
          <w:tcPr>
            <w:tcW w:w="34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39" w:type="dxa"/>
            <w:tcBorders/>
            <w:vAlign w:val="center"/>
          </w:tcPr>
          <w:p>
            <w:pPr>
              <w:pStyle w:val="TableContents"/>
              <w:bidi w:val="0"/>
              <w:spacing w:before="0" w:after="0"/>
              <w:ind w:left="0" w:right="0" w:hanging="0"/>
              <w:jc w:val="left"/>
              <w:rPr/>
            </w:pPr>
            <w:r>
              <w:rPr/>
              <w:t>    </w:t>
            </w:r>
          </w:p>
        </w:tc>
        <w:tc>
          <w:tcPr>
            <w:tcW w:w="13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6544"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34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984"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109"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left"/>
              <w:rPr/>
            </w:pPr>
            <w:r>
              <w:rPr/>
              <w:t>​</w:t>
            </w:r>
          </w:p>
        </w:tc>
        <w:tc>
          <w:tcPr>
            <w:tcW w:w="911" w:type="dxa"/>
            <w:tcBorders/>
            <w:shd w:fill="CCEEFF" w:val="clear"/>
            <w:vAlign w:val="center"/>
          </w:tcPr>
          <w:p>
            <w:pPr>
              <w:pStyle w:val="TableContents"/>
              <w:bidi w:val="0"/>
              <w:spacing w:before="0" w:after="0"/>
              <w:ind w:left="0" w:right="0" w:hanging="0"/>
              <w:jc w:val="left"/>
              <w:rPr/>
            </w:pPr>
            <w:r>
              <w:rPr/>
              <w:t>​</w:t>
            </w:r>
          </w:p>
        </w:tc>
        <w:tc>
          <w:tcPr>
            <w:tcW w:w="439"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left"/>
              <w:rPr/>
            </w:pPr>
            <w:r>
              <w:rPr/>
              <w:t>​</w:t>
            </w:r>
          </w:p>
        </w:tc>
        <w:tc>
          <w:tcPr>
            <w:tcW w:w="1066" w:type="dxa"/>
            <w:tcBorders/>
            <w:shd w:fill="CCEEFF" w:val="clear"/>
            <w:vAlign w:val="center"/>
          </w:tcPr>
          <w:p>
            <w:pPr>
              <w:pStyle w:val="TableContents"/>
              <w:bidi w:val="0"/>
              <w:spacing w:before="0" w:after="0"/>
              <w:ind w:left="0" w:right="0" w:hanging="0"/>
              <w:jc w:val="left"/>
              <w:rPr/>
            </w:pPr>
            <w:r>
              <w:rPr/>
              <w:t>​</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 options</w:t>
            </w:r>
          </w:p>
        </w:tc>
        <w:tc>
          <w:tcPr>
            <w:tcW w:w="109" w:type="dxa"/>
            <w:tcBorders/>
            <w:vAlign w:val="center"/>
          </w:tcPr>
          <w:p>
            <w:pPr>
              <w:pStyle w:val="TableContents"/>
              <w:bidi w:val="0"/>
              <w:spacing w:before="0" w:after="0"/>
              <w:ind w:left="0" w:right="0" w:hanging="0"/>
              <w:jc w:val="left"/>
              <w:rPr/>
            </w:pPr>
            <w:r>
              <w:rPr/>
              <w:t>​</w:t>
            </w:r>
          </w:p>
        </w:tc>
        <w:tc>
          <w:tcPr>
            <w:tcW w:w="2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w:t>
            </w:r>
          </w:p>
        </w:tc>
        <w:tc>
          <w:tcPr>
            <w:tcW w:w="439" w:type="dxa"/>
            <w:tcBorders/>
            <w:vAlign w:val="center"/>
          </w:tcPr>
          <w:p>
            <w:pPr>
              <w:pStyle w:val="TableContents"/>
              <w:bidi w:val="0"/>
              <w:spacing w:before="0" w:after="0"/>
              <w:ind w:left="0" w:right="0" w:hanging="0"/>
              <w:jc w:val="left"/>
              <w:rPr/>
            </w:pPr>
            <w:r>
              <w:rPr/>
              <w:t>​</w:t>
            </w:r>
          </w:p>
        </w:tc>
        <w:tc>
          <w:tcPr>
            <w:tcW w:w="2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2,606</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RSUs</w:t>
            </w:r>
          </w:p>
        </w:tc>
        <w:tc>
          <w:tcPr>
            <w:tcW w:w="109"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left"/>
              <w:rPr/>
            </w:pPr>
            <w:r>
              <w:rPr/>
              <w:t> </w:t>
            </w:r>
          </w:p>
        </w:tc>
        <w:tc>
          <w:tcPr>
            <w:tcW w:w="9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19,353</w:t>
            </w:r>
          </w:p>
        </w:tc>
        <w:tc>
          <w:tcPr>
            <w:tcW w:w="439"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left"/>
              <w:rPr/>
            </w:pPr>
            <w:r>
              <w:rPr/>
              <w:t> </w:t>
            </w:r>
          </w:p>
        </w:tc>
        <w:tc>
          <w:tcPr>
            <w:tcW w:w="10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13,003</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RSAs</w:t>
            </w:r>
          </w:p>
        </w:tc>
        <w:tc>
          <w:tcPr>
            <w:tcW w:w="109" w:type="dxa"/>
            <w:tcBorders/>
            <w:vAlign w:val="center"/>
          </w:tcPr>
          <w:p>
            <w:pPr>
              <w:pStyle w:val="TableContents"/>
              <w:bidi w:val="0"/>
              <w:spacing w:before="0" w:after="0"/>
              <w:ind w:left="0" w:right="0" w:hanging="0"/>
              <w:jc w:val="left"/>
              <w:rPr/>
            </w:pPr>
            <w:r>
              <w:rPr/>
              <w:t>​</w:t>
            </w:r>
          </w:p>
        </w:tc>
        <w:tc>
          <w:tcPr>
            <w:tcW w:w="284" w:type="dxa"/>
            <w:tcBorders/>
            <w:vAlign w:val="center"/>
          </w:tcPr>
          <w:p>
            <w:pPr>
              <w:pStyle w:val="TableContents"/>
              <w:bidi w:val="0"/>
              <w:spacing w:before="0" w:after="0"/>
              <w:ind w:left="0" w:right="0" w:hanging="0"/>
              <w:jc w:val="left"/>
              <w:rPr/>
            </w:pPr>
            <w:r>
              <w:rPr/>
              <w:t>​</w:t>
            </w:r>
          </w:p>
        </w:tc>
        <w:tc>
          <w:tcPr>
            <w:tcW w:w="9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w:t>
            </w:r>
          </w:p>
        </w:tc>
        <w:tc>
          <w:tcPr>
            <w:tcW w:w="439" w:type="dxa"/>
            <w:tcBorders/>
            <w:vAlign w:val="center"/>
          </w:tcPr>
          <w:p>
            <w:pPr>
              <w:pStyle w:val="TableContents"/>
              <w:bidi w:val="0"/>
              <w:spacing w:before="0" w:after="0"/>
              <w:ind w:left="0" w:right="0" w:hanging="0"/>
              <w:jc w:val="left"/>
              <w:rPr/>
            </w:pPr>
            <w:r>
              <w:rPr/>
              <w:t>​</w:t>
            </w:r>
          </w:p>
        </w:tc>
        <w:tc>
          <w:tcPr>
            <w:tcW w:w="284"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490</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PSUs</w:t>
            </w:r>
          </w:p>
        </w:tc>
        <w:tc>
          <w:tcPr>
            <w:tcW w:w="109"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left"/>
              <w:rPr/>
            </w:pPr>
            <w:r>
              <w:rPr/>
              <w:t>​</w:t>
            </w:r>
          </w:p>
        </w:tc>
        <w:tc>
          <w:tcPr>
            <w:tcW w:w="9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830</w:t>
            </w:r>
          </w:p>
        </w:tc>
        <w:tc>
          <w:tcPr>
            <w:tcW w:w="439"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left"/>
              <w:rPr/>
            </w:pPr>
            <w:r>
              <w:rPr/>
              <w:t>​</w:t>
            </w:r>
          </w:p>
        </w:tc>
        <w:tc>
          <w:tcPr>
            <w:tcW w:w="1066" w:type="dxa"/>
            <w:tcBorders/>
            <w:shd w:fill="CCEEFF" w:val="clear"/>
            <w:vAlign w:val="center"/>
          </w:tcPr>
          <w:p>
            <w:pPr>
              <w:pStyle w:val="TableContents"/>
              <w:bidi w:val="0"/>
              <w:spacing w:before="0" w:after="0"/>
              <w:ind w:left="0" w:right="0" w:hanging="0"/>
              <w:jc w:val="right"/>
              <w:rPr/>
            </w:pPr>
            <w:r>
              <w:rPr/>
              <w:t>—</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ESPP</w:t>
            </w:r>
          </w:p>
        </w:tc>
        <w:tc>
          <w:tcPr>
            <w:tcW w:w="109" w:type="dxa"/>
            <w:tcBorders/>
            <w:vAlign w:val="center"/>
          </w:tcPr>
          <w:p>
            <w:pPr>
              <w:pStyle w:val="TableContents"/>
              <w:bidi w:val="0"/>
              <w:spacing w:before="0" w:after="0"/>
              <w:ind w:left="0" w:right="0" w:hanging="0"/>
              <w:jc w:val="left"/>
              <w:rPr/>
            </w:pPr>
            <w:r>
              <w:rPr/>
              <w:t>​</w:t>
            </w:r>
          </w:p>
        </w:tc>
        <w:tc>
          <w:tcPr>
            <w:tcW w:w="28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w:t>
            </w:r>
          </w:p>
        </w:tc>
        <w:tc>
          <w:tcPr>
            <w:tcW w:w="439" w:type="dxa"/>
            <w:tcBorders/>
            <w:vAlign w:val="center"/>
          </w:tcPr>
          <w:p>
            <w:pPr>
              <w:pStyle w:val="TableContents"/>
              <w:bidi w:val="0"/>
              <w:spacing w:before="0" w:after="0"/>
              <w:ind w:left="0" w:right="0" w:hanging="0"/>
              <w:jc w:val="left"/>
              <w:rPr/>
            </w:pPr>
            <w:r>
              <w:rPr/>
              <w:t>​</w:t>
            </w:r>
          </w:p>
        </w:tc>
        <w:tc>
          <w:tcPr>
            <w:tcW w:w="28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stock-based compensation expense</w:t>
            </w:r>
          </w:p>
        </w:tc>
        <w:tc>
          <w:tcPr>
            <w:tcW w:w="109" w:type="dxa"/>
            <w:tcBorders/>
            <w:shd w:fill="CCEEFF" w:val="clear"/>
            <w:vAlign w:val="center"/>
          </w:tcPr>
          <w:p>
            <w:pPr>
              <w:pStyle w:val="TableContents"/>
              <w:bidi w:val="0"/>
              <w:spacing w:before="0" w:after="0"/>
              <w:ind w:left="0" w:right="0" w:hanging="0"/>
              <w:jc w:val="left"/>
              <w:rPr/>
            </w:pPr>
            <w:r>
              <w:rPr/>
              <w:t>​</w:t>
            </w:r>
          </w:p>
        </w:tc>
        <w:tc>
          <w:tcPr>
            <w:tcW w:w="28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21,044</w:t>
            </w:r>
          </w:p>
        </w:tc>
        <w:tc>
          <w:tcPr>
            <w:tcW w:w="439" w:type="dxa"/>
            <w:tcBorders/>
            <w:shd w:fill="CCEEFF" w:val="clear"/>
            <w:vAlign w:val="center"/>
          </w:tcPr>
          <w:p>
            <w:pPr>
              <w:pStyle w:val="TableContents"/>
              <w:bidi w:val="0"/>
              <w:spacing w:before="0" w:after="0"/>
              <w:ind w:left="0" w:right="0" w:hanging="0"/>
              <w:jc w:val="left"/>
              <w:rPr/>
            </w:pPr>
            <w:r>
              <w:rPr/>
              <w:t>​</w:t>
            </w:r>
          </w:p>
        </w:tc>
        <w:tc>
          <w:tcPr>
            <w:tcW w:w="28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6"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16,324</w:t>
            </w:r>
          </w:p>
        </w:tc>
      </w:tr>
    </w:tbl>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Company recognized stock-based compensation expense in the condensed consolidated statements of comprehensive income (loss) as follows: </w:t>
      </w:r>
    </w:p>
    <w:p>
      <w:pPr>
        <w:pStyle w:val="TextBody"/>
        <w:bidi w:val="0"/>
        <w:spacing w:before="0" w:after="0"/>
        <w:ind w:left="0" w:right="0" w:hanging="0"/>
        <w:jc w:val="left"/>
        <w:rPr/>
      </w:pPr>
      <w:r>
        <w:rPr/>
        <w:t>​</w:t>
      </w:r>
    </w:p>
    <w:tbl>
      <w:tblPr>
        <w:tblW w:w="6544" w:type="dxa"/>
        <w:jc w:val="left"/>
        <w:tblInd w:w="0" w:type="dxa"/>
        <w:tblLayout w:type="fixed"/>
        <w:tblCellMar>
          <w:top w:w="0" w:type="dxa"/>
          <w:left w:w="0" w:type="dxa"/>
          <w:bottom w:w="0" w:type="dxa"/>
          <w:right w:w="0" w:type="dxa"/>
        </w:tblCellMar>
      </w:tblPr>
      <w:tblGrid>
        <w:gridCol w:w="3451"/>
        <w:gridCol w:w="109"/>
        <w:gridCol w:w="284"/>
        <w:gridCol w:w="911"/>
        <w:gridCol w:w="439"/>
        <w:gridCol w:w="284"/>
        <w:gridCol w:w="1066"/>
      </w:tblGrid>
      <w:tr>
        <w:trPr/>
        <w:tc>
          <w:tcPr>
            <w:tcW w:w="3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2191385" cy="175260"/>
                      <wp:effectExtent l="0" t="0" r="0" b="0"/>
                      <wp:wrapNone/>
                      <wp:docPr id="297" name="Frame297"/>
                      <a:graphic xmlns:a="http://schemas.openxmlformats.org/drawingml/2006/main">
                        <a:graphicData uri="http://schemas.microsoft.com/office/word/2010/wordprocessingShape">
                          <wps:wsp>
                            <wps:cNvSpPr txBox="1"/>
                            <wps:spPr>
                              <a:xfrm>
                                <a:off x="0" y="0"/>
                                <a:ext cx="2191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69215" cy="175260"/>
                      <wp:effectExtent l="0" t="0" r="0" b="0"/>
                      <wp:wrapNone/>
                      <wp:docPr id="298" name="Frame29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180340" cy="175260"/>
                      <wp:effectExtent l="0" t="0" r="0" b="0"/>
                      <wp:wrapNone/>
                      <wp:docPr id="299" name="Frame299"/>
                      <a:graphic xmlns:a="http://schemas.openxmlformats.org/drawingml/2006/main">
                        <a:graphicData uri="http://schemas.microsoft.com/office/word/2010/wordprocessingShape">
                          <wps:wsp>
                            <wps:cNvSpPr txBox="1"/>
                            <wps:spPr>
                              <a:xfrm>
                                <a:off x="0" y="0"/>
                                <a:ext cx="180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578485" cy="175260"/>
                      <wp:effectExtent l="0" t="0" r="0" b="0"/>
                      <wp:wrapNone/>
                      <wp:docPr id="300" name="Frame300"/>
                      <a:graphic xmlns:a="http://schemas.openxmlformats.org/drawingml/2006/main">
                        <a:graphicData uri="http://schemas.microsoft.com/office/word/2010/wordprocessingShape">
                          <wps:wsp>
                            <wps:cNvSpPr txBox="1"/>
                            <wps:spPr>
                              <a:xfrm>
                                <a:off x="0" y="0"/>
                                <a:ext cx="578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278765" cy="175260"/>
                      <wp:effectExtent l="0" t="0" r="0" b="0"/>
                      <wp:wrapNone/>
                      <wp:docPr id="301" name="Frame301"/>
                      <a:graphic xmlns:a="http://schemas.openxmlformats.org/drawingml/2006/main">
                        <a:graphicData uri="http://schemas.microsoft.com/office/word/2010/wordprocessingShape">
                          <wps:wsp>
                            <wps:cNvSpPr txBox="1"/>
                            <wps:spPr>
                              <a:xfrm>
                                <a:off x="0" y="0"/>
                                <a:ext cx="278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180340" cy="175260"/>
                      <wp:effectExtent l="0" t="0" r="0" b="0"/>
                      <wp:wrapNone/>
                      <wp:docPr id="302" name="Frame302"/>
                      <a:graphic xmlns:a="http://schemas.openxmlformats.org/drawingml/2006/main">
                        <a:graphicData uri="http://schemas.microsoft.com/office/word/2010/wordprocessingShape">
                          <wps:wsp>
                            <wps:cNvSpPr txBox="1"/>
                            <wps:spPr>
                              <a:xfrm>
                                <a:off x="0" y="0"/>
                                <a:ext cx="180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676910" cy="175260"/>
                      <wp:effectExtent l="0" t="0" r="0" b="0"/>
                      <wp:wrapNone/>
                      <wp:docPr id="303" name="Frame303"/>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98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three months ended March 31, </w:t>
            </w:r>
          </w:p>
        </w:tc>
      </w:tr>
      <w:tr>
        <w:trPr/>
        <w:tc>
          <w:tcPr>
            <w:tcW w:w="34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39" w:type="dxa"/>
            <w:tcBorders/>
            <w:vAlign w:val="center"/>
          </w:tcPr>
          <w:p>
            <w:pPr>
              <w:pStyle w:val="TableContents"/>
              <w:bidi w:val="0"/>
              <w:spacing w:before="0" w:after="0"/>
              <w:ind w:left="0" w:right="0" w:hanging="0"/>
              <w:jc w:val="left"/>
              <w:rPr/>
            </w:pPr>
            <w:r>
              <w:rPr/>
              <w:t>    </w:t>
            </w:r>
          </w:p>
        </w:tc>
        <w:tc>
          <w:tcPr>
            <w:tcW w:w="13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6544"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34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984"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109"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center"/>
              <w:rPr/>
            </w:pPr>
            <w:r>
              <w:rPr/>
              <w:t>​</w:t>
            </w:r>
          </w:p>
        </w:tc>
        <w:tc>
          <w:tcPr>
            <w:tcW w:w="911" w:type="dxa"/>
            <w:tcBorders/>
            <w:shd w:fill="CCEEFF" w:val="clear"/>
            <w:vAlign w:val="center"/>
          </w:tcPr>
          <w:p>
            <w:pPr>
              <w:pStyle w:val="TableContents"/>
              <w:bidi w:val="0"/>
              <w:spacing w:before="0" w:after="0"/>
              <w:ind w:left="0" w:right="0" w:hanging="0"/>
              <w:jc w:val="center"/>
              <w:rPr/>
            </w:pPr>
            <w:r>
              <w:rPr/>
              <w:t>​</w:t>
            </w:r>
          </w:p>
        </w:tc>
        <w:tc>
          <w:tcPr>
            <w:tcW w:w="439" w:type="dxa"/>
            <w:tcBorders/>
            <w:shd w:fill="CCEEFF" w:val="clear"/>
            <w:vAlign w:val="center"/>
          </w:tcPr>
          <w:p>
            <w:pPr>
              <w:pStyle w:val="TableContents"/>
              <w:bidi w:val="0"/>
              <w:spacing w:before="0" w:after="0"/>
              <w:ind w:left="0" w:right="0" w:hanging="0"/>
              <w:jc w:val="center"/>
              <w:rPr/>
            </w:pPr>
            <w:r>
              <w:rPr/>
              <w:t>​</w:t>
            </w:r>
          </w:p>
        </w:tc>
        <w:tc>
          <w:tcPr>
            <w:tcW w:w="284" w:type="dxa"/>
            <w:tcBorders/>
            <w:shd w:fill="CCEEFF" w:val="clear"/>
            <w:vAlign w:val="center"/>
          </w:tcPr>
          <w:p>
            <w:pPr>
              <w:pStyle w:val="TableContents"/>
              <w:bidi w:val="0"/>
              <w:spacing w:before="0" w:after="0"/>
              <w:ind w:left="0" w:right="0" w:hanging="0"/>
              <w:jc w:val="center"/>
              <w:rPr/>
            </w:pPr>
            <w:r>
              <w:rPr/>
              <w:t>​</w:t>
            </w:r>
          </w:p>
        </w:tc>
        <w:tc>
          <w:tcPr>
            <w:tcW w:w="1066" w:type="dxa"/>
            <w:tcBorders/>
            <w:shd w:fill="CCEEFF" w:val="clear"/>
            <w:vAlign w:val="center"/>
          </w:tcPr>
          <w:p>
            <w:pPr>
              <w:pStyle w:val="TableContents"/>
              <w:bidi w:val="0"/>
              <w:spacing w:before="0" w:after="0"/>
              <w:ind w:left="0" w:right="0" w:hanging="0"/>
              <w:jc w:val="center"/>
              <w:rPr/>
            </w:pPr>
            <w:r>
              <w:rPr/>
              <w:t>​</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revenues, software subscriptions</w:t>
            </w:r>
          </w:p>
        </w:tc>
        <w:tc>
          <w:tcPr>
            <w:tcW w:w="109" w:type="dxa"/>
            <w:tcBorders/>
            <w:vAlign w:val="center"/>
          </w:tcPr>
          <w:p>
            <w:pPr>
              <w:pStyle w:val="TableContents"/>
              <w:bidi w:val="0"/>
              <w:spacing w:before="0" w:after="0"/>
              <w:ind w:left="0" w:right="0" w:hanging="0"/>
              <w:jc w:val="left"/>
              <w:rPr/>
            </w:pPr>
            <w:r>
              <w:rPr/>
              <w:t>​</w:t>
            </w:r>
          </w:p>
        </w:tc>
        <w:tc>
          <w:tcPr>
            <w:tcW w:w="2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2,227</w:t>
            </w:r>
          </w:p>
        </w:tc>
        <w:tc>
          <w:tcPr>
            <w:tcW w:w="439" w:type="dxa"/>
            <w:tcBorders/>
            <w:vAlign w:val="center"/>
          </w:tcPr>
          <w:p>
            <w:pPr>
              <w:pStyle w:val="TableContents"/>
              <w:bidi w:val="0"/>
              <w:spacing w:before="0" w:after="0"/>
              <w:ind w:left="0" w:right="0" w:hanging="0"/>
              <w:jc w:val="left"/>
              <w:rPr/>
            </w:pPr>
            <w:r>
              <w:rPr/>
              <w:t>​</w:t>
            </w:r>
          </w:p>
        </w:tc>
        <w:tc>
          <w:tcPr>
            <w:tcW w:w="2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1,590</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revenues, services</w:t>
            </w:r>
          </w:p>
        </w:tc>
        <w:tc>
          <w:tcPr>
            <w:tcW w:w="109"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left"/>
              <w:rPr/>
            </w:pPr>
            <w:r>
              <w:rPr/>
              <w:t> </w:t>
            </w:r>
          </w:p>
        </w:tc>
        <w:tc>
          <w:tcPr>
            <w:tcW w:w="9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1,696</w:t>
            </w:r>
          </w:p>
        </w:tc>
        <w:tc>
          <w:tcPr>
            <w:tcW w:w="439"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left"/>
              <w:rPr/>
            </w:pPr>
            <w:r>
              <w:rPr/>
              <w:t> </w:t>
            </w:r>
          </w:p>
        </w:tc>
        <w:tc>
          <w:tcPr>
            <w:tcW w:w="10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1,006</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109" w:type="dxa"/>
            <w:tcBorders/>
            <w:vAlign w:val="center"/>
          </w:tcPr>
          <w:p>
            <w:pPr>
              <w:pStyle w:val="TableContents"/>
              <w:bidi w:val="0"/>
              <w:spacing w:before="0" w:after="0"/>
              <w:ind w:left="0" w:right="0" w:hanging="0"/>
              <w:jc w:val="left"/>
              <w:rPr/>
            </w:pPr>
            <w:r>
              <w:rPr/>
              <w:t>​</w:t>
            </w:r>
          </w:p>
        </w:tc>
        <w:tc>
          <w:tcPr>
            <w:tcW w:w="284" w:type="dxa"/>
            <w:tcBorders/>
            <w:vAlign w:val="center"/>
          </w:tcPr>
          <w:p>
            <w:pPr>
              <w:pStyle w:val="TableContents"/>
              <w:bidi w:val="0"/>
              <w:spacing w:before="0" w:after="0"/>
              <w:ind w:left="0" w:right="0" w:hanging="0"/>
              <w:jc w:val="left"/>
              <w:rPr/>
            </w:pPr>
            <w:r>
              <w:rPr/>
              <w:t> </w:t>
            </w:r>
          </w:p>
        </w:tc>
        <w:tc>
          <w:tcPr>
            <w:tcW w:w="9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4,352</w:t>
            </w:r>
          </w:p>
        </w:tc>
        <w:tc>
          <w:tcPr>
            <w:tcW w:w="439" w:type="dxa"/>
            <w:tcBorders/>
            <w:vAlign w:val="center"/>
          </w:tcPr>
          <w:p>
            <w:pPr>
              <w:pStyle w:val="TableContents"/>
              <w:bidi w:val="0"/>
              <w:spacing w:before="0" w:after="0"/>
              <w:ind w:left="0" w:right="0" w:hanging="0"/>
              <w:jc w:val="left"/>
              <w:rPr/>
            </w:pPr>
            <w:r>
              <w:rPr/>
              <w:t>​</w:t>
            </w:r>
          </w:p>
        </w:tc>
        <w:tc>
          <w:tcPr>
            <w:tcW w:w="284"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3,373</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and marketing</w:t>
            </w:r>
          </w:p>
        </w:tc>
        <w:tc>
          <w:tcPr>
            <w:tcW w:w="109"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left"/>
              <w:rPr/>
            </w:pPr>
            <w:r>
              <w:rPr/>
              <w:t> </w:t>
            </w:r>
          </w:p>
        </w:tc>
        <w:tc>
          <w:tcPr>
            <w:tcW w:w="9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5,806</w:t>
            </w:r>
          </w:p>
        </w:tc>
        <w:tc>
          <w:tcPr>
            <w:tcW w:w="439"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left"/>
              <w:rPr/>
            </w:pPr>
            <w:r>
              <w:rPr/>
              <w:t> </w:t>
            </w:r>
          </w:p>
        </w:tc>
        <w:tc>
          <w:tcPr>
            <w:tcW w:w="10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4,222</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109" w:type="dxa"/>
            <w:tcBorders/>
            <w:vAlign w:val="center"/>
          </w:tcPr>
          <w:p>
            <w:pPr>
              <w:pStyle w:val="TableContents"/>
              <w:bidi w:val="0"/>
              <w:spacing w:before="0" w:after="0"/>
              <w:ind w:left="0" w:right="0" w:hanging="0"/>
              <w:jc w:val="left"/>
              <w:rPr/>
            </w:pPr>
            <w:r>
              <w:rPr/>
              <w:t>​</w:t>
            </w:r>
          </w:p>
        </w:tc>
        <w:tc>
          <w:tcPr>
            <w:tcW w:w="28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6,963</w:t>
            </w:r>
          </w:p>
        </w:tc>
        <w:tc>
          <w:tcPr>
            <w:tcW w:w="439" w:type="dxa"/>
            <w:tcBorders/>
            <w:vAlign w:val="center"/>
          </w:tcPr>
          <w:p>
            <w:pPr>
              <w:pStyle w:val="TableContents"/>
              <w:bidi w:val="0"/>
              <w:spacing w:before="0" w:after="0"/>
              <w:ind w:left="0" w:right="0" w:hanging="0"/>
              <w:jc w:val="left"/>
              <w:rPr/>
            </w:pPr>
            <w:r>
              <w:rPr/>
              <w:t>​</w:t>
            </w:r>
          </w:p>
        </w:tc>
        <w:tc>
          <w:tcPr>
            <w:tcW w:w="28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6,133</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stock-based compensation expense</w:t>
            </w:r>
          </w:p>
        </w:tc>
        <w:tc>
          <w:tcPr>
            <w:tcW w:w="109" w:type="dxa"/>
            <w:tcBorders/>
            <w:shd w:fill="CCEEFF" w:val="clear"/>
            <w:vAlign w:val="center"/>
          </w:tcPr>
          <w:p>
            <w:pPr>
              <w:pStyle w:val="TableContents"/>
              <w:bidi w:val="0"/>
              <w:spacing w:before="0" w:after="0"/>
              <w:ind w:left="0" w:right="0" w:hanging="0"/>
              <w:jc w:val="left"/>
              <w:rPr/>
            </w:pPr>
            <w:r>
              <w:rPr/>
              <w:t>​</w:t>
            </w:r>
          </w:p>
        </w:tc>
        <w:tc>
          <w:tcPr>
            <w:tcW w:w="28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21,044</w:t>
            </w:r>
          </w:p>
        </w:tc>
        <w:tc>
          <w:tcPr>
            <w:tcW w:w="439" w:type="dxa"/>
            <w:tcBorders/>
            <w:shd w:fill="CCEEFF" w:val="clear"/>
            <w:vAlign w:val="center"/>
          </w:tcPr>
          <w:p>
            <w:pPr>
              <w:pStyle w:val="TableContents"/>
              <w:bidi w:val="0"/>
              <w:spacing w:before="0" w:after="0"/>
              <w:ind w:left="0" w:right="0" w:hanging="0"/>
              <w:jc w:val="left"/>
              <w:rPr/>
            </w:pPr>
            <w:r>
              <w:rPr/>
              <w:t>​</w:t>
            </w:r>
          </w:p>
        </w:tc>
        <w:tc>
          <w:tcPr>
            <w:tcW w:w="28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6"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16,324</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646" w:type="dxa"/>
        <w:jc w:val="left"/>
        <w:tblInd w:w="0" w:type="dxa"/>
        <w:tblLayout w:type="fixed"/>
        <w:tblCellMar>
          <w:top w:w="0" w:type="dxa"/>
          <w:left w:w="0" w:type="dxa"/>
          <w:bottom w:w="0" w:type="dxa"/>
          <w:right w:w="0" w:type="dxa"/>
        </w:tblCellMar>
      </w:tblPr>
      <w:tblGrid>
        <w:gridCol w:w="6646"/>
      </w:tblGrid>
      <w:tr>
        <w:trPr/>
        <w:tc>
          <w:tcPr>
            <w:tcW w:w="6646" w:type="dxa"/>
            <w:tcBorders/>
            <w:vAlign w:val="center"/>
          </w:tcPr>
          <w:p>
            <w:pPr>
              <w:pStyle w:val="TableContents"/>
              <w:bidi w:val="0"/>
              <w:spacing w:before="0" w:after="283"/>
              <w:ind w:left="0" w:right="0" w:hanging="0"/>
              <w:jc w:val="left"/>
              <w:rPr>
                <w:sz w:val="4"/>
                <w:szCs w:val="4"/>
              </w:rPr>
            </w:pPr>
            <w:r>
              <w:rPr>
                <w:sz w:val="4"/>
                <w:szCs w:val="4"/>
              </w:rPr>
            </w:r>
          </w:p>
        </w:tc>
      </w:tr>
      <w:tr>
        <w:trPr/>
        <w:tc>
          <w:tcPr>
            <w:tcW w:w="66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Vertex, Inc. and Subsidiaries</w:t>
            </w:r>
          </w:p>
        </w:tc>
      </w:tr>
      <w:tr>
        <w:trPr/>
        <w:tc>
          <w:tcPr>
            <w:tcW w:w="66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Condensed Consolidated Financial Statements (unaudited) continued</w:t>
            </w:r>
          </w:p>
        </w:tc>
      </w:tr>
      <w:tr>
        <w:trPr/>
        <w:tc>
          <w:tcPr>
            <w:tcW w:w="66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(Amounts in thousands, except per share data) </w:t>
            </w:r>
          </w:p>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11.   COMMITMENTS AND CONTINGENCIES</w:t>
      </w:r>
      <w:r>
        <w:rPr>
          <w:rFonts w:ascii="Times New Roman;Times;serif" w:hAnsi="Times New Roman;Times;serif"/>
          <w:b/>
          <w:color w:val="FF0000"/>
          <w:sz w:val="20"/>
        </w:rPr>
        <w:t xml:space="preserve">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January 2022, the Company filed a complaint against a competitor alleging claims of unfair competition, intentional interference with contractual relations, and trade secret misappropriation. The outcome of the case is subject to a number of uncertainties; therefore, the Company has not recognized any potential impact to the condensed consolidated financial statements related to the outcome of the case. During the three months ended March 31, 2025, the Company recognized $2,425 for legal expenses associated with the case within the other operating expense (income), net line of the condensed consolidated statements of income (loss).</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may become involved in various lawsuits and legal proceedings, which arise in the ordinary course of business. However, litigation is subject to inherent uncertainties, and an adverse result in these or other matters may arise from time to time that may harm the Company’s business. The Company is not aware of any such legal proceedings or claims that management believes will have a material adverse effect on its business, financial condition, or operating results.</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12.   SEGMENT DISCLOSURES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Company operates its business as one operating segment. Operating segments are defined as components of an enterprise in which separate financial information is evaluated regularly by the chief operating decision maker (“CODM”) in deciding how to allocate resources and assess performance. The Company’s CODM, the Chief Executive Officer, reviews financial information regularly at the consolidated level. Net income (loss) and adjusted earnings before interest, taxes, depreciation, and amortization (“Adjusted EBITDA”), a non-GAAP measure, are both used as metrics to evaluate performance of the business in deciding whether to reinvest profits into software development, acquisitions or into other areas of the Company. The Company believes that Adjusted EBITDA is a useful supplemental measure to evaluate overall operating performance as it measures business performance by focusing on cash related results and it is an important metric to lenders under the Company’s Credit Agreement. The most directly comparable GAAP measure to Adjusted EBITDA is net income (loss). </w:t>
      </w:r>
    </w:p>
    <w:p>
      <w:pPr>
        <w:pStyle w:val="TextBody"/>
        <w:bidi w:val="0"/>
        <w:spacing w:before="0" w:after="240"/>
        <w:ind w:left="0" w:right="0" w:firstLine="72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CODM monitors consolidated forecasted versus actual net income (loss) and Adjusted EBITDA results for the purpose of determining the general health of the Company and assessing the performance of the Company as compared to management’s expectations.</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646" w:type="dxa"/>
        <w:jc w:val="left"/>
        <w:tblInd w:w="0" w:type="dxa"/>
        <w:tblLayout w:type="fixed"/>
        <w:tblCellMar>
          <w:top w:w="0" w:type="dxa"/>
          <w:left w:w="0" w:type="dxa"/>
          <w:bottom w:w="0" w:type="dxa"/>
          <w:right w:w="0" w:type="dxa"/>
        </w:tblCellMar>
      </w:tblPr>
      <w:tblGrid>
        <w:gridCol w:w="6646"/>
      </w:tblGrid>
      <w:tr>
        <w:trPr/>
        <w:tc>
          <w:tcPr>
            <w:tcW w:w="6646" w:type="dxa"/>
            <w:tcBorders/>
            <w:vAlign w:val="center"/>
          </w:tcPr>
          <w:p>
            <w:pPr>
              <w:pStyle w:val="TableContents"/>
              <w:bidi w:val="0"/>
              <w:spacing w:before="0" w:after="283"/>
              <w:ind w:left="0" w:right="0" w:hanging="0"/>
              <w:jc w:val="left"/>
              <w:rPr>
                <w:sz w:val="4"/>
                <w:szCs w:val="4"/>
              </w:rPr>
            </w:pPr>
            <w:r>
              <w:rPr>
                <w:sz w:val="4"/>
                <w:szCs w:val="4"/>
              </w:rPr>
            </w:r>
          </w:p>
        </w:tc>
      </w:tr>
      <w:tr>
        <w:trPr/>
        <w:tc>
          <w:tcPr>
            <w:tcW w:w="66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Vertex, Inc. and Subsidiaries</w:t>
            </w:r>
          </w:p>
        </w:tc>
      </w:tr>
      <w:tr>
        <w:trPr/>
        <w:tc>
          <w:tcPr>
            <w:tcW w:w="66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Condensed Consolidated Financial Statements (unaudited) continued</w:t>
            </w:r>
          </w:p>
        </w:tc>
      </w:tr>
      <w:tr>
        <w:trPr/>
        <w:tc>
          <w:tcPr>
            <w:tcW w:w="66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(Amounts in thousands, except per share data) </w:t>
            </w:r>
          </w:p>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bookmarkStart w:id="1319" w:name="Tc_GMFP2fX86USGJ0Zu2ahttQ_31_0"/>
      <w:bookmarkStart w:id="1320" w:name="Tc_BHJS9FZ0UEiyE3fAiNGcBg_30_4"/>
      <w:bookmarkStart w:id="1321" w:name="Tc_lbCwVVZ6rkuI6_vBPcz1oQ_30_1"/>
      <w:bookmarkStart w:id="1322" w:name="Tc_vBu0VeVzh02__gi4PkbGlQ_30_0"/>
      <w:bookmarkStart w:id="1323" w:name="Tc_6yjjHYSnxUuwey24zEdAtA_29_5"/>
      <w:bookmarkStart w:id="1324" w:name="Tc_kfRaggsLdEC9xdS__dFmEA_29_0"/>
      <w:bookmarkStart w:id="1325" w:name="Tc__J0lpxDUa0Cuea4DBi2LJA_28_5"/>
      <w:bookmarkStart w:id="1326" w:name="Tc_-mITHY7w20SZda_dzY8YGg_28_0"/>
      <w:bookmarkStart w:id="1327" w:name="Tc_waTJD5JxvkmAaV270ULGvw_27_2"/>
      <w:bookmarkStart w:id="1328" w:name="Tc_fikJRnxKNkWFI7yRJyr-cQ_27_0"/>
      <w:bookmarkStart w:id="1329" w:name="Tc_YUTsnTVKpUuyMsqN-z5u9A_26_0"/>
      <w:bookmarkStart w:id="1330" w:name="Tc_TmWq3nPzGkG4zZE0n7D5FQ_25_0"/>
      <w:bookmarkStart w:id="1331" w:name="Tc_I4TJ9T9mKkqLHEGu7YKewQ_24_0"/>
      <w:bookmarkStart w:id="1332" w:name="Tc_AWpfd1jz5UiYeDgdL8qCaQ_23_0"/>
      <w:bookmarkStart w:id="1333" w:name="Tc_Zr0yU-99_0uwYNoZ4qZS1g_22_0"/>
      <w:bookmarkStart w:id="1334" w:name="Tc_P7RsUkTpokOtHYg03t6BBg_21_0"/>
      <w:bookmarkStart w:id="1335" w:name="Tc_7BLZnzojOkeV2MK6L4ny_w_20_0"/>
      <w:bookmarkStart w:id="1336" w:name="Tc_Yn0c7gGcpE6SvD5-mKhi2w_19_0"/>
      <w:bookmarkStart w:id="1337" w:name="Tc_mv7_cipokkaq6iivZAgcgQ_18_0"/>
      <w:bookmarkStart w:id="1338" w:name="Tc_SFiNE7_gV0uR3KY_tbL9BQ_17_4"/>
      <w:bookmarkStart w:id="1339" w:name="Tc_bjCIV2K1j02B0J0E8WffDA_17_1"/>
      <w:bookmarkStart w:id="1340" w:name="Tc_Up1Y3iu8ykCcfZk_vGUvbw_17_0"/>
      <w:bookmarkStart w:id="1341" w:name="Tc_kvxRDWUajUKNsTvWALQERw_16_0"/>
      <w:bookmarkStart w:id="1342" w:name="Tc_dQVrmNqES0GBXxPj6P526g_15_0"/>
      <w:bookmarkStart w:id="1343" w:name="Tc_tyHIWva_DEuJ7y-9pMQfSg_14_0"/>
      <w:bookmarkStart w:id="1344" w:name="Tc_mBqmK4duDEa_HxEsyr_9WQ_13_5"/>
      <w:bookmarkStart w:id="1345" w:name="Tc_Bk209oNBZ0Owdohfqd1w0g_13_0"/>
      <w:bookmarkStart w:id="1346" w:name="Tc_6qUJ8fFS2k-QX_Otzm5kCQ_12_0"/>
      <w:bookmarkStart w:id="1347" w:name="Tc_nN9edjI5BkCHZaE0HIVobQ_11_0"/>
      <w:bookmarkStart w:id="1348" w:name="Tc_U9LTLLvVd0CCjKratMw2ew_10_0"/>
      <w:bookmarkStart w:id="1349" w:name="Tc_-FGht6ytqkG2E1kj9QSh-A_9_0"/>
      <w:bookmarkStart w:id="1350" w:name="Tc_uVzJzEq8Vky6iFtscLi5sA_8_0"/>
      <w:bookmarkStart w:id="1351" w:name="Tc_M5YJJJE7lUy9osUr5aZtaA_7_0"/>
      <w:bookmarkStart w:id="1352" w:name="Tc_y-7R1Gy5CkyM9_VGTZTNLA_6_0"/>
      <w:bookmarkStart w:id="1353" w:name="Tc_nHMwJCSahkW1nW4qJbu8ag_5_4"/>
      <w:bookmarkStart w:id="1354" w:name="Tc_jm2r8z2MW0uba_-jukpUMQ_5_1"/>
      <w:bookmarkStart w:id="1355" w:name="Tc_K9NGA5n1RkWeCrPs0KI0fA_5_0"/>
      <w:bookmarkStart w:id="1356" w:name="Tc_WOO2CF3nQUuDzeDJozJ5JA_4_1"/>
      <w:bookmarkStart w:id="1357" w:name="Tc_va-aDxxGKU2rne77dxFCAQ_3_4"/>
      <w:bookmarkStart w:id="1358" w:name="Tc_iYZirS9g0ECUbaZaifykgA_3_1"/>
      <w:bookmarkStart w:id="1359" w:name="Tc_l1J5SEGAG0aKq5_B-Y2Y1A_2_1"/>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r>
        <w:rPr>
          <w:rFonts w:ascii="Times New Roman;Times;serif" w:hAnsi="Times New Roman;Times;serif"/>
          <w:sz w:val="20"/>
        </w:rPr>
        <w:t>The following significant expense categories and measures of segment income (loss) are regularly reported to the CODM for the Company’s single segment: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7440"/>
        <w:gridCol w:w="271"/>
        <w:gridCol w:w="1019"/>
        <w:gridCol w:w="140"/>
        <w:gridCol w:w="271"/>
        <w:gridCol w:w="1064"/>
      </w:tblGrid>
      <w:tr>
        <w:trPr/>
        <w:tc>
          <w:tcPr>
            <w:tcW w:w="74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4724400" cy="175260"/>
                      <wp:effectExtent l="0" t="0" r="0" b="0"/>
                      <wp:wrapNone/>
                      <wp:docPr id="304" name="Frame304"/>
                      <a:graphic xmlns:a="http://schemas.openxmlformats.org/drawingml/2006/main">
                        <a:graphicData uri="http://schemas.microsoft.com/office/word/2010/wordprocessingShape">
                          <wps:wsp>
                            <wps:cNvSpPr txBox="1"/>
                            <wps:spPr>
                              <a:xfrm>
                                <a:off x="0" y="0"/>
                                <a:ext cx="47244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172085" cy="175260"/>
                      <wp:effectExtent l="0" t="0" r="0" b="0"/>
                      <wp:wrapNone/>
                      <wp:docPr id="305" name="Frame305"/>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647065" cy="175260"/>
                      <wp:effectExtent l="0" t="0" r="0" b="0"/>
                      <wp:wrapNone/>
                      <wp:docPr id="306" name="Frame306"/>
                      <a:graphic xmlns:a="http://schemas.openxmlformats.org/drawingml/2006/main">
                        <a:graphicData uri="http://schemas.microsoft.com/office/word/2010/wordprocessingShape">
                          <wps:wsp>
                            <wps:cNvSpPr txBox="1"/>
                            <wps:spPr>
                              <a:xfrm>
                                <a:off x="0" y="0"/>
                                <a:ext cx="6470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88900" cy="175260"/>
                      <wp:effectExtent l="0" t="0" r="0" b="0"/>
                      <wp:wrapNone/>
                      <wp:docPr id="307" name="Frame307"/>
                      <a:graphic xmlns:a="http://schemas.openxmlformats.org/drawingml/2006/main">
                        <a:graphicData uri="http://schemas.microsoft.com/office/word/2010/wordprocessingShape">
                          <wps:wsp>
                            <wps:cNvSpPr txBox="1"/>
                            <wps:spPr>
                              <a:xfrm>
                                <a:off x="0" y="0"/>
                                <a:ext cx="889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172085" cy="175260"/>
                      <wp:effectExtent l="0" t="0" r="0" b="0"/>
                      <wp:wrapNone/>
                      <wp:docPr id="308" name="Frame308"/>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675640" cy="175260"/>
                      <wp:effectExtent l="0" t="0" r="0" b="0"/>
                      <wp:wrapNone/>
                      <wp:docPr id="309" name="Frame309"/>
                      <a:graphic xmlns:a="http://schemas.openxmlformats.org/drawingml/2006/main">
                        <a:graphicData uri="http://schemas.microsoft.com/office/word/2010/wordprocessingShape">
                          <wps:wsp>
                            <wps:cNvSpPr txBox="1"/>
                            <wps:spPr>
                              <a:xfrm>
                                <a:off x="0" y="0"/>
                                <a:ext cx="6756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440" w:type="dxa"/>
            <w:tcBorders/>
            <w:vAlign w:val="center"/>
          </w:tcPr>
          <w:p>
            <w:pPr>
              <w:pStyle w:val="TableContents"/>
              <w:bidi w:val="0"/>
              <w:spacing w:before="0" w:after="1"/>
              <w:ind w:left="0" w:right="0" w:hanging="0"/>
              <w:jc w:val="left"/>
              <w:rPr/>
            </w:pPr>
            <w:r>
              <w:rPr/>
              <w:t>​</w:t>
            </w:r>
          </w:p>
        </w:tc>
        <w:tc>
          <w:tcPr>
            <w:tcW w:w="271" w:type="dxa"/>
            <w:tcBorders/>
            <w:vAlign w:val="center"/>
          </w:tcPr>
          <w:p>
            <w:pPr>
              <w:pStyle w:val="TableContents"/>
              <w:bidi w:val="0"/>
              <w:spacing w:before="0" w:after="1"/>
              <w:ind w:left="0" w:right="0" w:hanging="0"/>
              <w:jc w:val="left"/>
              <w:rPr/>
            </w:pPr>
            <w:r>
              <w:rPr/>
              <w:t>​</w:t>
            </w:r>
          </w:p>
        </w:tc>
        <w:tc>
          <w:tcPr>
            <w:tcW w:w="1019" w:type="dxa"/>
            <w:tcBorders/>
            <w:vAlign w:val="center"/>
          </w:tcPr>
          <w:p>
            <w:pPr>
              <w:pStyle w:val="TableContents"/>
              <w:bidi w:val="0"/>
              <w:spacing w:before="0" w:after="1"/>
              <w:ind w:left="0" w:right="0" w:hanging="0"/>
              <w:jc w:val="left"/>
              <w:rPr/>
            </w:pPr>
            <w:r>
              <w:rPr/>
              <w:t>​</w:t>
            </w:r>
          </w:p>
        </w:tc>
        <w:tc>
          <w:tcPr>
            <w:tcW w:w="140" w:type="dxa"/>
            <w:tcBorders/>
            <w:vAlign w:val="center"/>
          </w:tcPr>
          <w:p>
            <w:pPr>
              <w:pStyle w:val="TableContents"/>
              <w:bidi w:val="0"/>
              <w:spacing w:before="0" w:after="1"/>
              <w:ind w:left="0" w:right="0" w:hanging="0"/>
              <w:jc w:val="left"/>
              <w:rPr/>
            </w:pPr>
            <w:r>
              <w:rPr/>
              <w:t>​</w:t>
            </w:r>
          </w:p>
        </w:tc>
        <w:tc>
          <w:tcPr>
            <w:tcW w:w="271" w:type="dxa"/>
            <w:tcBorders/>
            <w:vAlign w:val="center"/>
          </w:tcPr>
          <w:p>
            <w:pPr>
              <w:pStyle w:val="TableContents"/>
              <w:bidi w:val="0"/>
              <w:spacing w:before="0" w:after="1"/>
              <w:ind w:left="0" w:right="0" w:hanging="0"/>
              <w:jc w:val="left"/>
              <w:rPr/>
            </w:pPr>
            <w:r>
              <w:rPr/>
              <w:t>​</w:t>
            </w:r>
          </w:p>
        </w:tc>
        <w:tc>
          <w:tcPr>
            <w:tcW w:w="1064" w:type="dxa"/>
            <w:tcBorders/>
            <w:vAlign w:val="center"/>
          </w:tcPr>
          <w:p>
            <w:pPr>
              <w:pStyle w:val="TableContents"/>
              <w:bidi w:val="0"/>
              <w:spacing w:before="0" w:after="1"/>
              <w:ind w:left="0" w:right="0" w:hanging="0"/>
              <w:jc w:val="left"/>
              <w:rPr/>
            </w:pPr>
            <w:r>
              <w:rPr/>
              <w:t>​</w:t>
            </w:r>
          </w:p>
        </w:tc>
      </w:tr>
      <w:tr>
        <w:trPr/>
        <w:tc>
          <w:tcPr>
            <w:tcW w:w="7440" w:type="dxa"/>
            <w:tcBorders/>
            <w:vAlign w:val="center"/>
          </w:tcPr>
          <w:p>
            <w:pPr>
              <w:pStyle w:val="TableContents"/>
              <w:bidi w:val="0"/>
              <w:spacing w:before="0" w:after="1"/>
              <w:ind w:left="0" w:right="0" w:hanging="0"/>
              <w:jc w:val="left"/>
              <w:rPr/>
            </w:pPr>
            <w:r>
              <w:rPr/>
              <w:t>​</w:t>
            </w:r>
          </w:p>
        </w:tc>
        <w:tc>
          <w:tcPr>
            <w:tcW w:w="276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March 31, </w:t>
            </w:r>
          </w:p>
        </w:tc>
      </w:tr>
      <w:tr>
        <w:trPr/>
        <w:tc>
          <w:tcPr>
            <w:tcW w:w="7440" w:type="dxa"/>
            <w:tcBorders/>
            <w:vAlign w:val="center"/>
          </w:tcPr>
          <w:p>
            <w:pPr>
              <w:pStyle w:val="TableContents"/>
              <w:bidi w:val="0"/>
              <w:spacing w:before="0" w:after="1"/>
              <w:ind w:left="0" w:right="0" w:hanging="0"/>
              <w:jc w:val="left"/>
              <w:rPr/>
            </w:pPr>
            <w:r>
              <w:rPr/>
              <w:t>​</w:t>
            </w:r>
          </w:p>
        </w:tc>
        <w:tc>
          <w:tcPr>
            <w:tcW w:w="129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40" w:type="dxa"/>
            <w:tcBorders/>
            <w:vAlign w:val="center"/>
          </w:tcPr>
          <w:p>
            <w:pPr>
              <w:pStyle w:val="TableContents"/>
              <w:bidi w:val="0"/>
              <w:spacing w:before="0" w:after="1"/>
              <w:ind w:left="0" w:right="0" w:hanging="0"/>
              <w:jc w:val="center"/>
              <w:rPr/>
            </w:pPr>
            <w:r>
              <w:rPr/>
              <w:t>​</w:t>
            </w:r>
          </w:p>
        </w:tc>
        <w:tc>
          <w:tcPr>
            <w:tcW w:w="133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10205" w:type="dxa"/>
            <w:gridSpan w:val="6"/>
            <w:tcBorders/>
            <w:vAlign w:val="center"/>
          </w:tcPr>
          <w:p>
            <w:pPr>
              <w:pStyle w:val="TableContents"/>
              <w:bidi w:val="0"/>
              <w:spacing w:before="0" w:after="283"/>
              <w:ind w:left="0" w:right="0" w:hanging="0"/>
              <w:jc w:val="left"/>
              <w:rPr>
                <w:sz w:val="4"/>
                <w:szCs w:val="4"/>
              </w:rPr>
            </w:pPr>
            <w:r>
              <w:rPr>
                <w:sz w:val="4"/>
                <w:szCs w:val="4"/>
              </w:rPr>
            </w:r>
          </w:p>
        </w:tc>
      </w:tr>
      <w:tr>
        <w:trPr/>
        <w:tc>
          <w:tcPr>
            <w:tcW w:w="7440" w:type="dxa"/>
            <w:tcBorders/>
            <w:vAlign w:val="center"/>
          </w:tcPr>
          <w:p>
            <w:pPr>
              <w:pStyle w:val="TableContents"/>
              <w:bidi w:val="0"/>
              <w:spacing w:before="0" w:after="1"/>
              <w:ind w:left="0" w:right="0" w:hanging="0"/>
              <w:jc w:val="left"/>
              <w:rPr/>
            </w:pPr>
            <w:r>
              <w:rPr/>
              <w:t>​</w:t>
            </w:r>
          </w:p>
        </w:tc>
        <w:tc>
          <w:tcPr>
            <w:tcW w:w="276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r>
      <w:tr>
        <w:trPr/>
        <w:tc>
          <w:tcPr>
            <w:tcW w:w="7440"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Revenues</w:t>
            </w:r>
          </w:p>
        </w:tc>
        <w:tc>
          <w:tcPr>
            <w:tcW w:w="27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101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177,062</w:t>
            </w:r>
          </w:p>
        </w:tc>
        <w:tc>
          <w:tcPr>
            <w:tcW w:w="140" w:type="dxa"/>
            <w:tcBorders/>
            <w:shd w:fill="CCEEFF" w:val="clear"/>
            <w:vAlign w:val="center"/>
          </w:tcPr>
          <w:p>
            <w:pPr>
              <w:pStyle w:val="TableContents"/>
              <w:bidi w:val="0"/>
              <w:spacing w:before="0" w:after="1"/>
              <w:ind w:left="0" w:right="0" w:hanging="0"/>
              <w:jc w:val="right"/>
              <w:rPr/>
            </w:pPr>
            <w:r>
              <w:rPr/>
              <w:t>​</w:t>
            </w:r>
          </w:p>
        </w:tc>
        <w:tc>
          <w:tcPr>
            <w:tcW w:w="27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106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156,781</w:t>
            </w:r>
          </w:p>
        </w:tc>
      </w:tr>
      <w:tr>
        <w:trPr/>
        <w:tc>
          <w:tcPr>
            <w:tcW w:w="7440"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Less:</w:t>
            </w:r>
          </w:p>
        </w:tc>
        <w:tc>
          <w:tcPr>
            <w:tcW w:w="271" w:type="dxa"/>
            <w:tcBorders/>
            <w:vAlign w:val="center"/>
          </w:tcPr>
          <w:p>
            <w:pPr>
              <w:pStyle w:val="TableContents"/>
              <w:bidi w:val="0"/>
              <w:spacing w:before="0" w:after="1"/>
              <w:ind w:left="0" w:right="0" w:hanging="0"/>
              <w:jc w:val="left"/>
              <w:rPr/>
            </w:pPr>
            <w:r>
              <w:rPr/>
              <w:t>​</w:t>
            </w:r>
          </w:p>
        </w:tc>
        <w:tc>
          <w:tcPr>
            <w:tcW w:w="1019" w:type="dxa"/>
            <w:tcBorders/>
            <w:vAlign w:val="center"/>
          </w:tcPr>
          <w:p>
            <w:pPr>
              <w:pStyle w:val="TableContents"/>
              <w:bidi w:val="0"/>
              <w:spacing w:before="0" w:after="1"/>
              <w:ind w:left="0" w:right="0" w:hanging="0"/>
              <w:jc w:val="right"/>
              <w:rPr/>
            </w:pPr>
            <w:r>
              <w:rPr/>
              <w:t>​</w:t>
            </w:r>
          </w:p>
        </w:tc>
        <w:tc>
          <w:tcPr>
            <w:tcW w:w="140" w:type="dxa"/>
            <w:tcBorders/>
            <w:vAlign w:val="center"/>
          </w:tcPr>
          <w:p>
            <w:pPr>
              <w:pStyle w:val="TableContents"/>
              <w:bidi w:val="0"/>
              <w:spacing w:before="0" w:after="1"/>
              <w:ind w:left="0" w:right="0" w:hanging="0"/>
              <w:jc w:val="right"/>
              <w:rPr/>
            </w:pPr>
            <w:r>
              <w:rPr/>
              <w:t>​</w:t>
            </w:r>
          </w:p>
        </w:tc>
        <w:tc>
          <w:tcPr>
            <w:tcW w:w="271" w:type="dxa"/>
            <w:tcBorders/>
            <w:vAlign w:val="center"/>
          </w:tcPr>
          <w:p>
            <w:pPr>
              <w:pStyle w:val="TableContents"/>
              <w:bidi w:val="0"/>
              <w:spacing w:before="0" w:after="1"/>
              <w:ind w:left="0" w:right="0" w:hanging="0"/>
              <w:jc w:val="left"/>
              <w:rPr/>
            </w:pPr>
            <w:r>
              <w:rPr/>
              <w:t>​</w:t>
            </w:r>
          </w:p>
        </w:tc>
        <w:tc>
          <w:tcPr>
            <w:tcW w:w="1064" w:type="dxa"/>
            <w:tcBorders/>
            <w:vAlign w:val="center"/>
          </w:tcPr>
          <w:p>
            <w:pPr>
              <w:pStyle w:val="TableContents"/>
              <w:bidi w:val="0"/>
              <w:spacing w:before="0" w:after="1"/>
              <w:ind w:left="0" w:right="0" w:hanging="0"/>
              <w:jc w:val="right"/>
              <w:rPr/>
            </w:pPr>
            <w:r>
              <w:rPr/>
              <w:t>​</w:t>
            </w:r>
          </w:p>
        </w:tc>
      </w:tr>
      <w:tr>
        <w:trPr/>
        <w:tc>
          <w:tcPr>
            <w:tcW w:w="744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revenues – software subscriptions</w:t>
            </w:r>
          </w:p>
        </w:tc>
        <w:tc>
          <w:tcPr>
            <w:tcW w:w="271" w:type="dxa"/>
            <w:tcBorders/>
            <w:shd w:fill="CCEEFF" w:val="clear"/>
            <w:vAlign w:val="center"/>
          </w:tcPr>
          <w:p>
            <w:pPr>
              <w:pStyle w:val="TableContents"/>
              <w:bidi w:val="0"/>
              <w:spacing w:before="0" w:after="1"/>
              <w:ind w:left="0" w:right="0" w:hanging="0"/>
              <w:jc w:val="left"/>
              <w:rPr/>
            </w:pPr>
            <w:r>
              <w:rPr/>
              <w:t>​</w:t>
            </w:r>
          </w:p>
        </w:tc>
        <w:tc>
          <w:tcPr>
            <w:tcW w:w="101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44,245</w:t>
            </w:r>
          </w:p>
        </w:tc>
        <w:tc>
          <w:tcPr>
            <w:tcW w:w="140" w:type="dxa"/>
            <w:tcBorders/>
            <w:shd w:fill="CCEEFF" w:val="clear"/>
            <w:vAlign w:val="center"/>
          </w:tcPr>
          <w:p>
            <w:pPr>
              <w:pStyle w:val="TableContents"/>
              <w:bidi w:val="0"/>
              <w:spacing w:before="0" w:after="1"/>
              <w:ind w:left="0" w:right="0" w:hanging="0"/>
              <w:jc w:val="right"/>
              <w:rPr/>
            </w:pPr>
            <w:r>
              <w:rPr/>
              <w:t>​</w:t>
            </w:r>
          </w:p>
        </w:tc>
        <w:tc>
          <w:tcPr>
            <w:tcW w:w="271" w:type="dxa"/>
            <w:tcBorders/>
            <w:shd w:fill="CCEEFF" w:val="clear"/>
            <w:vAlign w:val="center"/>
          </w:tcPr>
          <w:p>
            <w:pPr>
              <w:pStyle w:val="TableContents"/>
              <w:bidi w:val="0"/>
              <w:spacing w:before="0" w:after="1"/>
              <w:ind w:left="0" w:right="0" w:hanging="0"/>
              <w:jc w:val="left"/>
              <w:rPr/>
            </w:pPr>
            <w:r>
              <w:rPr/>
              <w:t>​</w:t>
            </w:r>
          </w:p>
        </w:tc>
        <w:tc>
          <w:tcPr>
            <w:tcW w:w="106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45,128</w:t>
            </w:r>
          </w:p>
        </w:tc>
      </w:tr>
      <w:tr>
        <w:trPr/>
        <w:tc>
          <w:tcPr>
            <w:tcW w:w="744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revenues – services</w:t>
            </w:r>
          </w:p>
        </w:tc>
        <w:tc>
          <w:tcPr>
            <w:tcW w:w="271" w:type="dxa"/>
            <w:tcBorders/>
            <w:vAlign w:val="center"/>
          </w:tcPr>
          <w:p>
            <w:pPr>
              <w:pStyle w:val="TableContents"/>
              <w:bidi w:val="0"/>
              <w:spacing w:before="0" w:after="1"/>
              <w:ind w:left="0" w:right="0" w:hanging="0"/>
              <w:jc w:val="left"/>
              <w:rPr/>
            </w:pPr>
            <w:r>
              <w:rPr/>
              <w:t>​</w:t>
            </w:r>
          </w:p>
        </w:tc>
        <w:tc>
          <w:tcPr>
            <w:tcW w:w="101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19,823</w:t>
            </w:r>
          </w:p>
        </w:tc>
        <w:tc>
          <w:tcPr>
            <w:tcW w:w="140" w:type="dxa"/>
            <w:tcBorders/>
            <w:vAlign w:val="center"/>
          </w:tcPr>
          <w:p>
            <w:pPr>
              <w:pStyle w:val="TableContents"/>
              <w:bidi w:val="0"/>
              <w:spacing w:before="0" w:after="1"/>
              <w:ind w:left="0" w:right="0" w:hanging="0"/>
              <w:jc w:val="right"/>
              <w:rPr/>
            </w:pPr>
            <w:r>
              <w:rPr/>
              <w:t>​</w:t>
            </w:r>
          </w:p>
        </w:tc>
        <w:tc>
          <w:tcPr>
            <w:tcW w:w="271" w:type="dxa"/>
            <w:tcBorders/>
            <w:vAlign w:val="center"/>
          </w:tcPr>
          <w:p>
            <w:pPr>
              <w:pStyle w:val="TableContents"/>
              <w:bidi w:val="0"/>
              <w:spacing w:before="0" w:after="1"/>
              <w:ind w:left="0" w:right="0" w:hanging="0"/>
              <w:jc w:val="left"/>
              <w:rPr/>
            </w:pPr>
            <w:r>
              <w:rPr/>
              <w:t>​</w:t>
            </w:r>
          </w:p>
        </w:tc>
        <w:tc>
          <w:tcPr>
            <w:tcW w:w="106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15,861</w:t>
            </w:r>
          </w:p>
        </w:tc>
      </w:tr>
      <w:tr>
        <w:trPr/>
        <w:tc>
          <w:tcPr>
            <w:tcW w:w="744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&amp; development</w:t>
            </w:r>
          </w:p>
        </w:tc>
        <w:tc>
          <w:tcPr>
            <w:tcW w:w="271" w:type="dxa"/>
            <w:tcBorders/>
            <w:shd w:fill="CCEEFF" w:val="clear"/>
            <w:vAlign w:val="center"/>
          </w:tcPr>
          <w:p>
            <w:pPr>
              <w:pStyle w:val="TableContents"/>
              <w:bidi w:val="0"/>
              <w:spacing w:before="0" w:after="1"/>
              <w:ind w:left="0" w:right="0" w:hanging="0"/>
              <w:jc w:val="left"/>
              <w:rPr/>
            </w:pPr>
            <w:r>
              <w:rPr/>
              <w:t>​</w:t>
            </w:r>
          </w:p>
        </w:tc>
        <w:tc>
          <w:tcPr>
            <w:tcW w:w="101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20,886</w:t>
            </w:r>
          </w:p>
        </w:tc>
        <w:tc>
          <w:tcPr>
            <w:tcW w:w="140" w:type="dxa"/>
            <w:tcBorders/>
            <w:shd w:fill="CCEEFF" w:val="clear"/>
            <w:vAlign w:val="center"/>
          </w:tcPr>
          <w:p>
            <w:pPr>
              <w:pStyle w:val="TableContents"/>
              <w:bidi w:val="0"/>
              <w:spacing w:before="0" w:after="1"/>
              <w:ind w:left="0" w:right="0" w:hanging="0"/>
              <w:jc w:val="left"/>
              <w:rPr/>
            </w:pPr>
            <w:r>
              <w:rPr/>
              <w:t>​</w:t>
            </w:r>
          </w:p>
        </w:tc>
        <w:tc>
          <w:tcPr>
            <w:tcW w:w="271" w:type="dxa"/>
            <w:tcBorders/>
            <w:shd w:fill="CCEEFF" w:val="clear"/>
            <w:vAlign w:val="center"/>
          </w:tcPr>
          <w:p>
            <w:pPr>
              <w:pStyle w:val="TableContents"/>
              <w:bidi w:val="0"/>
              <w:spacing w:before="0" w:after="1"/>
              <w:ind w:left="0" w:right="0" w:hanging="0"/>
              <w:jc w:val="left"/>
              <w:rPr/>
            </w:pPr>
            <w:r>
              <w:rPr/>
              <w:t>​</w:t>
            </w:r>
          </w:p>
        </w:tc>
        <w:tc>
          <w:tcPr>
            <w:tcW w:w="106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16,845</w:t>
            </w:r>
          </w:p>
        </w:tc>
      </w:tr>
      <w:tr>
        <w:trPr/>
        <w:tc>
          <w:tcPr>
            <w:tcW w:w="744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Selling &amp; marketing</w:t>
            </w:r>
          </w:p>
        </w:tc>
        <w:tc>
          <w:tcPr>
            <w:tcW w:w="271" w:type="dxa"/>
            <w:tcBorders/>
            <w:vAlign w:val="center"/>
          </w:tcPr>
          <w:p>
            <w:pPr>
              <w:pStyle w:val="TableContents"/>
              <w:bidi w:val="0"/>
              <w:spacing w:before="0" w:after="1"/>
              <w:ind w:left="0" w:right="0" w:hanging="0"/>
              <w:jc w:val="left"/>
              <w:rPr/>
            </w:pPr>
            <w:r>
              <w:rPr/>
              <w:t>​</w:t>
            </w:r>
          </w:p>
        </w:tc>
        <w:tc>
          <w:tcPr>
            <w:tcW w:w="101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48,155</w:t>
            </w:r>
          </w:p>
        </w:tc>
        <w:tc>
          <w:tcPr>
            <w:tcW w:w="140" w:type="dxa"/>
            <w:tcBorders/>
            <w:vAlign w:val="center"/>
          </w:tcPr>
          <w:p>
            <w:pPr>
              <w:pStyle w:val="TableContents"/>
              <w:bidi w:val="0"/>
              <w:spacing w:before="0" w:after="1"/>
              <w:ind w:left="0" w:right="0" w:hanging="0"/>
              <w:jc w:val="left"/>
              <w:rPr/>
            </w:pPr>
            <w:r>
              <w:rPr/>
              <w:t>​</w:t>
            </w:r>
          </w:p>
        </w:tc>
        <w:tc>
          <w:tcPr>
            <w:tcW w:w="271" w:type="dxa"/>
            <w:tcBorders/>
            <w:vAlign w:val="center"/>
          </w:tcPr>
          <w:p>
            <w:pPr>
              <w:pStyle w:val="TableContents"/>
              <w:bidi w:val="0"/>
              <w:spacing w:before="0" w:after="1"/>
              <w:ind w:left="0" w:right="0" w:hanging="0"/>
              <w:jc w:val="left"/>
              <w:rPr/>
            </w:pPr>
            <w:r>
              <w:rPr/>
              <w:t>​</w:t>
            </w:r>
          </w:p>
        </w:tc>
        <w:tc>
          <w:tcPr>
            <w:tcW w:w="106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40,491</w:t>
            </w:r>
          </w:p>
        </w:tc>
      </w:tr>
      <w:tr>
        <w:trPr/>
        <w:tc>
          <w:tcPr>
            <w:tcW w:w="744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&amp; administrative</w:t>
            </w:r>
          </w:p>
        </w:tc>
        <w:tc>
          <w:tcPr>
            <w:tcW w:w="271" w:type="dxa"/>
            <w:tcBorders/>
            <w:shd w:fill="CCEEFF" w:val="clear"/>
            <w:vAlign w:val="center"/>
          </w:tcPr>
          <w:p>
            <w:pPr>
              <w:pStyle w:val="TableContents"/>
              <w:bidi w:val="0"/>
              <w:spacing w:before="0" w:after="1"/>
              <w:ind w:left="0" w:right="0" w:hanging="0"/>
              <w:jc w:val="left"/>
              <w:rPr/>
            </w:pPr>
            <w:r>
              <w:rPr/>
              <w:t>​</w:t>
            </w:r>
          </w:p>
        </w:tc>
        <w:tc>
          <w:tcPr>
            <w:tcW w:w="101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45,028</w:t>
            </w:r>
          </w:p>
        </w:tc>
        <w:tc>
          <w:tcPr>
            <w:tcW w:w="140" w:type="dxa"/>
            <w:tcBorders/>
            <w:shd w:fill="CCEEFF" w:val="clear"/>
            <w:vAlign w:val="center"/>
          </w:tcPr>
          <w:p>
            <w:pPr>
              <w:pStyle w:val="TableContents"/>
              <w:bidi w:val="0"/>
              <w:spacing w:before="0" w:after="1"/>
              <w:ind w:left="0" w:right="0" w:hanging="0"/>
              <w:jc w:val="left"/>
              <w:rPr/>
            </w:pPr>
            <w:r>
              <w:rPr/>
              <w:t>​</w:t>
            </w:r>
          </w:p>
        </w:tc>
        <w:tc>
          <w:tcPr>
            <w:tcW w:w="271" w:type="dxa"/>
            <w:tcBorders/>
            <w:shd w:fill="CCEEFF" w:val="clear"/>
            <w:vAlign w:val="center"/>
          </w:tcPr>
          <w:p>
            <w:pPr>
              <w:pStyle w:val="TableContents"/>
              <w:bidi w:val="0"/>
              <w:spacing w:before="0" w:after="1"/>
              <w:ind w:left="0" w:right="0" w:hanging="0"/>
              <w:jc w:val="left"/>
              <w:rPr/>
            </w:pPr>
            <w:r>
              <w:rPr/>
              <w:t>​</w:t>
            </w:r>
          </w:p>
        </w:tc>
        <w:tc>
          <w:tcPr>
            <w:tcW w:w="106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35,542</w:t>
            </w:r>
          </w:p>
        </w:tc>
      </w:tr>
      <w:tr>
        <w:trPr/>
        <w:tc>
          <w:tcPr>
            <w:tcW w:w="744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&amp; amortization</w:t>
            </w:r>
          </w:p>
        </w:tc>
        <w:tc>
          <w:tcPr>
            <w:tcW w:w="271" w:type="dxa"/>
            <w:tcBorders/>
            <w:vAlign w:val="center"/>
          </w:tcPr>
          <w:p>
            <w:pPr>
              <w:pStyle w:val="TableContents"/>
              <w:bidi w:val="0"/>
              <w:spacing w:before="0" w:after="1"/>
              <w:ind w:left="0" w:right="0" w:hanging="0"/>
              <w:jc w:val="left"/>
              <w:rPr/>
            </w:pPr>
            <w:r>
              <w:rPr/>
              <w:t>​</w:t>
            </w:r>
          </w:p>
        </w:tc>
        <w:tc>
          <w:tcPr>
            <w:tcW w:w="101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5,880</w:t>
            </w:r>
          </w:p>
        </w:tc>
        <w:tc>
          <w:tcPr>
            <w:tcW w:w="140" w:type="dxa"/>
            <w:tcBorders/>
            <w:vAlign w:val="center"/>
          </w:tcPr>
          <w:p>
            <w:pPr>
              <w:pStyle w:val="TableContents"/>
              <w:bidi w:val="0"/>
              <w:spacing w:before="0" w:after="1"/>
              <w:ind w:left="0" w:right="0" w:hanging="0"/>
              <w:jc w:val="left"/>
              <w:rPr/>
            </w:pPr>
            <w:r>
              <w:rPr/>
              <w:t>​</w:t>
            </w:r>
          </w:p>
        </w:tc>
        <w:tc>
          <w:tcPr>
            <w:tcW w:w="271" w:type="dxa"/>
            <w:tcBorders/>
            <w:vAlign w:val="center"/>
          </w:tcPr>
          <w:p>
            <w:pPr>
              <w:pStyle w:val="TableContents"/>
              <w:bidi w:val="0"/>
              <w:spacing w:before="0" w:after="1"/>
              <w:ind w:left="0" w:right="0" w:hanging="0"/>
              <w:jc w:val="left"/>
              <w:rPr/>
            </w:pPr>
            <w:r>
              <w:rPr/>
              <w:t>​</w:t>
            </w:r>
          </w:p>
        </w:tc>
        <w:tc>
          <w:tcPr>
            <w:tcW w:w="106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5,006</w:t>
            </w:r>
          </w:p>
        </w:tc>
      </w:tr>
      <w:tr>
        <w:trPr/>
        <w:tc>
          <w:tcPr>
            <w:tcW w:w="744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 in fair value of acquisition contingent earn-outs</w:t>
            </w:r>
          </w:p>
        </w:tc>
        <w:tc>
          <w:tcPr>
            <w:tcW w:w="271" w:type="dxa"/>
            <w:tcBorders/>
            <w:shd w:fill="CCEEFF" w:val="clear"/>
            <w:vAlign w:val="center"/>
          </w:tcPr>
          <w:p>
            <w:pPr>
              <w:pStyle w:val="TableContents"/>
              <w:bidi w:val="0"/>
              <w:spacing w:before="0" w:after="1"/>
              <w:ind w:left="0" w:right="0" w:hanging="0"/>
              <w:jc w:val="left"/>
              <w:rPr/>
            </w:pPr>
            <w:r>
              <w:rPr/>
              <w:t>​</w:t>
            </w:r>
          </w:p>
        </w:tc>
        <w:tc>
          <w:tcPr>
            <w:tcW w:w="101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(14,700)</w:t>
            </w:r>
          </w:p>
        </w:tc>
        <w:tc>
          <w:tcPr>
            <w:tcW w:w="140" w:type="dxa"/>
            <w:tcBorders/>
            <w:shd w:fill="CCEEFF" w:val="clear"/>
            <w:vAlign w:val="center"/>
          </w:tcPr>
          <w:p>
            <w:pPr>
              <w:pStyle w:val="TableContents"/>
              <w:bidi w:val="0"/>
              <w:spacing w:before="0" w:after="1"/>
              <w:ind w:left="0" w:right="0" w:hanging="0"/>
              <w:jc w:val="left"/>
              <w:rPr/>
            </w:pPr>
            <w:r>
              <w:rPr/>
              <w:t>​</w:t>
            </w:r>
          </w:p>
        </w:tc>
        <w:tc>
          <w:tcPr>
            <w:tcW w:w="271" w:type="dxa"/>
            <w:tcBorders/>
            <w:shd w:fill="CCEEFF" w:val="clear"/>
            <w:vAlign w:val="center"/>
          </w:tcPr>
          <w:p>
            <w:pPr>
              <w:pStyle w:val="TableContents"/>
              <w:bidi w:val="0"/>
              <w:spacing w:before="0" w:after="1"/>
              <w:ind w:left="0" w:right="0" w:hanging="0"/>
              <w:jc w:val="left"/>
              <w:rPr/>
            </w:pPr>
            <w:r>
              <w:rPr/>
              <w:t>​</w:t>
            </w:r>
          </w:p>
        </w:tc>
        <w:tc>
          <w:tcPr>
            <w:tcW w:w="1064" w:type="dxa"/>
            <w:tcBorders/>
            <w:shd w:fill="CCEEFF" w:val="clear"/>
            <w:vAlign w:val="center"/>
          </w:tcPr>
          <w:p>
            <w:pPr>
              <w:pStyle w:val="TableContents"/>
              <w:bidi w:val="0"/>
              <w:spacing w:before="0" w:after="1"/>
              <w:ind w:left="0" w:right="0" w:hanging="0"/>
              <w:jc w:val="right"/>
              <w:rPr/>
            </w:pPr>
            <w:r>
              <w:rPr/>
              <w:t>—</w:t>
            </w:r>
          </w:p>
        </w:tc>
      </w:tr>
      <w:tr>
        <w:trPr/>
        <w:tc>
          <w:tcPr>
            <w:tcW w:w="7440"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Other segment items </w:t>
            </w:r>
            <w:r>
              <w:rPr>
                <w:rFonts w:ascii="Times New Roman;Times;serif" w:hAnsi="Times New Roman;Times;serif"/>
                <w:sz w:val="15"/>
              </w:rPr>
              <w:t>(1)</w:t>
            </w:r>
          </w:p>
        </w:tc>
        <w:tc>
          <w:tcPr>
            <w:tcW w:w="271" w:type="dxa"/>
            <w:tcBorders/>
            <w:vAlign w:val="center"/>
          </w:tcPr>
          <w:p>
            <w:pPr>
              <w:pStyle w:val="TableContents"/>
              <w:bidi w:val="0"/>
              <w:spacing w:before="0" w:after="1"/>
              <w:ind w:left="0" w:right="0" w:hanging="0"/>
              <w:jc w:val="left"/>
              <w:rPr/>
            </w:pPr>
            <w:r>
              <w:rPr/>
              <w:t>​</w:t>
            </w:r>
          </w:p>
        </w:tc>
        <w:tc>
          <w:tcPr>
            <w:tcW w:w="101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3,259</w:t>
            </w:r>
          </w:p>
        </w:tc>
        <w:tc>
          <w:tcPr>
            <w:tcW w:w="140" w:type="dxa"/>
            <w:tcBorders/>
            <w:vAlign w:val="center"/>
          </w:tcPr>
          <w:p>
            <w:pPr>
              <w:pStyle w:val="TableContents"/>
              <w:bidi w:val="0"/>
              <w:spacing w:before="0" w:after="1"/>
              <w:ind w:left="0" w:right="0" w:hanging="0"/>
              <w:jc w:val="left"/>
              <w:rPr/>
            </w:pPr>
            <w:r>
              <w:rPr/>
              <w:t>​</w:t>
            </w:r>
          </w:p>
        </w:tc>
        <w:tc>
          <w:tcPr>
            <w:tcW w:w="271" w:type="dxa"/>
            <w:tcBorders/>
            <w:vAlign w:val="center"/>
          </w:tcPr>
          <w:p>
            <w:pPr>
              <w:pStyle w:val="TableContents"/>
              <w:bidi w:val="0"/>
              <w:spacing w:before="0" w:after="1"/>
              <w:ind w:left="0" w:right="0" w:hanging="0"/>
              <w:jc w:val="left"/>
              <w:rPr/>
            </w:pPr>
            <w:r>
              <w:rPr/>
              <w:t>​</w:t>
            </w:r>
          </w:p>
        </w:tc>
        <w:tc>
          <w:tcPr>
            <w:tcW w:w="106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(527)</w:t>
            </w:r>
          </w:p>
        </w:tc>
      </w:tr>
      <w:tr>
        <w:trPr/>
        <w:tc>
          <w:tcPr>
            <w:tcW w:w="744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(income) expense, net</w:t>
            </w:r>
          </w:p>
        </w:tc>
        <w:tc>
          <w:tcPr>
            <w:tcW w:w="271" w:type="dxa"/>
            <w:tcBorders/>
            <w:shd w:fill="CCEEFF" w:val="clear"/>
            <w:vAlign w:val="center"/>
          </w:tcPr>
          <w:p>
            <w:pPr>
              <w:pStyle w:val="TableContents"/>
              <w:bidi w:val="0"/>
              <w:spacing w:before="0" w:after="1"/>
              <w:ind w:left="0" w:right="0" w:hanging="0"/>
              <w:jc w:val="left"/>
              <w:rPr/>
            </w:pPr>
            <w:r>
              <w:rPr/>
              <w:t>​</w:t>
            </w:r>
          </w:p>
        </w:tc>
        <w:tc>
          <w:tcPr>
            <w:tcW w:w="101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(1,539)</w:t>
            </w:r>
          </w:p>
        </w:tc>
        <w:tc>
          <w:tcPr>
            <w:tcW w:w="140" w:type="dxa"/>
            <w:tcBorders/>
            <w:shd w:fill="CCEEFF" w:val="clear"/>
            <w:vAlign w:val="center"/>
          </w:tcPr>
          <w:p>
            <w:pPr>
              <w:pStyle w:val="TableContents"/>
              <w:bidi w:val="0"/>
              <w:spacing w:before="0" w:after="1"/>
              <w:ind w:left="0" w:right="0" w:hanging="0"/>
              <w:jc w:val="left"/>
              <w:rPr/>
            </w:pPr>
            <w:r>
              <w:rPr/>
              <w:t>​</w:t>
            </w:r>
          </w:p>
        </w:tc>
        <w:tc>
          <w:tcPr>
            <w:tcW w:w="271" w:type="dxa"/>
            <w:tcBorders/>
            <w:shd w:fill="CCEEFF" w:val="clear"/>
            <w:vAlign w:val="center"/>
          </w:tcPr>
          <w:p>
            <w:pPr>
              <w:pStyle w:val="TableContents"/>
              <w:bidi w:val="0"/>
              <w:spacing w:before="0" w:after="1"/>
              <w:ind w:left="0" w:right="0" w:hanging="0"/>
              <w:jc w:val="left"/>
              <w:rPr/>
            </w:pPr>
            <w:r>
              <w:rPr/>
              <w:t>​</w:t>
            </w:r>
          </w:p>
        </w:tc>
        <w:tc>
          <w:tcPr>
            <w:tcW w:w="106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286</w:t>
            </w:r>
          </w:p>
        </w:tc>
      </w:tr>
      <w:tr>
        <w:trPr/>
        <w:tc>
          <w:tcPr>
            <w:tcW w:w="744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 benefit</w:t>
            </w:r>
          </w:p>
        </w:tc>
        <w:tc>
          <w:tcPr>
            <w:tcW w:w="27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1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(5,105)</w:t>
            </w:r>
          </w:p>
        </w:tc>
        <w:tc>
          <w:tcPr>
            <w:tcW w:w="140" w:type="dxa"/>
            <w:tcBorders/>
            <w:vAlign w:val="center"/>
          </w:tcPr>
          <w:p>
            <w:pPr>
              <w:pStyle w:val="TableContents"/>
              <w:bidi w:val="0"/>
              <w:spacing w:before="0" w:after="1"/>
              <w:ind w:left="0" w:right="0" w:hanging="0"/>
              <w:jc w:val="left"/>
              <w:rPr/>
            </w:pPr>
            <w:r>
              <w:rPr/>
              <w:t>​</w:t>
            </w:r>
          </w:p>
        </w:tc>
        <w:tc>
          <w:tcPr>
            <w:tcW w:w="27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6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(4,535)</w:t>
            </w:r>
          </w:p>
        </w:tc>
      </w:tr>
      <w:tr>
        <w:trPr/>
        <w:tc>
          <w:tcPr>
            <w:tcW w:w="7440"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income (GAAP)</w:t>
            </w:r>
          </w:p>
        </w:tc>
        <w:tc>
          <w:tcPr>
            <w:tcW w:w="271"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101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11,130</w:t>
            </w:r>
          </w:p>
        </w:tc>
        <w:tc>
          <w:tcPr>
            <w:tcW w:w="140" w:type="dxa"/>
            <w:tcBorders/>
            <w:shd w:fill="CCEEFF" w:val="clear"/>
            <w:vAlign w:val="center"/>
          </w:tcPr>
          <w:p>
            <w:pPr>
              <w:pStyle w:val="TableContents"/>
              <w:bidi w:val="0"/>
              <w:spacing w:before="0" w:after="1"/>
              <w:ind w:left="0" w:right="0" w:hanging="0"/>
              <w:jc w:val="left"/>
              <w:rPr/>
            </w:pPr>
            <w:r>
              <w:rPr/>
              <w:t>​</w:t>
            </w:r>
          </w:p>
        </w:tc>
        <w:tc>
          <w:tcPr>
            <w:tcW w:w="271"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106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2,684</w:t>
            </w:r>
          </w:p>
        </w:tc>
      </w:tr>
      <w:tr>
        <w:trPr/>
        <w:tc>
          <w:tcPr>
            <w:tcW w:w="7440"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Adjustments:</w:t>
            </w:r>
          </w:p>
        </w:tc>
        <w:tc>
          <w:tcPr>
            <w:tcW w:w="271" w:type="dxa"/>
            <w:tcBorders/>
            <w:vAlign w:val="center"/>
          </w:tcPr>
          <w:p>
            <w:pPr>
              <w:pStyle w:val="TableContents"/>
              <w:bidi w:val="0"/>
              <w:spacing w:before="0" w:after="1"/>
              <w:ind w:left="0" w:right="0" w:hanging="0"/>
              <w:jc w:val="left"/>
              <w:rPr/>
            </w:pPr>
            <w:r>
              <w:rPr/>
              <w:t>​</w:t>
            </w:r>
          </w:p>
        </w:tc>
        <w:tc>
          <w:tcPr>
            <w:tcW w:w="1019" w:type="dxa"/>
            <w:tcBorders/>
            <w:vAlign w:val="center"/>
          </w:tcPr>
          <w:p>
            <w:pPr>
              <w:pStyle w:val="TableContents"/>
              <w:bidi w:val="0"/>
              <w:spacing w:before="0" w:after="1"/>
              <w:ind w:left="0" w:right="0" w:hanging="0"/>
              <w:jc w:val="left"/>
              <w:rPr/>
            </w:pPr>
            <w:r>
              <w:rPr/>
              <w:t>​</w:t>
            </w:r>
          </w:p>
        </w:tc>
        <w:tc>
          <w:tcPr>
            <w:tcW w:w="140" w:type="dxa"/>
            <w:tcBorders/>
            <w:vAlign w:val="center"/>
          </w:tcPr>
          <w:p>
            <w:pPr>
              <w:pStyle w:val="TableContents"/>
              <w:bidi w:val="0"/>
              <w:spacing w:before="0" w:after="1"/>
              <w:ind w:left="0" w:right="0" w:hanging="0"/>
              <w:jc w:val="left"/>
              <w:rPr/>
            </w:pPr>
            <w:r>
              <w:rPr/>
              <w:t>​</w:t>
            </w:r>
          </w:p>
        </w:tc>
        <w:tc>
          <w:tcPr>
            <w:tcW w:w="271" w:type="dxa"/>
            <w:tcBorders/>
            <w:vAlign w:val="center"/>
          </w:tcPr>
          <w:p>
            <w:pPr>
              <w:pStyle w:val="TableContents"/>
              <w:bidi w:val="0"/>
              <w:spacing w:before="0" w:after="1"/>
              <w:ind w:left="0" w:right="0" w:hanging="0"/>
              <w:jc w:val="left"/>
              <w:rPr/>
            </w:pPr>
            <w:r>
              <w:rPr/>
              <w:t>​</w:t>
            </w:r>
          </w:p>
        </w:tc>
        <w:tc>
          <w:tcPr>
            <w:tcW w:w="1064" w:type="dxa"/>
            <w:tcBorders/>
            <w:vAlign w:val="center"/>
          </w:tcPr>
          <w:p>
            <w:pPr>
              <w:pStyle w:val="TableContents"/>
              <w:bidi w:val="0"/>
              <w:spacing w:before="0" w:after="1"/>
              <w:ind w:left="0" w:right="0" w:hanging="0"/>
              <w:jc w:val="left"/>
              <w:rPr/>
            </w:pPr>
            <w:r>
              <w:rPr/>
              <w:t>​</w:t>
            </w:r>
          </w:p>
        </w:tc>
      </w:tr>
      <w:tr>
        <w:trPr/>
        <w:tc>
          <w:tcPr>
            <w:tcW w:w="744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 (income), net</w:t>
            </w:r>
          </w:p>
        </w:tc>
        <w:tc>
          <w:tcPr>
            <w:tcW w:w="271" w:type="dxa"/>
            <w:tcBorders/>
            <w:shd w:fill="CCEEFF" w:val="clear"/>
            <w:vAlign w:val="center"/>
          </w:tcPr>
          <w:p>
            <w:pPr>
              <w:pStyle w:val="TableContents"/>
              <w:bidi w:val="0"/>
              <w:spacing w:before="0" w:after="1"/>
              <w:ind w:left="0" w:right="0" w:hanging="0"/>
              <w:jc w:val="left"/>
              <w:rPr/>
            </w:pPr>
            <w:r>
              <w:rPr/>
              <w:t>​</w:t>
            </w:r>
          </w:p>
        </w:tc>
        <w:tc>
          <w:tcPr>
            <w:tcW w:w="101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(1,539)</w:t>
            </w:r>
          </w:p>
        </w:tc>
        <w:tc>
          <w:tcPr>
            <w:tcW w:w="140" w:type="dxa"/>
            <w:tcBorders/>
            <w:shd w:fill="CCEEFF" w:val="clear"/>
            <w:vAlign w:val="center"/>
          </w:tcPr>
          <w:p>
            <w:pPr>
              <w:pStyle w:val="TableContents"/>
              <w:bidi w:val="0"/>
              <w:spacing w:before="0" w:after="1"/>
              <w:ind w:left="0" w:right="0" w:hanging="0"/>
              <w:jc w:val="left"/>
              <w:rPr/>
            </w:pPr>
            <w:r>
              <w:rPr/>
              <w:t>​</w:t>
            </w:r>
          </w:p>
        </w:tc>
        <w:tc>
          <w:tcPr>
            <w:tcW w:w="271" w:type="dxa"/>
            <w:tcBorders/>
            <w:shd w:fill="CCEEFF" w:val="clear"/>
            <w:vAlign w:val="center"/>
          </w:tcPr>
          <w:p>
            <w:pPr>
              <w:pStyle w:val="TableContents"/>
              <w:bidi w:val="0"/>
              <w:spacing w:before="0" w:after="1"/>
              <w:ind w:left="0" w:right="0" w:hanging="0"/>
              <w:jc w:val="left"/>
              <w:rPr/>
            </w:pPr>
            <w:r>
              <w:rPr/>
              <w:t>​</w:t>
            </w:r>
          </w:p>
        </w:tc>
        <w:tc>
          <w:tcPr>
            <w:tcW w:w="106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286</w:t>
            </w:r>
          </w:p>
        </w:tc>
      </w:tr>
      <w:tr>
        <w:trPr/>
        <w:tc>
          <w:tcPr>
            <w:tcW w:w="744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 benefit</w:t>
            </w:r>
          </w:p>
        </w:tc>
        <w:tc>
          <w:tcPr>
            <w:tcW w:w="271" w:type="dxa"/>
            <w:tcBorders/>
            <w:vAlign w:val="center"/>
          </w:tcPr>
          <w:p>
            <w:pPr>
              <w:pStyle w:val="TableContents"/>
              <w:bidi w:val="0"/>
              <w:spacing w:before="0" w:after="1"/>
              <w:ind w:left="0" w:right="0" w:hanging="0"/>
              <w:jc w:val="left"/>
              <w:rPr/>
            </w:pPr>
            <w:r>
              <w:rPr/>
              <w:t>​</w:t>
            </w:r>
          </w:p>
        </w:tc>
        <w:tc>
          <w:tcPr>
            <w:tcW w:w="101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(5,105)</w:t>
            </w:r>
          </w:p>
        </w:tc>
        <w:tc>
          <w:tcPr>
            <w:tcW w:w="140" w:type="dxa"/>
            <w:tcBorders/>
            <w:vAlign w:val="center"/>
          </w:tcPr>
          <w:p>
            <w:pPr>
              <w:pStyle w:val="TableContents"/>
              <w:bidi w:val="0"/>
              <w:spacing w:before="0" w:after="1"/>
              <w:ind w:left="0" w:right="0" w:hanging="0"/>
              <w:jc w:val="left"/>
              <w:rPr/>
            </w:pPr>
            <w:r>
              <w:rPr/>
              <w:t>​</w:t>
            </w:r>
          </w:p>
        </w:tc>
        <w:tc>
          <w:tcPr>
            <w:tcW w:w="271" w:type="dxa"/>
            <w:tcBorders/>
            <w:vAlign w:val="center"/>
          </w:tcPr>
          <w:p>
            <w:pPr>
              <w:pStyle w:val="TableContents"/>
              <w:bidi w:val="0"/>
              <w:spacing w:before="0" w:after="1"/>
              <w:ind w:left="0" w:right="0" w:hanging="0"/>
              <w:jc w:val="left"/>
              <w:rPr/>
            </w:pPr>
            <w:r>
              <w:rPr/>
              <w:t>​</w:t>
            </w:r>
          </w:p>
        </w:tc>
        <w:tc>
          <w:tcPr>
            <w:tcW w:w="106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(4,535)</w:t>
            </w:r>
          </w:p>
        </w:tc>
      </w:tr>
      <w:tr>
        <w:trPr/>
        <w:tc>
          <w:tcPr>
            <w:tcW w:w="744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 – property and equipment</w:t>
            </w:r>
          </w:p>
        </w:tc>
        <w:tc>
          <w:tcPr>
            <w:tcW w:w="271" w:type="dxa"/>
            <w:tcBorders/>
            <w:shd w:fill="CCEEFF" w:val="clear"/>
            <w:vAlign w:val="center"/>
          </w:tcPr>
          <w:p>
            <w:pPr>
              <w:pStyle w:val="TableContents"/>
              <w:bidi w:val="0"/>
              <w:spacing w:before="0" w:after="1"/>
              <w:ind w:left="0" w:right="0" w:hanging="0"/>
              <w:jc w:val="left"/>
              <w:rPr/>
            </w:pPr>
            <w:r>
              <w:rPr/>
              <w:t>​</w:t>
            </w:r>
          </w:p>
        </w:tc>
        <w:tc>
          <w:tcPr>
            <w:tcW w:w="101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5,880</w:t>
            </w:r>
          </w:p>
        </w:tc>
        <w:tc>
          <w:tcPr>
            <w:tcW w:w="140" w:type="dxa"/>
            <w:tcBorders/>
            <w:shd w:fill="CCEEFF" w:val="clear"/>
            <w:vAlign w:val="center"/>
          </w:tcPr>
          <w:p>
            <w:pPr>
              <w:pStyle w:val="TableContents"/>
              <w:bidi w:val="0"/>
              <w:spacing w:before="0" w:after="1"/>
              <w:ind w:left="0" w:right="0" w:hanging="0"/>
              <w:jc w:val="left"/>
              <w:rPr/>
            </w:pPr>
            <w:r>
              <w:rPr/>
              <w:t>​</w:t>
            </w:r>
          </w:p>
        </w:tc>
        <w:tc>
          <w:tcPr>
            <w:tcW w:w="271" w:type="dxa"/>
            <w:tcBorders/>
            <w:shd w:fill="CCEEFF" w:val="clear"/>
            <w:vAlign w:val="center"/>
          </w:tcPr>
          <w:p>
            <w:pPr>
              <w:pStyle w:val="TableContents"/>
              <w:bidi w:val="0"/>
              <w:spacing w:before="0" w:after="1"/>
              <w:ind w:left="0" w:right="0" w:hanging="0"/>
              <w:jc w:val="left"/>
              <w:rPr/>
            </w:pPr>
            <w:r>
              <w:rPr/>
              <w:t>​</w:t>
            </w:r>
          </w:p>
        </w:tc>
        <w:tc>
          <w:tcPr>
            <w:tcW w:w="106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5,006</w:t>
            </w:r>
          </w:p>
        </w:tc>
      </w:tr>
      <w:tr>
        <w:trPr/>
        <w:tc>
          <w:tcPr>
            <w:tcW w:w="744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 of capitalized software and acquired intangible assets – cost of subscription revenues</w:t>
            </w:r>
          </w:p>
        </w:tc>
        <w:tc>
          <w:tcPr>
            <w:tcW w:w="271" w:type="dxa"/>
            <w:tcBorders/>
            <w:vAlign w:val="center"/>
          </w:tcPr>
          <w:p>
            <w:pPr>
              <w:pStyle w:val="TableContents"/>
              <w:bidi w:val="0"/>
              <w:spacing w:before="0" w:after="1"/>
              <w:ind w:left="0" w:right="0" w:hanging="0"/>
              <w:jc w:val="left"/>
              <w:rPr/>
            </w:pPr>
            <w:r>
              <w:rPr/>
              <w:t>​</w:t>
            </w:r>
          </w:p>
        </w:tc>
        <w:tc>
          <w:tcPr>
            <w:tcW w:w="101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15,855</w:t>
            </w:r>
          </w:p>
        </w:tc>
        <w:tc>
          <w:tcPr>
            <w:tcW w:w="140" w:type="dxa"/>
            <w:tcBorders/>
            <w:vAlign w:val="center"/>
          </w:tcPr>
          <w:p>
            <w:pPr>
              <w:pStyle w:val="TableContents"/>
              <w:bidi w:val="0"/>
              <w:spacing w:before="0" w:after="1"/>
              <w:ind w:left="0" w:right="0" w:hanging="0"/>
              <w:jc w:val="left"/>
              <w:rPr/>
            </w:pPr>
            <w:r>
              <w:rPr/>
              <w:t>​</w:t>
            </w:r>
          </w:p>
        </w:tc>
        <w:tc>
          <w:tcPr>
            <w:tcW w:w="271" w:type="dxa"/>
            <w:tcBorders/>
            <w:vAlign w:val="center"/>
          </w:tcPr>
          <w:p>
            <w:pPr>
              <w:pStyle w:val="TableContents"/>
              <w:bidi w:val="0"/>
              <w:spacing w:before="0" w:after="1"/>
              <w:ind w:left="0" w:right="0" w:hanging="0"/>
              <w:jc w:val="left"/>
              <w:rPr/>
            </w:pPr>
            <w:r>
              <w:rPr/>
              <w:t>​</w:t>
            </w:r>
          </w:p>
        </w:tc>
        <w:tc>
          <w:tcPr>
            <w:tcW w:w="106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15,347</w:t>
            </w:r>
          </w:p>
        </w:tc>
      </w:tr>
      <w:tr>
        <w:trPr/>
        <w:tc>
          <w:tcPr>
            <w:tcW w:w="744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Amortization of acquired intangible assets – selling and marketing expense</w:t>
            </w:r>
          </w:p>
        </w:tc>
        <w:tc>
          <w:tcPr>
            <w:tcW w:w="271" w:type="dxa"/>
            <w:tcBorders/>
            <w:shd w:fill="CCEEFF" w:val="clear"/>
            <w:vAlign w:val="center"/>
          </w:tcPr>
          <w:p>
            <w:pPr>
              <w:pStyle w:val="TableContents"/>
              <w:bidi w:val="0"/>
              <w:spacing w:before="0" w:after="1"/>
              <w:ind w:left="0" w:right="0" w:hanging="0"/>
              <w:jc w:val="left"/>
              <w:rPr/>
            </w:pPr>
            <w:r>
              <w:rPr/>
              <w:t>​</w:t>
            </w:r>
          </w:p>
        </w:tc>
        <w:tc>
          <w:tcPr>
            <w:tcW w:w="101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531</w:t>
            </w:r>
          </w:p>
        </w:tc>
        <w:tc>
          <w:tcPr>
            <w:tcW w:w="140" w:type="dxa"/>
            <w:tcBorders/>
            <w:shd w:fill="CCEEFF" w:val="clear"/>
            <w:vAlign w:val="center"/>
          </w:tcPr>
          <w:p>
            <w:pPr>
              <w:pStyle w:val="TableContents"/>
              <w:bidi w:val="0"/>
              <w:spacing w:before="0" w:after="1"/>
              <w:ind w:left="0" w:right="0" w:hanging="0"/>
              <w:jc w:val="left"/>
              <w:rPr/>
            </w:pPr>
            <w:r>
              <w:rPr/>
              <w:t>​</w:t>
            </w:r>
          </w:p>
        </w:tc>
        <w:tc>
          <w:tcPr>
            <w:tcW w:w="271" w:type="dxa"/>
            <w:tcBorders/>
            <w:shd w:fill="CCEEFF" w:val="clear"/>
            <w:vAlign w:val="center"/>
          </w:tcPr>
          <w:p>
            <w:pPr>
              <w:pStyle w:val="TableContents"/>
              <w:bidi w:val="0"/>
              <w:spacing w:before="0" w:after="1"/>
              <w:ind w:left="0" w:right="0" w:hanging="0"/>
              <w:jc w:val="left"/>
              <w:rPr/>
            </w:pPr>
            <w:r>
              <w:rPr/>
              <w:t>​</w:t>
            </w:r>
          </w:p>
        </w:tc>
        <w:tc>
          <w:tcPr>
            <w:tcW w:w="106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595</w:t>
            </w:r>
          </w:p>
        </w:tc>
      </w:tr>
      <w:tr>
        <w:trPr/>
        <w:tc>
          <w:tcPr>
            <w:tcW w:w="744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Amortization of cloud computing implementation costs – general and administrative</w:t>
            </w:r>
          </w:p>
        </w:tc>
        <w:tc>
          <w:tcPr>
            <w:tcW w:w="271" w:type="dxa"/>
            <w:tcBorders/>
            <w:vAlign w:val="center"/>
          </w:tcPr>
          <w:p>
            <w:pPr>
              <w:pStyle w:val="TableContents"/>
              <w:bidi w:val="0"/>
              <w:spacing w:before="0" w:after="1"/>
              <w:ind w:left="0" w:right="0" w:hanging="0"/>
              <w:jc w:val="left"/>
              <w:rPr/>
            </w:pPr>
            <w:r>
              <w:rPr/>
              <w:t>​</w:t>
            </w:r>
          </w:p>
        </w:tc>
        <w:tc>
          <w:tcPr>
            <w:tcW w:w="101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1,006</w:t>
            </w:r>
          </w:p>
        </w:tc>
        <w:tc>
          <w:tcPr>
            <w:tcW w:w="140" w:type="dxa"/>
            <w:tcBorders/>
            <w:vAlign w:val="center"/>
          </w:tcPr>
          <w:p>
            <w:pPr>
              <w:pStyle w:val="TableContents"/>
              <w:bidi w:val="0"/>
              <w:spacing w:before="0" w:after="1"/>
              <w:ind w:left="0" w:right="0" w:hanging="0"/>
              <w:jc w:val="left"/>
              <w:rPr/>
            </w:pPr>
            <w:r>
              <w:rPr/>
              <w:t>​</w:t>
            </w:r>
          </w:p>
        </w:tc>
        <w:tc>
          <w:tcPr>
            <w:tcW w:w="271" w:type="dxa"/>
            <w:tcBorders/>
            <w:vAlign w:val="center"/>
          </w:tcPr>
          <w:p>
            <w:pPr>
              <w:pStyle w:val="TableContents"/>
              <w:bidi w:val="0"/>
              <w:spacing w:before="0" w:after="1"/>
              <w:ind w:left="0" w:right="0" w:hanging="0"/>
              <w:jc w:val="left"/>
              <w:rPr/>
            </w:pPr>
            <w:r>
              <w:rPr/>
              <w:t>​</w:t>
            </w:r>
          </w:p>
        </w:tc>
        <w:tc>
          <w:tcPr>
            <w:tcW w:w="106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994</w:t>
            </w:r>
          </w:p>
        </w:tc>
      </w:tr>
      <w:tr>
        <w:trPr/>
        <w:tc>
          <w:tcPr>
            <w:tcW w:w="744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271" w:type="dxa"/>
            <w:tcBorders/>
            <w:shd w:fill="CCEEFF" w:val="clear"/>
            <w:vAlign w:val="center"/>
          </w:tcPr>
          <w:p>
            <w:pPr>
              <w:pStyle w:val="TableContents"/>
              <w:bidi w:val="0"/>
              <w:spacing w:before="0" w:after="1"/>
              <w:ind w:left="0" w:right="0" w:hanging="0"/>
              <w:jc w:val="left"/>
              <w:rPr/>
            </w:pPr>
            <w:r>
              <w:rPr/>
              <w:t>​</w:t>
            </w:r>
          </w:p>
        </w:tc>
        <w:tc>
          <w:tcPr>
            <w:tcW w:w="101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21,044</w:t>
            </w:r>
          </w:p>
        </w:tc>
        <w:tc>
          <w:tcPr>
            <w:tcW w:w="140" w:type="dxa"/>
            <w:tcBorders/>
            <w:shd w:fill="CCEEFF" w:val="clear"/>
            <w:vAlign w:val="center"/>
          </w:tcPr>
          <w:p>
            <w:pPr>
              <w:pStyle w:val="TableContents"/>
              <w:bidi w:val="0"/>
              <w:spacing w:before="0" w:after="1"/>
              <w:ind w:left="0" w:right="0" w:hanging="0"/>
              <w:jc w:val="left"/>
              <w:rPr/>
            </w:pPr>
            <w:r>
              <w:rPr/>
              <w:t>​</w:t>
            </w:r>
          </w:p>
        </w:tc>
        <w:tc>
          <w:tcPr>
            <w:tcW w:w="271" w:type="dxa"/>
            <w:tcBorders/>
            <w:shd w:fill="CCEEFF" w:val="clear"/>
            <w:vAlign w:val="center"/>
          </w:tcPr>
          <w:p>
            <w:pPr>
              <w:pStyle w:val="TableContents"/>
              <w:bidi w:val="0"/>
              <w:spacing w:before="0" w:after="1"/>
              <w:ind w:left="0" w:right="0" w:hanging="0"/>
              <w:jc w:val="left"/>
              <w:rPr/>
            </w:pPr>
            <w:r>
              <w:rPr/>
              <w:t>​</w:t>
            </w:r>
          </w:p>
        </w:tc>
        <w:tc>
          <w:tcPr>
            <w:tcW w:w="106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16,324</w:t>
            </w:r>
          </w:p>
        </w:tc>
      </w:tr>
      <w:tr>
        <w:trPr/>
        <w:tc>
          <w:tcPr>
            <w:tcW w:w="744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Severance expense</w:t>
            </w:r>
          </w:p>
        </w:tc>
        <w:tc>
          <w:tcPr>
            <w:tcW w:w="271" w:type="dxa"/>
            <w:tcBorders/>
            <w:vAlign w:val="center"/>
          </w:tcPr>
          <w:p>
            <w:pPr>
              <w:pStyle w:val="TableContents"/>
              <w:bidi w:val="0"/>
              <w:spacing w:before="0" w:after="1"/>
              <w:ind w:left="0" w:right="0" w:hanging="0"/>
              <w:jc w:val="left"/>
              <w:rPr/>
            </w:pPr>
            <w:r>
              <w:rPr/>
              <w:t>​</w:t>
            </w:r>
          </w:p>
        </w:tc>
        <w:tc>
          <w:tcPr>
            <w:tcW w:w="101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457</w:t>
            </w:r>
          </w:p>
        </w:tc>
        <w:tc>
          <w:tcPr>
            <w:tcW w:w="140" w:type="dxa"/>
            <w:tcBorders/>
            <w:vAlign w:val="center"/>
          </w:tcPr>
          <w:p>
            <w:pPr>
              <w:pStyle w:val="TableContents"/>
              <w:bidi w:val="0"/>
              <w:spacing w:before="0" w:after="1"/>
              <w:ind w:left="0" w:right="0" w:hanging="0"/>
              <w:jc w:val="left"/>
              <w:rPr/>
            </w:pPr>
            <w:r>
              <w:rPr/>
              <w:t>​</w:t>
            </w:r>
          </w:p>
        </w:tc>
        <w:tc>
          <w:tcPr>
            <w:tcW w:w="271" w:type="dxa"/>
            <w:tcBorders/>
            <w:vAlign w:val="center"/>
          </w:tcPr>
          <w:p>
            <w:pPr>
              <w:pStyle w:val="TableContents"/>
              <w:bidi w:val="0"/>
              <w:spacing w:before="0" w:after="1"/>
              <w:ind w:left="0" w:right="0" w:hanging="0"/>
              <w:jc w:val="left"/>
              <w:rPr/>
            </w:pPr>
            <w:r>
              <w:rPr/>
              <w:t>​</w:t>
            </w:r>
          </w:p>
        </w:tc>
        <w:tc>
          <w:tcPr>
            <w:tcW w:w="106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842</w:t>
            </w:r>
          </w:p>
        </w:tc>
      </w:tr>
      <w:tr>
        <w:trPr/>
        <w:tc>
          <w:tcPr>
            <w:tcW w:w="744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Acquisition contingent consideration</w:t>
            </w:r>
          </w:p>
        </w:tc>
        <w:tc>
          <w:tcPr>
            <w:tcW w:w="271" w:type="dxa"/>
            <w:tcBorders/>
            <w:shd w:fill="CCEEFF" w:val="clear"/>
            <w:vAlign w:val="center"/>
          </w:tcPr>
          <w:p>
            <w:pPr>
              <w:pStyle w:val="TableContents"/>
              <w:bidi w:val="0"/>
              <w:spacing w:before="0" w:after="1"/>
              <w:ind w:left="0" w:right="0" w:hanging="0"/>
              <w:jc w:val="left"/>
              <w:rPr/>
            </w:pPr>
            <w:r>
              <w:rPr/>
              <w:t>​</w:t>
            </w:r>
          </w:p>
        </w:tc>
        <w:tc>
          <w:tcPr>
            <w:tcW w:w="1019" w:type="dxa"/>
            <w:tcBorders/>
            <w:shd w:fill="CCEEFF" w:val="clear"/>
            <w:vAlign w:val="center"/>
          </w:tcPr>
          <w:p>
            <w:pPr>
              <w:pStyle w:val="TableContents"/>
              <w:bidi w:val="0"/>
              <w:spacing w:before="0" w:after="1"/>
              <w:ind w:left="0" w:right="0" w:hanging="0"/>
              <w:jc w:val="right"/>
              <w:rPr/>
            </w:pPr>
            <w:r>
              <w:rPr/>
              <w:t>—</w:t>
            </w:r>
          </w:p>
        </w:tc>
        <w:tc>
          <w:tcPr>
            <w:tcW w:w="140" w:type="dxa"/>
            <w:tcBorders/>
            <w:shd w:fill="CCEEFF" w:val="clear"/>
            <w:vAlign w:val="center"/>
          </w:tcPr>
          <w:p>
            <w:pPr>
              <w:pStyle w:val="TableContents"/>
              <w:bidi w:val="0"/>
              <w:spacing w:before="0" w:after="1"/>
              <w:ind w:left="0" w:right="0" w:hanging="0"/>
              <w:jc w:val="left"/>
              <w:rPr/>
            </w:pPr>
            <w:r>
              <w:rPr/>
              <w:t>​</w:t>
            </w:r>
          </w:p>
        </w:tc>
        <w:tc>
          <w:tcPr>
            <w:tcW w:w="271" w:type="dxa"/>
            <w:tcBorders/>
            <w:shd w:fill="CCEEFF" w:val="clear"/>
            <w:vAlign w:val="center"/>
          </w:tcPr>
          <w:p>
            <w:pPr>
              <w:pStyle w:val="TableContents"/>
              <w:bidi w:val="0"/>
              <w:spacing w:before="0" w:after="1"/>
              <w:ind w:left="0" w:right="0" w:hanging="0"/>
              <w:jc w:val="left"/>
              <w:rPr/>
            </w:pPr>
            <w:r>
              <w:rPr/>
              <w:t>​</w:t>
            </w:r>
          </w:p>
        </w:tc>
        <w:tc>
          <w:tcPr>
            <w:tcW w:w="106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(800)</w:t>
            </w:r>
          </w:p>
        </w:tc>
      </w:tr>
      <w:tr>
        <w:trPr/>
        <w:tc>
          <w:tcPr>
            <w:tcW w:w="744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 in fair value of acquisition contingent earn-outs</w:t>
            </w:r>
          </w:p>
        </w:tc>
        <w:tc>
          <w:tcPr>
            <w:tcW w:w="271" w:type="dxa"/>
            <w:tcBorders/>
            <w:vAlign w:val="center"/>
          </w:tcPr>
          <w:p>
            <w:pPr>
              <w:pStyle w:val="TableContents"/>
              <w:bidi w:val="0"/>
              <w:spacing w:before="0" w:after="1"/>
              <w:ind w:left="0" w:right="0" w:hanging="0"/>
              <w:jc w:val="left"/>
              <w:rPr/>
            </w:pPr>
            <w:r>
              <w:rPr/>
              <w:t>​</w:t>
            </w:r>
          </w:p>
        </w:tc>
        <w:tc>
          <w:tcPr>
            <w:tcW w:w="101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(14,700)</w:t>
            </w:r>
          </w:p>
        </w:tc>
        <w:tc>
          <w:tcPr>
            <w:tcW w:w="140" w:type="dxa"/>
            <w:tcBorders/>
            <w:vAlign w:val="center"/>
          </w:tcPr>
          <w:p>
            <w:pPr>
              <w:pStyle w:val="TableContents"/>
              <w:bidi w:val="0"/>
              <w:spacing w:before="0" w:after="1"/>
              <w:ind w:left="0" w:right="0" w:hanging="0"/>
              <w:jc w:val="left"/>
              <w:rPr/>
            </w:pPr>
            <w:r>
              <w:rPr/>
              <w:t>​</w:t>
            </w:r>
          </w:p>
        </w:tc>
        <w:tc>
          <w:tcPr>
            <w:tcW w:w="271" w:type="dxa"/>
            <w:tcBorders/>
            <w:vAlign w:val="center"/>
          </w:tcPr>
          <w:p>
            <w:pPr>
              <w:pStyle w:val="TableContents"/>
              <w:bidi w:val="0"/>
              <w:spacing w:before="0" w:after="1"/>
              <w:ind w:left="0" w:right="0" w:hanging="0"/>
              <w:jc w:val="left"/>
              <w:rPr/>
            </w:pPr>
            <w:r>
              <w:rPr/>
              <w:t>​</w:t>
            </w:r>
          </w:p>
        </w:tc>
        <w:tc>
          <w:tcPr>
            <w:tcW w:w="1064" w:type="dxa"/>
            <w:tcBorders/>
            <w:vAlign w:val="center"/>
          </w:tcPr>
          <w:p>
            <w:pPr>
              <w:pStyle w:val="TableContents"/>
              <w:bidi w:val="0"/>
              <w:spacing w:before="0" w:after="1"/>
              <w:ind w:left="0" w:right="0" w:hanging="0"/>
              <w:jc w:val="right"/>
              <w:rPr/>
            </w:pPr>
            <w:r>
              <w:rPr/>
              <w:t>—</w:t>
            </w:r>
          </w:p>
        </w:tc>
      </w:tr>
      <w:tr>
        <w:trPr/>
        <w:tc>
          <w:tcPr>
            <w:tcW w:w="744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Transaction costs </w:t>
            </w:r>
          </w:p>
        </w:tc>
        <w:tc>
          <w:tcPr>
            <w:tcW w:w="27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1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2,660</w:t>
            </w:r>
          </w:p>
        </w:tc>
        <w:tc>
          <w:tcPr>
            <w:tcW w:w="140" w:type="dxa"/>
            <w:tcBorders/>
            <w:shd w:fill="CCEEFF" w:val="clear"/>
            <w:vAlign w:val="center"/>
          </w:tcPr>
          <w:p>
            <w:pPr>
              <w:pStyle w:val="TableContents"/>
              <w:bidi w:val="0"/>
              <w:spacing w:before="0" w:after="1"/>
              <w:ind w:left="0" w:right="0" w:hanging="0"/>
              <w:jc w:val="left"/>
              <w:rPr/>
            </w:pPr>
            <w:r>
              <w:rPr/>
              <w:t>​</w:t>
            </w:r>
          </w:p>
        </w:tc>
        <w:tc>
          <w:tcPr>
            <w:tcW w:w="27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6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7440"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Adjusted EBITDA (Non-GAAP)</w:t>
            </w:r>
          </w:p>
        </w:tc>
        <w:tc>
          <w:tcPr>
            <w:tcW w:w="271" w:type="dxa"/>
            <w:tcBorders>
              <w:bottom w:val="double" w:sz="6"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101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37,219</w:t>
            </w:r>
          </w:p>
        </w:tc>
        <w:tc>
          <w:tcPr>
            <w:tcW w:w="140" w:type="dxa"/>
            <w:tcBorders/>
            <w:vAlign w:val="center"/>
          </w:tcPr>
          <w:p>
            <w:pPr>
              <w:pStyle w:val="TableContents"/>
              <w:bidi w:val="0"/>
              <w:spacing w:before="0" w:after="1"/>
              <w:ind w:left="0" w:right="0" w:hanging="0"/>
              <w:jc w:val="left"/>
              <w:rPr/>
            </w:pPr>
            <w:r>
              <w:rPr/>
              <w:t>​</w:t>
            </w:r>
          </w:p>
        </w:tc>
        <w:tc>
          <w:tcPr>
            <w:tcW w:w="271" w:type="dxa"/>
            <w:tcBorders>
              <w:bottom w:val="double" w:sz="6"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106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36,743</w:t>
            </w:r>
          </w:p>
        </w:tc>
      </w:tr>
      <w:tr>
        <w:trPr/>
        <w:tc>
          <w:tcPr>
            <w:tcW w:w="10205" w:type="dxa"/>
            <w:gridSpan w:val="6"/>
            <w:tcBorders/>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2"/>
              </w:rPr>
              <w:t>(1)</w:t>
            </w:r>
            <w:r>
              <w:rPr>
                <w:rFonts w:ascii="Times New Roman;Times;serif" w:hAnsi="Times New Roman;Times;serif"/>
                <w:sz w:val="16"/>
              </w:rPr>
              <w:t xml:space="preserve"> Other segment items include professional fees, contracted labor, transaction costs, acquisition related earn-out adjustments and foreign currency exchange gains (losses). </w:t>
            </w:r>
          </w:p>
        </w:tc>
      </w:tr>
    </w:tbl>
    <w:p>
      <w:pPr>
        <w:pStyle w:val="TextBody"/>
        <w:bidi w:val="0"/>
        <w:spacing w:before="0" w:after="240"/>
        <w:ind w:left="0" w:right="0" w:firstLine="72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Additionally, the Company considers stock-based compensation expense a significant expense category. For further information, refer to Note 10, “Stock Based Award Plans.”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As the Company operates solely within one segment, total assets, property and equipment, net, and capitalized software, net are reported at the consolidated level on the condensed consolidated balance sheets. The Company’s assets include both current and long-lived assets, and corporate assets. As of March 31, 2025 and December 31, 2024, $894 and $687, respectively, of the Company’s property and equipment assets were held outside of the U.S. </w:t>
      </w:r>
    </w:p>
    <w:p>
      <w:pPr>
        <w:pStyle w:val="TextBody"/>
        <w:bidi w:val="0"/>
        <w:spacing w:before="0" w:after="240"/>
        <w:ind w:left="0" w:right="0" w:firstLine="72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Depreciation and amortization, property and equipment additions, and capital software additions are reported at the consolidated level on the condensed consolidated statements of cash flows.</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646" w:type="dxa"/>
        <w:jc w:val="left"/>
        <w:tblInd w:w="0" w:type="dxa"/>
        <w:tblLayout w:type="fixed"/>
        <w:tblCellMar>
          <w:top w:w="0" w:type="dxa"/>
          <w:left w:w="0" w:type="dxa"/>
          <w:bottom w:w="0" w:type="dxa"/>
          <w:right w:w="0" w:type="dxa"/>
        </w:tblCellMar>
      </w:tblPr>
      <w:tblGrid>
        <w:gridCol w:w="6646"/>
      </w:tblGrid>
      <w:tr>
        <w:trPr/>
        <w:tc>
          <w:tcPr>
            <w:tcW w:w="6646" w:type="dxa"/>
            <w:tcBorders/>
            <w:vAlign w:val="center"/>
          </w:tcPr>
          <w:p>
            <w:pPr>
              <w:pStyle w:val="TableContents"/>
              <w:bidi w:val="0"/>
              <w:spacing w:before="0" w:after="283"/>
              <w:ind w:left="0" w:right="0" w:hanging="0"/>
              <w:jc w:val="left"/>
              <w:rPr>
                <w:sz w:val="4"/>
                <w:szCs w:val="4"/>
              </w:rPr>
            </w:pPr>
            <w:r>
              <w:rPr>
                <w:sz w:val="4"/>
                <w:szCs w:val="4"/>
              </w:rPr>
            </w:r>
          </w:p>
        </w:tc>
      </w:tr>
      <w:tr>
        <w:trPr/>
        <w:tc>
          <w:tcPr>
            <w:tcW w:w="66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Vertex, Inc. and Subsidiaries</w:t>
            </w:r>
          </w:p>
        </w:tc>
      </w:tr>
      <w:tr>
        <w:trPr/>
        <w:tc>
          <w:tcPr>
            <w:tcW w:w="66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Condensed Consolidated Financial Statements (unaudited) continued</w:t>
            </w:r>
          </w:p>
        </w:tc>
      </w:tr>
      <w:tr>
        <w:trPr/>
        <w:tc>
          <w:tcPr>
            <w:tcW w:w="66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(Amounts in thousands, except per share data) </w:t>
            </w:r>
          </w:p>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disaggregates revenue from contracts with customers based on geographical regions, timing of revenue recognition, and the major product and service types. For the three months ended March 31, 2025 and 2024, approximately 8% and 7%, respectively, of the Company’s revenues were generated outside of the U.S. None of the Company’s customers represented more than 10% of total revenues for the three months ended March 31, 2025 or 2024. For further information including disaggregation of revenues, refer to Note 2, “Revenue Recognition.”</w:t>
      </w:r>
    </w:p>
    <w:p>
      <w:pPr>
        <w:pStyle w:val="TextBody"/>
        <w:bidi w:val="0"/>
        <w:spacing w:before="0" w:after="240"/>
        <w:ind w:left="0" w:right="0" w:firstLine="360"/>
        <w:jc w:val="both"/>
        <w:rPr/>
      </w:pPr>
      <w:r>
        <w:rPr/>
        <w:t>​</w:t>
      </w:r>
    </w:p>
    <w:p>
      <w:pPr>
        <w:pStyle w:val="TextBody"/>
        <w:pBdr/>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13.   INCOME TAXES  </w:t>
      </w:r>
    </w:p>
    <w:p>
      <w:pPr>
        <w:pStyle w:val="TextBody"/>
        <w:shd w:fill="FFFFFF" w:val="clear"/>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reported income tax benefit of $(5,105) and $(4,535) for the three months ended March 31, 2025 and 2024, respectively. The effective income tax rate was (84.7)% for the three months ended March 31, 2025, compared to 245.0% for the three months ended March 31, 2024.</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determining interim provisions for income taxes, the Company uses the annual estimated effective tax rate applied to the actual year-to-date income (loss) adjusted for discrete items arising year-to-date. The Company’s effective tax rate differs from the U.S. federal statutory rate of 21% primarily due to state taxes, foreign taxes, tax benefits on the exercises and vesting of stock awards, tax credits, limitations on deductions of certain employees’ compensation under Internal Revenue Code Section 162(m), fluctuations in valuation allowances on net deferred tax assets established for U.S. and certain foreign jurisdictions, and fluctuations in nondeductible contingent consideration liabilities.</w:t>
      </w:r>
    </w:p>
    <w:p>
      <w:pPr>
        <w:pStyle w:val="TextBody"/>
        <w:bidi w:val="0"/>
        <w:spacing w:before="0" w:after="0"/>
        <w:ind w:left="0" w:right="0" w:firstLine="360"/>
        <w:jc w:val="both"/>
        <w:rPr/>
      </w:pPr>
      <w:r>
        <w:rPr/>
        <w:t>​</w:t>
      </w:r>
    </w:p>
    <w:p>
      <w:pPr>
        <w:pStyle w:val="TextBody"/>
        <w:shd w:fill="FFFFFF" w:val="clear"/>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income tax benefit for the three months ended March 31, 2025 was primarily attributable to tax benefits from stock-based awards exercised or vested during the quarter, tax credits, and fluctuations in nondeductible contingent consideration liabilities, net of limitations on deductions of certain employees’ compensation, fluctuations in valuation allowances on net deferred tax assets established for U.S. and certain foreign jurisdictions, and state taxes. The income tax benefit for the three months ended March 31, 2024 was primarily attributable to tax benefits from stock-based awards exercised or vested during the quarter, net of the impact from limitations on deductions of certain employees’ compensation.</w:t>
      </w:r>
    </w:p>
    <w:p>
      <w:pPr>
        <w:pStyle w:val="TextBody"/>
        <w:bidi w:val="0"/>
        <w:spacing w:lineRule="auto" w:line="304" w:before="0" w:after="240"/>
        <w:ind w:left="0" w:right="0" w:hanging="0"/>
        <w:jc w:val="both"/>
        <w:rPr>
          <w:rFonts w:ascii="Times New Roman;Times;serif" w:hAnsi="Times New Roman;Times;serif"/>
          <w:b/>
          <w:sz w:val="20"/>
        </w:rPr>
      </w:pPr>
      <w:r>
        <w:rPr>
          <w:rFonts w:ascii="Times New Roman;Times;serif" w:hAnsi="Times New Roman;Times;serif"/>
          <w:b/>
          <w:sz w:val="20"/>
        </w:rPr>
        <w:t>14.   SUBSEQUENT EVENTS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April 30, 2025, the Company announced it had completed a strategic investment in Kintsugi AI, Inc. (“Kintsugi”), a San Francisco-based, AI startup focused on automating sales tax compliance for small and mid-size businesses. Terms of the agreement include a $15,000 minority investment representing a 10% ownership interest, as well as an intellectual property sharing and commercial arrangement. Additionally, the Company has designated one member to Kintsugi’s board of directors. </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ind w:left="0" w:right="0" w:hanging="0"/>
        <w:jc w:val="left"/>
        <w:rPr>
          <w:sz w:val="4"/>
          <w:szCs w:val="4"/>
        </w:rPr>
      </w:pPr>
      <w:r>
        <w:rPr>
          <w:sz w:val="4"/>
          <w:szCs w:val="4"/>
        </w:rPr>
      </w:r>
      <w:bookmarkStart w:id="1360" w:name="Item2MANAGEMENTSDISCUSSIONANDANALYSIS_19"/>
      <w:bookmarkStart w:id="1361" w:name="_d0e5bf60_19cb_4883_a09f_eb7c2d6ddfdb"/>
      <w:bookmarkStart w:id="1362" w:name="Item2MANAGEMENTSDISCUSSIONANDANALYSIS_19"/>
      <w:bookmarkStart w:id="1363" w:name="_d0e5bf60_19cb_4883_a09f_eb7c2d6ddfdb"/>
      <w:bookmarkEnd w:id="1362"/>
      <w:bookmarkEnd w:id="1363"/>
    </w:p>
    <w:tbl>
      <w:tblPr>
        <w:tblW w:w="10205" w:type="dxa"/>
        <w:jc w:val="left"/>
        <w:tblInd w:w="0" w:type="dxa"/>
        <w:tblLayout w:type="fixed"/>
        <w:tblCellMar>
          <w:top w:w="0" w:type="dxa"/>
          <w:left w:w="0" w:type="dxa"/>
          <w:bottom w:w="0" w:type="dxa"/>
          <w:right w:w="0" w:type="dxa"/>
        </w:tblCellMar>
      </w:tblPr>
      <w:tblGrid>
        <w:gridCol w:w="693"/>
        <w:gridCol w:w="9512"/>
      </w:tblGrid>
      <w:tr>
        <w:trPr/>
        <w:tc>
          <w:tcPr>
            <w:tcW w:w="693"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Item 2.</w:t>
            </w:r>
          </w:p>
        </w:tc>
        <w:tc>
          <w:tcPr>
            <w:tcW w:w="951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b/>
                <w:sz w:val="20"/>
              </w:rPr>
              <w:t>MANAGEMENT’S DISCUSSION AND ANALYSIS OF FINANCIAL CONDITION AND RESULTS</w:t>
            </w:r>
            <w:r>
              <w:rPr>
                <w:rFonts w:ascii="Times New Roman;Times;serif" w:hAnsi="Times New Roman;Times;serif"/>
                <w:sz w:val="20"/>
              </w:rPr>
              <w:t xml:space="preserve"> </w:t>
            </w:r>
            <w:r>
              <w:rPr>
                <w:rFonts w:ascii="Times New Roman;Times;serif" w:hAnsi="Times New Roman;Times;serif"/>
                <w:b/>
                <w:sz w:val="20"/>
              </w:rPr>
              <w:t>OF OPERATIONS</w:t>
            </w:r>
          </w:p>
        </w:tc>
      </w:tr>
    </w:tbl>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You should read the following discussion and analysis of our financial condition and results of operations in conjunction with the condensed consolidated financial statements and the notes thereto included elsewhere in this Quarterly Report on Form 10-Q, as well as our audited consolidated financial statements and related notes as disclosed in our Annual Report on Form 10-K filed with the Securities and Exchange Commission (“SEC”) on February 27, 2025 (the “2024 Annual Report”). In addition to historical financial information, the following discussion contains forward-looking statements that reflect our plans, estimates, beliefs, and expectations that involve risks and uncertainties. Our actual results and the timing of events could differ materially from those discussed in the forward-looking statements. Factors that could cause or contribute to these differences include those discussed below and elsewhere in this Quarterly Report on Form 10-Q, particularly in the section titled “Special Note Regarding Forward-Looking Statements” above, and in Part I, Item 1A of the 2024 Annual Report and as may be subsequently updated by our other SEC filings.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 xml:space="preserve">Overview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Vertex is a leading global provider of indirect tax solutions. Our mission is to deliver the most trusted tax technology enabling global businesses to transact, comply and grow with confidence. Vertex provides solutions that can be tailored to specific industries for major lines of indirect tax, including sales and consumer use, value added and payroll. Headquartered in North America, and with offices in South America and Europe, Vertex empowers the world’s leading brands to simplify the complexity of continuous compliance. Vertex employs over 1,900 professionals and serves companies across the globe.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derive the majority of our revenue from software subscriptions. These subscriptions include use of our software and ongoing monthly content updates. Our software is offered on a subscription basis to our customers, regardless of their deployment preferences. On-premise subscriptions are typically sold through one-year contracts, and cloud-based subscriptions are typically sold through one- to three-year contracts. We bill the majority of our customers annually in advance of the subscription period.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customers include a majority of the Fortune 500, as well as a majority of the top 10 companies by revenue in multiple industries such as retail, technology, and manufacturing, in addition to leading marketplaces. As our customers expand geographically and pursue omnichannel business models, their tax determination and compliance requirements increase and become more complex, providing sustainable organic growth opportunities for our business. Our flexible, tiered transaction-based pricing model also results in our customers growing their spend with us as they grow and continue to use our solutions. We principally price our solutions based on a customer’s revenue base, in addition to a number of other factors.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employ a hybrid deployment model to align to our customers’ technology preferences for their core financial management software across on-premise, cloud deployments or any combination of these models. Over time, we expect both existing and newly acquired customers to continue to shift towards cloud deployment models. Cloud-based subscription sales to new customers have grown at a faster rate than on-premise software subscription sales, which is a trend that we expect to continue over time. We generated 53% and 47% of software subscription revenue from cloud-based subscriptions during the three months ended March 31, 2025 and 2024, respectively. While our on-premise software subscription revenue comprised 47% and 53% of our software subscription revenue during the three months ended March 31, 2025 and 2024, respectively, it continues to decrease as a percentage of total software subscriptions revenues as cloud-based subscriptions grow.</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license our solutions primarily through our direct sales force, which focuses on selling to qualified leads provided by our marketing efforts, and through our network of referral partners. We also utilize indirect sales to a lesser extent to efficiently grow and scale our enterprise and mid-market revenues.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Our partner ecosystem is a differentiating, competitive strength in both our software development and our sales and marketing activities. We integrate with key technology partners that span Enterprise Resource Planning (“ERP”), Customer Relationship Management, procurement, billing, Point of Sale and e-commerce. These partners include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Adobe/Magento, Coupa, Microsoft Dynamics, NetSuite, Oracle, Salesforce, SAP, SAP Ariba, Shopify, Workday and Zuora. We also collaborate with numerous accounting firms who have built implementation practices around our software to serve their customer base.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believe that global commerce and the compliance environment provides durable and accelerating growth opportunities for our business. We generated revenue of $177.1 million and $156.8 million for the three months ended March 31, 2025 and 2024, respectively. We had net income of $11.1 million and $2.7 million for the three months ended March 31, 2025 and 2024, respectively. These amounts are presented in accordance with United States (“U.S.”) generally accepted accounting principles (“GAAP”).</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define Adjusted EBITDA as net loss or income before interest (including adjustments to the settlement value of deferred purchase commitment liabilities), taxes, depreciation, and amortization, as adjusted to exclude charges for stock-based compensation expense, amortization of cloud computing arrangement implementation costs, severance expense, acquisition contingent consideration, changes in the fair value of acquisition contingent earn-outs, changes in the settlement value of deferred purchase commitment liabilities recorded as interest expense, and transaction costs. Adjusted EBITDA was $37.2 million and $36.7 million for the three months ended March 31, 2025 and 2024, respectively. Adjusted EBITDA is a non-GAAP financial measure. Refer to “Management’s Discussion and Analysis of Financial Condition and Results of Operations—Key Business Metrics” and “Management’s Discussion and Analysis of Financial Condition and Results of Operations—Use and Reconciliation of Non-GAAP Financial Measures” for further discussion of key business metrics and non-GAAP financial measures and their comparison to GAAP financial measures.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believe that we currently have ample liquidity and capital resources to continue to meet our operating needs, and our ability to continue to service our debt or other financial obligations is not currently impaired. For a further description of our liquidity, see “Management’s Discussion and Analysis of Financial Condition and Results of Operations—Liquidity and Capital Resources.”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Recent Developments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April 30, 2025, we announced the completion of a strategic investment in Kintsugi AI, Inc. (“Kintsugi”), a San Francisco-based, AI startup focused on automating sales tax compliance for ​​small and mid-size businesses. ​​​​Terms of the agreement include a $15.0 million minority investment representing a 10% ownership interest, as well as an intellectual property sharing and commercial arrangement. Additionally, the Company has designated one member to Kintsugi’s board of directors. Our investment in Kintsugi is separate from the $10.0 to $12.0 million of investments that we previously announced we would spend in AI technologies during 2025. We plan to leverage Kintsugi’s intellectual property to advance these initiatives.</w:t>
      </w:r>
    </w:p>
    <w:p>
      <w:pPr>
        <w:pStyle w:val="TextBody"/>
        <w:bidi w:val="0"/>
        <w:spacing w:before="0" w:after="240"/>
        <w:ind w:left="0" w:right="0" w:firstLine="720"/>
        <w:jc w:val="both"/>
        <w:rPr/>
      </w:pPr>
      <w:r>
        <w:rPr/>
        <w:t>​</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Components of Our Results of Operations</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Revenue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generate revenue from software subscriptions and services.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Revenue is recognized upon transfer of control of promised products or services to customers in an amount that reflects the consideration expected to be received in exchange for those products or services. We enter into contracts that include various combinations of products and services, which are generally capable of being distinct and accounted for as separate performance obligations. Revenue is recognized net of allowance for subscription and non-renewal cancellations and any taxes collected from customers that are subsequently remitted to governmental authorities.</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Software Subscriptions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Licenses for on-premise software subscriptions provide the customer with a right to use the software as it exists when made available to the customer. Customers purchase a subscription to these licenses, which includes the related software and tax content updates and product support. The updates and support, which are part of the subscription agreement, are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essential to the continued utility of the software; therefore, we have determined the software and the related updates and support to be a single performance obligation. Accordingly, when on-premise software is licensed, the revenue associated with this combined performance obligation is recognized ratably over the license term as these subscriptions are provided for the duration of the license term. Revenue recognition begins on the later of the beginning of the subscription period or the date the software is made available to the customer to download.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cloud-based subscriptions allow customers to use Vertex-hosted software over the contract period without taking possession of the software. The contracts are generally for one to three years and are generally billed annually in advance of the subscription period. Our cloud-based offerings also include related updates and support.  Revenue recognition begins on the later of the beginning of the subscription period or the date the customer is provided access to the cloud-based solutions. All services within the cloud-based contracts consistently provide a benefit to the customer during the subscription period; thus, the associated revenue is recognized ratably over the subscription period.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Revenue is impacted by the timing of sales and our customers’ growth or contractions resulting in their need to expand or contract their subscription usage, the purchase of new solutions, or the non-renewal of existing solutions. In addition, revenue will fluctuate with the cessation of extended product support fees charged for older versions of our software subscription solutions when they are retired and these fees are no longer charged. Contracts for on-premise licenses permit cancellations at the end of the license term. Legacy cloud-based subscription contracts for multi-year periods previously provided customers the right to terminate their contract for services prior to the end of the subscription period at a significant penalty. This penalty requires the payment of a percentage of the remaining months of the then-current contract term. Current cloud-based contracts do not contain such termination rights. Terminations of cloud-based subscriptions prior to the end of the subscription term have occurred infrequently, and the impact has been immaterial. The allowance for subscription and non-renewal cancellations reflects an estimate of the amount of such cancellations and non-renewals based on past experience, current information, and forward-looking economic considerations.</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Services Revenue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generate services revenue primarily in support of our customers’ needs associated with our software and to enable them to realize the full benefit of our solutions. These software subscription-related services include configuration, data migration and implementation, and premium support and training. In addition, we generate services revenue through our managed services offering which allows customers to outsource all or a portion of their indirect tax operations to us. These services include indirect tax return preparation, filing and tax payment, and notice management. We generally bill for services on a per-transaction or time and materials basis, and we recognize revenue from deliverable-based professional services as services are performed.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Fluctuations in services revenue are directly correlated to fluctuations in our subscription revenues with respect to implementation and training services as we have historically experienced an attachment rate to subscription sales for these services of approximately 60%. In addition, our managed services offering has continued to experience increased revenues associated with returns processing volume increases attributable to regulatory changes, as customers expanded their tax filings into more jurisdictions.</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Cost of Revenue</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Software Subscriptions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Cost of software subscriptions revenue consists of costs related to providing and supporting our software subscriptions and includes personnel and related expenses, including salaries, benefits, bonuses, and stock-based compensation. In addition, cost of revenue includes direct costs associated with information technology, such as data center and software hosting costs, and tax content maintenance. Cost of software subscriptions revenue also includes amortization associated with capitalized internal-use software for cloud-based subscription solutions and software developed for sale for new products and enhancements to existing products, and costs associated with the amortization of certain acquired intangible assets. We plan to continue to significantly expand our infrastructure and personnel to support our future growth and increases in transaction volumes of our cloud-based solutions, including through acquisitions. We expect growth in our business will result in an increase in cost of software subscriptions revenue in absolute dollars.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Services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Cost of services revenue consists of direct costs of software subscription-related services and our managed services offering. These costs include personnel and related expenses, including salaries, benefits, bonuses, stock-based compensation, and the cost of third-party contractors and other direct expenses. We plan to continue to expand our infrastructure and personnel as necessary to support our future growth in our managed service offerings and related increases in our service revenue. We expect growth in our business will result in an increase in the cost of services revenue in absolute dollars.</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Research and Development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Research and development expenses consist primarily of personnel and related expenses for our research and development activities, including salaries, benefits, bonuses and stock-based compensation, and the cost of third-party developers and other contractors. Research and development costs, other than software development expenses qualifying for capitalization, are expensed as incurred.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devote substantial resources to developing new products and enhancing existing products, conducting quality assurance testing, improving our core technology, and integrating acquired technology with our products. We believe continued investments in research and development are critical to attain our strategic objectives and expect research and development costs to increase in absolute dollars. These investments include enhancing our solution offerings to address changing customer needs to support their growth, as well as implementing changes required to keep pace with our partners’ technology to ensure the continued ability of our solutions to work together and deliver value to our customers. The market for our solutions is characterized by rapid technological change, frequent new product and service introductions and enhancements, changing customer demands, and evolving industry standards. As a result, although we are making significant research and development expenditures, certain of which may be capitalized, there is no guarantee these solutions will be accepted by the market. This could result in increased costs or an impairment of capitalized development costs with no resulting future revenue benefit.</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Selling and Marketing Expenses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Selling and marketing expenses consist primarily of personnel and related expenses in support of sales and marketing efforts. These costs include salaries, benefits, bonuses and stock-based compensation. In addition, selling  and marketing expenses include costs related to advertising and promotion efforts, branding costs, partner-based commissions, costs associated with our annual customer conferences and amortization of certain acquired intangible assets. We intend to continue to invest in our sales and marketing capabilities in the future to continue to increase our brand awareness and expect these costs to increase on an absolute dollar basis as we grow our business and continue to expand our market and partner ecosystem penetration. Sales and marketing expense in absolute dollars and as a percentage of total revenue may fluctuate from period-to-period based on total revenue levels and the timing of our investments in our sales and marketing functions, as these investments will occur in advance of experiencing the benefits from such investments and may vary in scope and scale over future periods.</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General and Administrative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General and administrative expenses consist primarily of personnel and related expenses for administrative, finance, information technology, legal, risk management, facilities, and human resources staffing, including salaries, benefits, bonuses, severance, stock-based compensation, professional fees, insurance premiums, facility costs, amortization of cloud computing arrangement implementation costs, and other internal support and infrastructure costs.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We expect our general and administrative expenses to increase in absolute dollars as we continue to expand our operations, hire additional personnel, and integrate current and future acquisitions. </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Depreciation and Amortization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Depreciation and amortization expense consists of the allocation of purchased and developed asset costs over the future periods benefitted by the use of these assets. These assets include leasehold improvements for our facilities, computers and equipment needed to support our customers and our internal infrastructure and capitalized internal-use software associated with our internal tools. Depreciation and amortization will fluctuate in correlation with our ongoing investment in internal infrastructure costs to support our growth.</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 xml:space="preserve">Change in Fair Value of Acquisition Contingent Earn-Outs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connection with our acquisition of ecosio GmbH (“ecosio”) in August 2024, the sellers are entitled to three annual earn-outs in the form of cash, with an aggregate value of up to $94.4 million (the “Cash Earn-outs”), and stock, with an aggregate value of up to $35.0 million (the “Stock Earn-outs,” and together with the Cash Earn-outs, the “Earn-outs”), assuming maximum payouts. The Earn-outs are based on ecosio’s achievement of certain monthly software revenue targets over a three-year period, measured over an aggregate of 12 months and paid within 90 days after the relevant measurement period. The change in fair value of acquisition contingent earn-outs consists of fair value adjustments to our Earn-outs, which will be revalued and adjusted quarterly until the end of the Earn-out periods.</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Other Operating Expense (Income), net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Other operating expense (income), net consists primarily of transactions costs associated with merger and acquisition activities, periodic remeasurement of contingent consideration associated with completed acquisitions, realized gains and losses on foreign currency changes, and other operating gains and losses. These amounts will fluctuate as a result of ongoing merger and acquisition activities and for changes in foreign currency rates.</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Interest Expense (Income), net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Interest expense (income), net reflects the net amount of our interest expense and interest income within the same period.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Interest expense consists primarily of interest incurred related to the Notes (as defined below), Term Loan (as defined below), Credit Agreement (as defined below), and leases. Interest expense includes amortization of deferred financing fees over the term of the credit facility or write-downs of such costs upon redemption of debt. Interest expense will vary as a result of fluctuations in the level of debt outstanding as well as interest rates on such debt. In addition, interest expense will include adjustments to the fair value of contracts that may be entered into to hedge risks associated with currency fluctuations for cash receipts or cash payments denominated in currencies other than U.S. dollars and which do not qualify for hedge accounting, as well as changes in the settlement value of the future payment obligation for the Systax Sistemas Fiscais LTDA (“Systax”) acquisition, which was fully settled on June 5, 2024. Interest income reflects earnings on investments of our cash on hand and our investment securities. Interest income will vary as a result of fluctuations in the future level of funds available for investment and the rate of return available in the market on such funds. </w:t>
      </w:r>
    </w:p>
    <w:p>
      <w:pPr>
        <w:pStyle w:val="TextBody"/>
        <w:bidi w:val="0"/>
        <w:spacing w:before="0" w:after="0"/>
        <w:ind w:left="0" w:right="0" w:firstLine="360"/>
        <w:jc w:val="both"/>
        <w:rPr>
          <w:rFonts w:ascii="Times New Roman;Times;serif" w:hAnsi="Times New Roman;Times;serif"/>
          <w:b/>
          <w:sz w:val="20"/>
        </w:rPr>
      </w:pPr>
      <w:r>
        <w:rPr>
          <w:rFonts w:ascii="Times New Roman;Times;serif" w:hAnsi="Times New Roman;Times;serif"/>
          <w:b/>
          <w:sz w:val="20"/>
        </w:rPr>
        <w:t xml:space="preserve">Income Tax Expense (Benefit)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Income tax expense (benefit) consists primarily of federal, foreign, state, and local taxes on our loss or income. In determining our annualized effective income tax rates, net deferred tax assets, valuation allowances, and cash paid for income taxes, we are required to make judgments and estimates about domestic and foreign profitability, the timing and usage of net operating loss and credit carryforwards, applicable tax rates, and transfer pricing methodologies. Judgments and estimates related to our projections and assumptions are inherently uncertain; therefore, actual results could materially differ from our projections.</w:t>
      </w:r>
    </w:p>
    <w:p>
      <w:pPr>
        <w:pStyle w:val="TextBody"/>
        <w:bidi w:val="0"/>
        <w:spacing w:before="0" w:after="0"/>
        <w:ind w:left="0" w:right="0" w:firstLine="360"/>
        <w:jc w:val="both"/>
        <w:rPr/>
      </w:pPr>
      <w:r>
        <w:rPr/>
        <w:t>​</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 xml:space="preserve">Results of Operations </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You should read the following discussion and analysis of our financial condition and results of operations in conjunction with our condensed consolidated financial statements and the notes thereto included elsewhere in this Quarterly Report on Form 10-Q, and our consolidated financial statements and the notes thereto included in our 2024 Annual Report. The period-to-period comparison of financial results is not necessarily indicative of financial results to be achieved in future periods. The following table sets forth our condensed consolidated statements of comprehensive</w:t>
      </w:r>
      <w:r>
        <w:rPr>
          <w:rFonts w:ascii="Times New Roman;Times;serif" w:hAnsi="Times New Roman;Times;serif"/>
          <w:color w:val="FF0000"/>
          <w:sz w:val="20"/>
        </w:rPr>
        <w:t xml:space="preserve"> </w:t>
      </w:r>
      <w:r>
        <w:rPr>
          <w:rFonts w:ascii="Times New Roman;Times;serif" w:hAnsi="Times New Roman;Times;serif"/>
          <w:sz w:val="20"/>
        </w:rPr>
        <w:t>income (loss)</w:t>
      </w:r>
      <w:r>
        <w:rPr>
          <w:rFonts w:ascii="Times New Roman;Times;serif" w:hAnsi="Times New Roman;Times;serif"/>
          <w:color w:val="FF0000"/>
          <w:sz w:val="20"/>
        </w:rPr>
        <w:t xml:space="preserve"> </w:t>
      </w:r>
      <w:r>
        <w:rPr>
          <w:rFonts w:ascii="Times New Roman;Times;serif" w:hAnsi="Times New Roman;Times;serif"/>
          <w:sz w:val="20"/>
        </w:rPr>
        <w:t xml:space="preserve">for the periods indicated. </w:t>
      </w:r>
    </w:p>
    <w:tbl>
      <w:tblPr>
        <w:tblW w:w="9120" w:type="dxa"/>
        <w:jc w:val="left"/>
        <w:tblInd w:w="0" w:type="dxa"/>
        <w:tblLayout w:type="fixed"/>
        <w:tblCellMar>
          <w:top w:w="0" w:type="dxa"/>
          <w:left w:w="0" w:type="dxa"/>
          <w:bottom w:w="0" w:type="dxa"/>
          <w:right w:w="0" w:type="dxa"/>
        </w:tblCellMar>
      </w:tblPr>
      <w:tblGrid>
        <w:gridCol w:w="4036"/>
        <w:gridCol w:w="326"/>
        <w:gridCol w:w="197"/>
        <w:gridCol w:w="726"/>
        <w:gridCol w:w="328"/>
        <w:gridCol w:w="197"/>
        <w:gridCol w:w="696"/>
        <w:gridCol w:w="109"/>
        <w:gridCol w:w="236"/>
        <w:gridCol w:w="869"/>
        <w:gridCol w:w="176"/>
        <w:gridCol w:w="923"/>
        <w:gridCol w:w="301"/>
      </w:tblGrid>
      <w:tr>
        <w:trPr/>
        <w:tc>
          <w:tcPr>
            <w:tcW w:w="4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2562860" cy="175260"/>
                      <wp:effectExtent l="0" t="0" r="0" b="0"/>
                      <wp:wrapNone/>
                      <wp:docPr id="310" name="Frame310"/>
                      <a:graphic xmlns:a="http://schemas.openxmlformats.org/drawingml/2006/main">
                        <a:graphicData uri="http://schemas.microsoft.com/office/word/2010/wordprocessingShape">
                          <wps:wsp>
                            <wps:cNvSpPr txBox="1"/>
                            <wps:spPr>
                              <a:xfrm>
                                <a:off x="0" y="0"/>
                                <a:ext cx="2562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207010" cy="175260"/>
                      <wp:effectExtent l="0" t="0" r="0" b="0"/>
                      <wp:wrapNone/>
                      <wp:docPr id="311" name="Frame3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125095" cy="175260"/>
                      <wp:effectExtent l="0" t="0" r="0" b="0"/>
                      <wp:wrapNone/>
                      <wp:docPr id="312" name="Frame312"/>
                      <a:graphic xmlns:a="http://schemas.openxmlformats.org/drawingml/2006/main">
                        <a:graphicData uri="http://schemas.microsoft.com/office/word/2010/wordprocessingShape">
                          <wps:wsp>
                            <wps:cNvSpPr txBox="1"/>
                            <wps:spPr>
                              <a:xfrm>
                                <a:off x="0" y="0"/>
                                <a:ext cx="1250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461010" cy="175260"/>
                      <wp:effectExtent l="0" t="0" r="0" b="0"/>
                      <wp:wrapNone/>
                      <wp:docPr id="313" name="Frame313"/>
                      <a:graphic xmlns:a="http://schemas.openxmlformats.org/drawingml/2006/main">
                        <a:graphicData uri="http://schemas.microsoft.com/office/word/2010/wordprocessingShape">
                          <wps:wsp>
                            <wps:cNvSpPr txBox="1"/>
                            <wps:spPr>
                              <a:xfrm>
                                <a:off x="0" y="0"/>
                                <a:ext cx="461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208280" cy="175260"/>
                      <wp:effectExtent l="0" t="0" r="0" b="0"/>
                      <wp:wrapNone/>
                      <wp:docPr id="314" name="Frame314"/>
                      <a:graphic xmlns:a="http://schemas.openxmlformats.org/drawingml/2006/main">
                        <a:graphicData uri="http://schemas.microsoft.com/office/word/2010/wordprocessingShape">
                          <wps:wsp>
                            <wps:cNvSpPr txBox="1"/>
                            <wps:spPr>
                              <a:xfrm>
                                <a:off x="0" y="0"/>
                                <a:ext cx="2082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125095" cy="175260"/>
                      <wp:effectExtent l="0" t="0" r="0" b="0"/>
                      <wp:wrapNone/>
                      <wp:docPr id="315" name="Frame315"/>
                      <a:graphic xmlns:a="http://schemas.openxmlformats.org/drawingml/2006/main">
                        <a:graphicData uri="http://schemas.microsoft.com/office/word/2010/wordprocessingShape">
                          <wps:wsp>
                            <wps:cNvSpPr txBox="1"/>
                            <wps:spPr>
                              <a:xfrm>
                                <a:off x="0" y="0"/>
                                <a:ext cx="1250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441960" cy="175260"/>
                      <wp:effectExtent l="0" t="0" r="0" b="0"/>
                      <wp:wrapNone/>
                      <wp:docPr id="316" name="Frame316"/>
                      <a:graphic xmlns:a="http://schemas.openxmlformats.org/drawingml/2006/main">
                        <a:graphicData uri="http://schemas.microsoft.com/office/word/2010/wordprocessingShape">
                          <wps:wsp>
                            <wps:cNvSpPr txBox="1"/>
                            <wps:spPr>
                              <a:xfrm>
                                <a:off x="0" y="0"/>
                                <a:ext cx="441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69215" cy="175260"/>
                      <wp:effectExtent l="0" t="0" r="0" b="0"/>
                      <wp:wrapNone/>
                      <wp:docPr id="317" name="Frame31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149860" cy="175260"/>
                      <wp:effectExtent l="0" t="0" r="0" b="0"/>
                      <wp:wrapNone/>
                      <wp:docPr id="318" name="Frame318"/>
                      <a:graphic xmlns:a="http://schemas.openxmlformats.org/drawingml/2006/main">
                        <a:graphicData uri="http://schemas.microsoft.com/office/word/2010/wordprocessingShape">
                          <wps:wsp>
                            <wps:cNvSpPr txBox="1"/>
                            <wps:spPr>
                              <a:xfrm>
                                <a:off x="0" y="0"/>
                                <a:ext cx="149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551815" cy="175260"/>
                      <wp:effectExtent l="0" t="0" r="0" b="0"/>
                      <wp:wrapNone/>
                      <wp:docPr id="319" name="Frame319"/>
                      <a:graphic xmlns:a="http://schemas.openxmlformats.org/drawingml/2006/main">
                        <a:graphicData uri="http://schemas.microsoft.com/office/word/2010/wordprocessingShape">
                          <wps:wsp>
                            <wps:cNvSpPr txBox="1"/>
                            <wps:spPr>
                              <a:xfrm>
                                <a:off x="0" y="0"/>
                                <a:ext cx="5518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111760" cy="175260"/>
                      <wp:effectExtent l="0" t="0" r="0" b="0"/>
                      <wp:wrapNone/>
                      <wp:docPr id="320" name="Frame320"/>
                      <a:graphic xmlns:a="http://schemas.openxmlformats.org/drawingml/2006/main">
                        <a:graphicData uri="http://schemas.microsoft.com/office/word/2010/wordprocessingShape">
                          <wps:wsp>
                            <wps:cNvSpPr txBox="1"/>
                            <wps:spPr>
                              <a:xfrm>
                                <a:off x="0" y="0"/>
                                <a:ext cx="111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586105" cy="175260"/>
                      <wp:effectExtent l="0" t="0" r="0" b="0"/>
                      <wp:wrapNone/>
                      <wp:docPr id="321" name="Frame321"/>
                      <a:graphic xmlns:a="http://schemas.openxmlformats.org/drawingml/2006/main">
                        <a:graphicData uri="http://schemas.microsoft.com/office/word/2010/wordprocessingShape">
                          <wps:wsp>
                            <wps:cNvSpPr txBox="1"/>
                            <wps:spPr>
                              <a:xfrm>
                                <a:off x="0" y="0"/>
                                <a:ext cx="5861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191135" cy="175260"/>
                      <wp:effectExtent l="0" t="0" r="0" b="0"/>
                      <wp:wrapNone/>
                      <wp:docPr id="322" name="Frame322"/>
                      <a:graphic xmlns:a="http://schemas.openxmlformats.org/drawingml/2006/main">
                        <a:graphicData uri="http://schemas.microsoft.com/office/word/2010/wordprocessingShape">
                          <wps:wsp>
                            <wps:cNvSpPr txBox="1"/>
                            <wps:spPr>
                              <a:xfrm>
                                <a:off x="0" y="0"/>
                                <a:ext cx="191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44"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109"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869" w:type="dxa"/>
            <w:tcBorders/>
            <w:vAlign w:val="center"/>
          </w:tcPr>
          <w:p>
            <w:pPr>
              <w:pStyle w:val="TableContents"/>
              <w:bidi w:val="0"/>
              <w:spacing w:before="0" w:after="0"/>
              <w:ind w:left="0" w:right="0" w:hanging="0"/>
              <w:jc w:val="center"/>
              <w:rPr/>
            </w:pPr>
            <w:r>
              <w:rPr/>
              <w:t>​</w:t>
            </w:r>
          </w:p>
        </w:tc>
        <w:tc>
          <w:tcPr>
            <w:tcW w:w="176" w:type="dxa"/>
            <w:tcBorders/>
            <w:vAlign w:val="center"/>
          </w:tcPr>
          <w:p>
            <w:pPr>
              <w:pStyle w:val="TableContents"/>
              <w:bidi w:val="0"/>
              <w:spacing w:before="0" w:after="0"/>
              <w:ind w:left="0" w:right="0" w:hanging="0"/>
              <w:jc w:val="left"/>
              <w:rPr/>
            </w:pPr>
            <w:r>
              <w:rPr/>
              <w:t>​</w:t>
            </w:r>
          </w:p>
        </w:tc>
        <w:tc>
          <w:tcPr>
            <w:tcW w:w="923" w:type="dxa"/>
            <w:tcBorders/>
            <w:vAlign w:val="center"/>
          </w:tcPr>
          <w:p>
            <w:pPr>
              <w:pStyle w:val="TableContents"/>
              <w:bidi w:val="0"/>
              <w:spacing w:before="0" w:after="0"/>
              <w:ind w:left="0" w:right="0" w:hanging="0"/>
              <w:jc w:val="center"/>
              <w:rPr/>
            </w:pPr>
            <w:r>
              <w:rPr/>
              <w:t>​</w:t>
            </w:r>
          </w:p>
        </w:tc>
        <w:tc>
          <w:tcPr>
            <w:tcW w:w="301" w:type="dxa"/>
            <w:tcBorders/>
            <w:vAlign w:val="center"/>
          </w:tcPr>
          <w:p>
            <w:pPr>
              <w:pStyle w:val="TableContents"/>
              <w:bidi w:val="0"/>
              <w:spacing w:before="0" w:after="0"/>
              <w:ind w:left="0" w:right="0" w:hanging="0"/>
              <w:jc w:val="center"/>
              <w:rPr/>
            </w:pPr>
            <w:r>
              <w:rPr/>
              <w:t>​</w:t>
            </w:r>
          </w:p>
        </w:tc>
      </w:tr>
      <w:tr>
        <w:trPr/>
        <w:tc>
          <w:tcPr>
            <w:tcW w:w="40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4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109"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869" w:type="dxa"/>
            <w:tcBorders/>
            <w:vAlign w:val="center"/>
          </w:tcPr>
          <w:p>
            <w:pPr>
              <w:pStyle w:val="TableContents"/>
              <w:bidi w:val="0"/>
              <w:spacing w:before="0" w:after="0"/>
              <w:ind w:left="0" w:right="0" w:hanging="0"/>
              <w:jc w:val="center"/>
              <w:rPr/>
            </w:pPr>
            <w:r>
              <w:rPr/>
              <w:t>​</w:t>
            </w:r>
          </w:p>
        </w:tc>
        <w:tc>
          <w:tcPr>
            <w:tcW w:w="176" w:type="dxa"/>
            <w:tcBorders/>
            <w:vAlign w:val="center"/>
          </w:tcPr>
          <w:p>
            <w:pPr>
              <w:pStyle w:val="TableContents"/>
              <w:bidi w:val="0"/>
              <w:spacing w:before="0" w:after="0"/>
              <w:ind w:left="0" w:right="0" w:hanging="0"/>
              <w:jc w:val="left"/>
              <w:rPr/>
            </w:pPr>
            <w:r>
              <w:rPr/>
              <w:t>​</w:t>
            </w:r>
          </w:p>
        </w:tc>
        <w:tc>
          <w:tcPr>
            <w:tcW w:w="923" w:type="dxa"/>
            <w:tcBorders/>
            <w:vAlign w:val="center"/>
          </w:tcPr>
          <w:p>
            <w:pPr>
              <w:pStyle w:val="TableContents"/>
              <w:bidi w:val="0"/>
              <w:spacing w:before="0" w:after="0"/>
              <w:ind w:left="0" w:right="0" w:hanging="0"/>
              <w:jc w:val="center"/>
              <w:rPr/>
            </w:pPr>
            <w:r>
              <w:rPr/>
              <w:t>​</w:t>
            </w:r>
          </w:p>
        </w:tc>
        <w:tc>
          <w:tcPr>
            <w:tcW w:w="301" w:type="dxa"/>
            <w:tcBorders/>
            <w:vAlign w:val="center"/>
          </w:tcPr>
          <w:p>
            <w:pPr>
              <w:pStyle w:val="TableContents"/>
              <w:bidi w:val="0"/>
              <w:spacing w:before="0" w:after="0"/>
              <w:ind w:left="0" w:right="0" w:hanging="0"/>
              <w:jc w:val="center"/>
              <w:rPr/>
            </w:pPr>
            <w:r>
              <w:rPr/>
              <w:t>​</w:t>
            </w:r>
          </w:p>
        </w:tc>
      </w:tr>
      <w:tr>
        <w:trPr/>
        <w:tc>
          <w:tcPr>
            <w:tcW w:w="403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thousands)</w:t>
            </w:r>
          </w:p>
        </w:tc>
        <w:tc>
          <w:tcPr>
            <w:tcW w:w="326" w:type="dxa"/>
            <w:tcBorders/>
            <w:vAlign w:val="center"/>
          </w:tcPr>
          <w:p>
            <w:pPr>
              <w:pStyle w:val="TableContents"/>
              <w:bidi w:val="0"/>
              <w:spacing w:before="0" w:after="0"/>
              <w:ind w:left="0" w:right="0" w:hanging="0"/>
              <w:jc w:val="left"/>
              <w:rPr/>
            </w:pPr>
            <w:r>
              <w:rPr/>
              <w:t>    </w:t>
            </w:r>
          </w:p>
        </w:tc>
        <w:tc>
          <w:tcPr>
            <w:tcW w:w="92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8" w:type="dxa"/>
            <w:tcBorders/>
            <w:vAlign w:val="center"/>
          </w:tcPr>
          <w:p>
            <w:pPr>
              <w:pStyle w:val="TableContents"/>
              <w:bidi w:val="0"/>
              <w:spacing w:before="0" w:after="0"/>
              <w:ind w:left="0" w:right="0" w:hanging="0"/>
              <w:jc w:val="left"/>
              <w:rPr/>
            </w:pPr>
            <w:r>
              <w:rPr/>
              <w:t>    </w:t>
            </w:r>
          </w:p>
        </w:tc>
        <w:tc>
          <w:tcPr>
            <w:tcW w:w="89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0"/>
              <w:ind w:left="0" w:right="0" w:hanging="0"/>
              <w:jc w:val="left"/>
              <w:rPr/>
            </w:pPr>
            <w:r>
              <w:rPr/>
              <w:t>​</w:t>
            </w:r>
          </w:p>
        </w:tc>
        <w:tc>
          <w:tcPr>
            <w:tcW w:w="220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Period-Over-Period Change </w:t>
            </w:r>
          </w:p>
        </w:tc>
        <w:tc>
          <w:tcPr>
            <w:tcW w:w="301" w:type="dxa"/>
            <w:tcBorders/>
            <w:vAlign w:val="center"/>
          </w:tcPr>
          <w:p>
            <w:pPr>
              <w:pStyle w:val="TableContents"/>
              <w:bidi w:val="0"/>
              <w:spacing w:before="0" w:after="0"/>
              <w:ind w:left="0" w:right="0" w:hanging="0"/>
              <w:jc w:val="center"/>
              <w:rPr/>
            </w:pPr>
            <w:r>
              <w:rPr/>
              <w:t>​</w:t>
            </w:r>
          </w:p>
        </w:tc>
      </w:tr>
      <w:tr>
        <w:trPr/>
        <w:tc>
          <w:tcPr>
            <w:tcW w:w="9120"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40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44"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109"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center"/>
              <w:rPr/>
            </w:pPr>
            <w:r>
              <w:rPr/>
              <w:t>​</w:t>
            </w:r>
          </w:p>
        </w:tc>
        <w:tc>
          <w:tcPr>
            <w:tcW w:w="869" w:type="dxa"/>
            <w:tcBorders/>
            <w:vAlign w:val="center"/>
          </w:tcPr>
          <w:p>
            <w:pPr>
              <w:pStyle w:val="TableContents"/>
              <w:bidi w:val="0"/>
              <w:spacing w:before="0" w:after="0"/>
              <w:ind w:left="0" w:right="0" w:hanging="0"/>
              <w:jc w:val="center"/>
              <w:rPr/>
            </w:pPr>
            <w:r>
              <w:rPr/>
              <w:t>​</w:t>
            </w:r>
          </w:p>
        </w:tc>
        <w:tc>
          <w:tcPr>
            <w:tcW w:w="176" w:type="dxa"/>
            <w:tcBorders/>
            <w:vAlign w:val="center"/>
          </w:tcPr>
          <w:p>
            <w:pPr>
              <w:pStyle w:val="TableContents"/>
              <w:bidi w:val="0"/>
              <w:spacing w:before="0" w:after="0"/>
              <w:ind w:left="0" w:right="0" w:hanging="0"/>
              <w:jc w:val="center"/>
              <w:rPr/>
            </w:pPr>
            <w:r>
              <w:rPr/>
              <w:t>​</w:t>
            </w:r>
          </w:p>
        </w:tc>
        <w:tc>
          <w:tcPr>
            <w:tcW w:w="923" w:type="dxa"/>
            <w:tcBorders/>
            <w:vAlign w:val="center"/>
          </w:tcPr>
          <w:p>
            <w:pPr>
              <w:pStyle w:val="TableContents"/>
              <w:bidi w:val="0"/>
              <w:spacing w:before="0" w:after="0"/>
              <w:ind w:left="0" w:right="0" w:hanging="0"/>
              <w:jc w:val="center"/>
              <w:rPr/>
            </w:pPr>
            <w:r>
              <w:rPr/>
              <w:t>​</w:t>
            </w:r>
          </w:p>
        </w:tc>
        <w:tc>
          <w:tcPr>
            <w:tcW w:w="301" w:type="dxa"/>
            <w:tcBorders/>
            <w:vAlign w:val="center"/>
          </w:tcPr>
          <w:p>
            <w:pPr>
              <w:pStyle w:val="TableContents"/>
              <w:bidi w:val="0"/>
              <w:spacing w:before="0" w:after="0"/>
              <w:ind w:left="0" w:right="0" w:hanging="0"/>
              <w:jc w:val="center"/>
              <w:rPr/>
            </w:pPr>
            <w:r>
              <w:rPr/>
              <w:t>​</w:t>
            </w:r>
          </w:p>
        </w:tc>
      </w:tr>
      <w:tr>
        <w:trPr/>
        <w:tc>
          <w:tcPr>
            <w:tcW w:w="4036" w:type="dxa"/>
            <w:tcBorders/>
            <w:shd w:fill="CCEEFF" w:val="clear"/>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Revenues:</w:t>
            </w:r>
          </w:p>
        </w:tc>
        <w:tc>
          <w:tcPr>
            <w:tcW w:w="326" w:type="dxa"/>
            <w:tcBorders/>
            <w:shd w:fill="CCEEFF" w:val="clear"/>
            <w:vAlign w:val="center"/>
          </w:tcPr>
          <w:p>
            <w:pPr>
              <w:pStyle w:val="TableContents"/>
              <w:bidi w:val="0"/>
              <w:spacing w:before="0" w:after="0"/>
              <w:ind w:left="0" w:right="0" w:hanging="0"/>
              <w:jc w:val="left"/>
              <w:rPr/>
            </w:pPr>
            <w:r>
              <w:rPr/>
              <w:t> </w:t>
            </w:r>
          </w:p>
        </w:tc>
        <w:tc>
          <w:tcPr>
            <w:tcW w:w="197" w:type="dxa"/>
            <w:tcBorders/>
            <w:shd w:fill="CCEEFF" w:val="clear"/>
            <w:vAlign w:val="center"/>
          </w:tcPr>
          <w:p>
            <w:pPr>
              <w:pStyle w:val="TableContents"/>
              <w:bidi w:val="0"/>
              <w:spacing w:before="0" w:after="0"/>
              <w:ind w:left="0" w:right="0" w:hanging="0"/>
              <w:jc w:val="left"/>
              <w:rPr/>
            </w:pPr>
            <w:r>
              <w:rPr/>
              <w:t>​</w:t>
            </w:r>
          </w:p>
        </w:tc>
        <w:tc>
          <w:tcPr>
            <w:tcW w:w="726" w:type="dxa"/>
            <w:tcBorders/>
            <w:shd w:fill="CCEEFF" w:val="clear"/>
            <w:vAlign w:val="center"/>
          </w:tcPr>
          <w:p>
            <w:pPr>
              <w:pStyle w:val="TableContents"/>
              <w:bidi w:val="0"/>
              <w:spacing w:before="0" w:after="0"/>
              <w:ind w:left="0" w:right="0" w:hanging="0"/>
              <w:jc w:val="right"/>
              <w:rPr/>
            </w:pPr>
            <w:r>
              <w:rPr/>
              <w:t>​</w:t>
            </w:r>
          </w:p>
        </w:tc>
        <w:tc>
          <w:tcPr>
            <w:tcW w:w="328"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left"/>
              <w:rPr/>
            </w:pPr>
            <w:r>
              <w:rPr/>
              <w:t>​</w:t>
            </w:r>
          </w:p>
        </w:tc>
        <w:tc>
          <w:tcPr>
            <w:tcW w:w="69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pPr>
            <w:r>
              <w:rPr/>
              <w:t>​</w:t>
            </w:r>
          </w:p>
        </w:tc>
        <w:tc>
          <w:tcPr>
            <w:tcW w:w="869" w:type="dxa"/>
            <w:tcBorders/>
            <w:shd w:fill="CCEEFF" w:val="clear"/>
            <w:vAlign w:val="center"/>
          </w:tcPr>
          <w:p>
            <w:pPr>
              <w:pStyle w:val="TableContents"/>
              <w:bidi w:val="0"/>
              <w:spacing w:before="0" w:after="0"/>
              <w:ind w:left="0" w:right="0" w:hanging="0"/>
              <w:jc w:val="right"/>
              <w:rPr/>
            </w:pPr>
            <w:r>
              <w:rPr/>
              <w:t>​</w:t>
            </w:r>
          </w:p>
        </w:tc>
        <w:tc>
          <w:tcPr>
            <w:tcW w:w="176" w:type="dxa"/>
            <w:tcBorders/>
            <w:shd w:fill="CCEEFF" w:val="clear"/>
            <w:vAlign w:val="center"/>
          </w:tcPr>
          <w:p>
            <w:pPr>
              <w:pStyle w:val="TableContents"/>
              <w:bidi w:val="0"/>
              <w:spacing w:before="0" w:after="0"/>
              <w:ind w:left="0" w:right="0" w:hanging="0"/>
              <w:jc w:val="left"/>
              <w:rPr/>
            </w:pPr>
            <w:r>
              <w:rPr/>
              <w:t>​</w:t>
            </w:r>
          </w:p>
        </w:tc>
        <w:tc>
          <w:tcPr>
            <w:tcW w:w="923" w:type="dxa"/>
            <w:tcBorders/>
            <w:shd w:fill="CCEEFF" w:val="clear"/>
            <w:vAlign w:val="center"/>
          </w:tcPr>
          <w:p>
            <w:pPr>
              <w:pStyle w:val="TableContents"/>
              <w:bidi w:val="0"/>
              <w:spacing w:before="0" w:after="0"/>
              <w:ind w:left="0" w:right="0" w:hanging="0"/>
              <w:jc w:val="right"/>
              <w:rPr/>
            </w:pPr>
            <w:r>
              <w:rPr/>
              <w:t>​</w:t>
            </w:r>
          </w:p>
        </w:tc>
        <w:tc>
          <w:tcPr>
            <w:tcW w:w="301" w:type="dxa"/>
            <w:tcBorders/>
            <w:shd w:fill="CCEEFF" w:val="clear"/>
            <w:vAlign w:val="center"/>
          </w:tcPr>
          <w:p>
            <w:pPr>
              <w:pStyle w:val="TableContents"/>
              <w:bidi w:val="0"/>
              <w:spacing w:before="0" w:after="0"/>
              <w:ind w:left="0" w:right="0" w:hanging="0"/>
              <w:jc w:val="right"/>
              <w:rPr/>
            </w:pPr>
            <w:r>
              <w:rPr/>
              <w:t>​</w:t>
            </w:r>
          </w:p>
        </w:tc>
      </w:tr>
      <w:tr>
        <w:trPr/>
        <w:tc>
          <w:tcPr>
            <w:tcW w:w="40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Software subscriptions</w:t>
            </w:r>
          </w:p>
        </w:tc>
        <w:tc>
          <w:tcPr>
            <w:tcW w:w="326"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150,761</w:t>
            </w:r>
          </w:p>
        </w:tc>
        <w:tc>
          <w:tcPr>
            <w:tcW w:w="328"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131,830</w:t>
            </w:r>
          </w:p>
        </w:tc>
        <w:tc>
          <w:tcPr>
            <w:tcW w:w="109"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18,931</w:t>
            </w:r>
          </w:p>
        </w:tc>
        <w:tc>
          <w:tcPr>
            <w:tcW w:w="176" w:type="dxa"/>
            <w:tcBorders/>
            <w:vAlign w:val="center"/>
          </w:tcPr>
          <w:p>
            <w:pPr>
              <w:pStyle w:val="TableContents"/>
              <w:bidi w:val="0"/>
              <w:spacing w:before="0" w:after="0"/>
              <w:ind w:left="0" w:right="0" w:hanging="0"/>
              <w:jc w:val="left"/>
              <w:rPr/>
            </w:pPr>
            <w:r>
              <w:rPr/>
              <w:t> </w:t>
            </w:r>
          </w:p>
        </w:tc>
        <w:tc>
          <w:tcPr>
            <w:tcW w:w="92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14.4</w:t>
            </w:r>
          </w:p>
        </w:tc>
        <w:tc>
          <w:tcPr>
            <w:tcW w:w="3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40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Services</w:t>
            </w:r>
          </w:p>
        </w:tc>
        <w:tc>
          <w:tcPr>
            <w:tcW w:w="326" w:type="dxa"/>
            <w:tcBorders/>
            <w:shd w:fill="CCEEFF" w:val="clear"/>
            <w:vAlign w:val="center"/>
          </w:tcPr>
          <w:p>
            <w:pPr>
              <w:pStyle w:val="TableContents"/>
              <w:bidi w:val="0"/>
              <w:spacing w:before="0" w:after="0"/>
              <w:ind w:left="0" w:right="0" w:hanging="0"/>
              <w:jc w:val="left"/>
              <w:rPr/>
            </w:pPr>
            <w:r>
              <w:rPr/>
              <w:t>​</w:t>
            </w:r>
          </w:p>
        </w:tc>
        <w:tc>
          <w:tcPr>
            <w:tcW w:w="1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26,301</w:t>
            </w:r>
          </w:p>
        </w:tc>
        <w:tc>
          <w:tcPr>
            <w:tcW w:w="328" w:type="dxa"/>
            <w:tcBorders/>
            <w:shd w:fill="CCEEFF" w:val="clear"/>
            <w:vAlign w:val="center"/>
          </w:tcPr>
          <w:p>
            <w:pPr>
              <w:pStyle w:val="TableContents"/>
              <w:bidi w:val="0"/>
              <w:spacing w:before="0" w:after="0"/>
              <w:ind w:left="0" w:right="0" w:hanging="0"/>
              <w:jc w:val="left"/>
              <w:rPr/>
            </w:pPr>
            <w:r>
              <w:rPr/>
              <w:t>​</w:t>
            </w:r>
          </w:p>
        </w:tc>
        <w:tc>
          <w:tcPr>
            <w:tcW w:w="1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24,951</w:t>
            </w:r>
          </w:p>
        </w:tc>
        <w:tc>
          <w:tcPr>
            <w:tcW w:w="109" w:type="dxa"/>
            <w:tcBorders/>
            <w:shd w:fill="CCEEFF" w:val="clear"/>
            <w:vAlign w:val="center"/>
          </w:tcPr>
          <w:p>
            <w:pPr>
              <w:pStyle w:val="TableContents"/>
              <w:bidi w:val="0"/>
              <w:spacing w:before="0" w:after="0"/>
              <w:ind w:left="0" w:right="0" w:hanging="0"/>
              <w:jc w:val="left"/>
              <w:rPr/>
            </w:pPr>
            <w:r>
              <w:rPr/>
              <w:t>​</w:t>
            </w:r>
          </w:p>
        </w:tc>
        <w:tc>
          <w:tcPr>
            <w:tcW w:w="23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1,350</w:t>
            </w:r>
          </w:p>
        </w:tc>
        <w:tc>
          <w:tcPr>
            <w:tcW w:w="176" w:type="dxa"/>
            <w:tcBorders/>
            <w:shd w:fill="CCEEFF" w:val="clear"/>
            <w:vAlign w:val="center"/>
          </w:tcPr>
          <w:p>
            <w:pPr>
              <w:pStyle w:val="TableContents"/>
              <w:bidi w:val="0"/>
              <w:spacing w:before="0" w:after="0"/>
              <w:ind w:left="0" w:right="0" w:hanging="0"/>
              <w:jc w:val="left"/>
              <w:rPr/>
            </w:pPr>
            <w:r>
              <w:rPr/>
              <w:t>​</w:t>
            </w:r>
          </w:p>
        </w:tc>
        <w:tc>
          <w:tcPr>
            <w:tcW w:w="92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40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revenues</w:t>
            </w:r>
          </w:p>
        </w:tc>
        <w:tc>
          <w:tcPr>
            <w:tcW w:w="326" w:type="dxa"/>
            <w:tcBorders/>
            <w:vAlign w:val="center"/>
          </w:tcPr>
          <w:p>
            <w:pPr>
              <w:pStyle w:val="TableContents"/>
              <w:bidi w:val="0"/>
              <w:spacing w:before="0" w:after="0"/>
              <w:ind w:left="0" w:right="0" w:hanging="0"/>
              <w:jc w:val="left"/>
              <w:rPr/>
            </w:pPr>
            <w:r>
              <w:rPr/>
              <w:t>​</w:t>
            </w:r>
          </w:p>
        </w:tc>
        <w:tc>
          <w:tcPr>
            <w:tcW w:w="19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177,062</w:t>
            </w:r>
          </w:p>
        </w:tc>
        <w:tc>
          <w:tcPr>
            <w:tcW w:w="328" w:type="dxa"/>
            <w:tcBorders/>
            <w:vAlign w:val="center"/>
          </w:tcPr>
          <w:p>
            <w:pPr>
              <w:pStyle w:val="TableContents"/>
              <w:bidi w:val="0"/>
              <w:spacing w:before="0" w:after="0"/>
              <w:ind w:left="0" w:right="0" w:hanging="0"/>
              <w:jc w:val="left"/>
              <w:rPr/>
            </w:pPr>
            <w:r>
              <w:rPr/>
              <w:t>​</w:t>
            </w:r>
          </w:p>
        </w:tc>
        <w:tc>
          <w:tcPr>
            <w:tcW w:w="19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156,781</w:t>
            </w:r>
          </w:p>
        </w:tc>
        <w:tc>
          <w:tcPr>
            <w:tcW w:w="109" w:type="dxa"/>
            <w:tcBorders/>
            <w:vAlign w:val="center"/>
          </w:tcPr>
          <w:p>
            <w:pPr>
              <w:pStyle w:val="TableContents"/>
              <w:bidi w:val="0"/>
              <w:spacing w:before="0" w:after="0"/>
              <w:ind w:left="0" w:right="0" w:hanging="0"/>
              <w:jc w:val="left"/>
              <w:rPr/>
            </w:pPr>
            <w:r>
              <w:rPr/>
              <w:t>​</w:t>
            </w:r>
          </w:p>
        </w:tc>
        <w:tc>
          <w:tcPr>
            <w:tcW w:w="23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6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20,281</w:t>
            </w:r>
          </w:p>
        </w:tc>
        <w:tc>
          <w:tcPr>
            <w:tcW w:w="176" w:type="dxa"/>
            <w:tcBorders/>
            <w:vAlign w:val="center"/>
          </w:tcPr>
          <w:p>
            <w:pPr>
              <w:pStyle w:val="TableContents"/>
              <w:bidi w:val="0"/>
              <w:spacing w:before="0" w:after="0"/>
              <w:ind w:left="0" w:right="0" w:hanging="0"/>
              <w:jc w:val="left"/>
              <w:rPr/>
            </w:pPr>
            <w:r>
              <w:rPr/>
              <w:t>​</w:t>
            </w:r>
          </w:p>
        </w:tc>
        <w:tc>
          <w:tcPr>
            <w:tcW w:w="92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12.9</w:t>
            </w:r>
          </w:p>
        </w:tc>
        <w:tc>
          <w:tcPr>
            <w:tcW w:w="3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4036" w:type="dxa"/>
            <w:tcBorders/>
            <w:shd w:fill="CCEEFF" w:val="clear"/>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Cost of revenues:</w:t>
            </w:r>
          </w:p>
        </w:tc>
        <w:tc>
          <w:tcPr>
            <w:tcW w:w="326"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left"/>
              <w:rPr/>
            </w:pPr>
            <w:r>
              <w:rPr/>
              <w:t>​</w:t>
            </w:r>
          </w:p>
        </w:tc>
        <w:tc>
          <w:tcPr>
            <w:tcW w:w="726" w:type="dxa"/>
            <w:tcBorders/>
            <w:shd w:fill="CCEEFF" w:val="clear"/>
            <w:vAlign w:val="center"/>
          </w:tcPr>
          <w:p>
            <w:pPr>
              <w:pStyle w:val="TableContents"/>
              <w:bidi w:val="0"/>
              <w:spacing w:before="0" w:after="0"/>
              <w:ind w:left="0" w:right="0" w:hanging="0"/>
              <w:jc w:val="right"/>
              <w:rPr/>
            </w:pPr>
            <w:r>
              <w:rPr/>
              <w:t>​</w:t>
            </w:r>
          </w:p>
        </w:tc>
        <w:tc>
          <w:tcPr>
            <w:tcW w:w="328"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left"/>
              <w:rPr/>
            </w:pPr>
            <w:r>
              <w:rPr/>
              <w:t>​</w:t>
            </w:r>
          </w:p>
        </w:tc>
        <w:tc>
          <w:tcPr>
            <w:tcW w:w="69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pPr>
            <w:r>
              <w:rPr/>
              <w:t>​</w:t>
            </w:r>
          </w:p>
        </w:tc>
        <w:tc>
          <w:tcPr>
            <w:tcW w:w="869" w:type="dxa"/>
            <w:tcBorders/>
            <w:shd w:fill="CCEEFF" w:val="clear"/>
            <w:vAlign w:val="center"/>
          </w:tcPr>
          <w:p>
            <w:pPr>
              <w:pStyle w:val="TableContents"/>
              <w:bidi w:val="0"/>
              <w:spacing w:before="0" w:after="0"/>
              <w:ind w:left="0" w:right="0" w:hanging="0"/>
              <w:jc w:val="right"/>
              <w:rPr/>
            </w:pPr>
            <w:r>
              <w:rPr/>
              <w:t>​</w:t>
            </w:r>
          </w:p>
        </w:tc>
        <w:tc>
          <w:tcPr>
            <w:tcW w:w="176" w:type="dxa"/>
            <w:tcBorders/>
            <w:shd w:fill="CCEEFF" w:val="clear"/>
            <w:vAlign w:val="center"/>
          </w:tcPr>
          <w:p>
            <w:pPr>
              <w:pStyle w:val="TableContents"/>
              <w:bidi w:val="0"/>
              <w:spacing w:before="0" w:after="0"/>
              <w:ind w:left="0" w:right="0" w:hanging="0"/>
              <w:jc w:val="left"/>
              <w:rPr/>
            </w:pPr>
            <w:r>
              <w:rPr/>
              <w:t>​</w:t>
            </w:r>
          </w:p>
        </w:tc>
        <w:tc>
          <w:tcPr>
            <w:tcW w:w="923" w:type="dxa"/>
            <w:tcBorders/>
            <w:shd w:fill="CCEEFF" w:val="clear"/>
            <w:vAlign w:val="center"/>
          </w:tcPr>
          <w:p>
            <w:pPr>
              <w:pStyle w:val="TableContents"/>
              <w:bidi w:val="0"/>
              <w:spacing w:before="0" w:after="0"/>
              <w:ind w:left="0" w:right="0" w:hanging="0"/>
              <w:jc w:val="right"/>
              <w:rPr/>
            </w:pPr>
            <w:r>
              <w:rPr/>
              <w:t>​</w:t>
            </w:r>
          </w:p>
        </w:tc>
        <w:tc>
          <w:tcPr>
            <w:tcW w:w="301" w:type="dxa"/>
            <w:tcBorders/>
            <w:shd w:fill="CCEEFF" w:val="clear"/>
            <w:vAlign w:val="center"/>
          </w:tcPr>
          <w:p>
            <w:pPr>
              <w:pStyle w:val="TableContents"/>
              <w:bidi w:val="0"/>
              <w:spacing w:before="0" w:after="0"/>
              <w:ind w:left="0" w:right="0" w:hanging="0"/>
              <w:jc w:val="left"/>
              <w:rPr/>
            </w:pPr>
            <w:r>
              <w:rPr/>
              <w:t>​</w:t>
            </w:r>
          </w:p>
        </w:tc>
      </w:tr>
      <w:tr>
        <w:trPr/>
        <w:tc>
          <w:tcPr>
            <w:tcW w:w="4036"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Software subscriptions </w:t>
            </w:r>
            <w:r>
              <w:rPr>
                <w:rFonts w:ascii="Times New Roman;Times;serif" w:hAnsi="Times New Roman;Times;serif"/>
                <w:sz w:val="15"/>
              </w:rPr>
              <w:t>(1)</w:t>
            </w:r>
          </w:p>
        </w:tc>
        <w:tc>
          <w:tcPr>
            <w:tcW w:w="326"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left"/>
              <w:rPr/>
            </w:pPr>
            <w:r>
              <w:rPr/>
              <w:t>​</w:t>
            </w:r>
          </w:p>
        </w:tc>
        <w:tc>
          <w:tcPr>
            <w:tcW w:w="7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44,245</w:t>
            </w:r>
          </w:p>
        </w:tc>
        <w:tc>
          <w:tcPr>
            <w:tcW w:w="328"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left"/>
              <w:rPr/>
            </w:pPr>
            <w:r>
              <w:rPr/>
              <w:t>​</w:t>
            </w:r>
          </w:p>
        </w:tc>
        <w:tc>
          <w:tcPr>
            <w:tcW w:w="69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45,128</w:t>
            </w:r>
          </w:p>
        </w:tc>
        <w:tc>
          <w:tcPr>
            <w:tcW w:w="109"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(883)</w:t>
            </w:r>
          </w:p>
        </w:tc>
        <w:tc>
          <w:tcPr>
            <w:tcW w:w="176" w:type="dxa"/>
            <w:tcBorders/>
            <w:vAlign w:val="center"/>
          </w:tcPr>
          <w:p>
            <w:pPr>
              <w:pStyle w:val="TableContents"/>
              <w:bidi w:val="0"/>
              <w:spacing w:before="0" w:after="0"/>
              <w:ind w:left="0" w:right="0" w:hanging="0"/>
              <w:jc w:val="left"/>
              <w:rPr/>
            </w:pPr>
            <w:r>
              <w:rPr/>
              <w:t>​</w:t>
            </w:r>
          </w:p>
        </w:tc>
        <w:tc>
          <w:tcPr>
            <w:tcW w:w="92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w:t>
            </w:r>
          </w:p>
        </w:tc>
        <w:tc>
          <w:tcPr>
            <w:tcW w:w="3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403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Services </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1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19,823</w:t>
            </w:r>
          </w:p>
        </w:tc>
        <w:tc>
          <w:tcPr>
            <w:tcW w:w="328" w:type="dxa"/>
            <w:tcBorders/>
            <w:shd w:fill="CCEEFF" w:val="clear"/>
            <w:vAlign w:val="center"/>
          </w:tcPr>
          <w:p>
            <w:pPr>
              <w:pStyle w:val="TableContents"/>
              <w:bidi w:val="0"/>
              <w:spacing w:before="0" w:after="0"/>
              <w:ind w:left="0" w:right="0" w:hanging="0"/>
              <w:jc w:val="left"/>
              <w:rPr/>
            </w:pPr>
            <w:r>
              <w:rPr/>
              <w:t>​</w:t>
            </w:r>
          </w:p>
        </w:tc>
        <w:tc>
          <w:tcPr>
            <w:tcW w:w="1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15,861</w:t>
            </w:r>
          </w:p>
        </w:tc>
        <w:tc>
          <w:tcPr>
            <w:tcW w:w="109" w:type="dxa"/>
            <w:tcBorders/>
            <w:shd w:fill="CCEEFF" w:val="clear"/>
            <w:vAlign w:val="center"/>
          </w:tcPr>
          <w:p>
            <w:pPr>
              <w:pStyle w:val="TableContents"/>
              <w:bidi w:val="0"/>
              <w:spacing w:before="0" w:after="0"/>
              <w:ind w:left="0" w:right="0" w:hanging="0"/>
              <w:jc w:val="left"/>
              <w:rPr/>
            </w:pPr>
            <w:r>
              <w:rPr/>
              <w:t>​</w:t>
            </w:r>
          </w:p>
        </w:tc>
        <w:tc>
          <w:tcPr>
            <w:tcW w:w="23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3,962</w:t>
            </w:r>
          </w:p>
        </w:tc>
        <w:tc>
          <w:tcPr>
            <w:tcW w:w="176" w:type="dxa"/>
            <w:tcBorders/>
            <w:shd w:fill="CCEEFF" w:val="clear"/>
            <w:vAlign w:val="center"/>
          </w:tcPr>
          <w:p>
            <w:pPr>
              <w:pStyle w:val="TableContents"/>
              <w:bidi w:val="0"/>
              <w:spacing w:before="0" w:after="0"/>
              <w:ind w:left="0" w:right="0" w:hanging="0"/>
              <w:jc w:val="left"/>
              <w:rPr/>
            </w:pPr>
            <w:r>
              <w:rPr/>
              <w:t>​</w:t>
            </w:r>
          </w:p>
        </w:tc>
        <w:tc>
          <w:tcPr>
            <w:tcW w:w="92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25.0</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40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cost of revenues</w:t>
            </w:r>
          </w:p>
        </w:tc>
        <w:tc>
          <w:tcPr>
            <w:tcW w:w="326" w:type="dxa"/>
            <w:tcBorders/>
            <w:vAlign w:val="center"/>
          </w:tcPr>
          <w:p>
            <w:pPr>
              <w:pStyle w:val="TableContents"/>
              <w:bidi w:val="0"/>
              <w:spacing w:before="0" w:after="0"/>
              <w:ind w:left="0" w:right="0" w:hanging="0"/>
              <w:jc w:val="left"/>
              <w:rPr/>
            </w:pPr>
            <w:r>
              <w:rPr/>
              <w:t>​</w:t>
            </w:r>
          </w:p>
        </w:tc>
        <w:tc>
          <w:tcPr>
            <w:tcW w:w="19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64,068</w:t>
            </w:r>
          </w:p>
        </w:tc>
        <w:tc>
          <w:tcPr>
            <w:tcW w:w="328" w:type="dxa"/>
            <w:tcBorders/>
            <w:vAlign w:val="center"/>
          </w:tcPr>
          <w:p>
            <w:pPr>
              <w:pStyle w:val="TableContents"/>
              <w:bidi w:val="0"/>
              <w:spacing w:before="0" w:after="0"/>
              <w:ind w:left="0" w:right="0" w:hanging="0"/>
              <w:jc w:val="left"/>
              <w:rPr/>
            </w:pPr>
            <w:r>
              <w:rPr/>
              <w:t>​</w:t>
            </w:r>
          </w:p>
        </w:tc>
        <w:tc>
          <w:tcPr>
            <w:tcW w:w="19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60,989</w:t>
            </w:r>
          </w:p>
        </w:tc>
        <w:tc>
          <w:tcPr>
            <w:tcW w:w="109" w:type="dxa"/>
            <w:tcBorders/>
            <w:vAlign w:val="center"/>
          </w:tcPr>
          <w:p>
            <w:pPr>
              <w:pStyle w:val="TableContents"/>
              <w:bidi w:val="0"/>
              <w:spacing w:before="0" w:after="0"/>
              <w:ind w:left="0" w:right="0" w:hanging="0"/>
              <w:jc w:val="left"/>
              <w:rPr/>
            </w:pPr>
            <w:r>
              <w:rPr/>
              <w:t>​</w:t>
            </w:r>
          </w:p>
        </w:tc>
        <w:tc>
          <w:tcPr>
            <w:tcW w:w="23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6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3,079</w:t>
            </w:r>
          </w:p>
        </w:tc>
        <w:tc>
          <w:tcPr>
            <w:tcW w:w="176" w:type="dxa"/>
            <w:tcBorders/>
            <w:vAlign w:val="center"/>
          </w:tcPr>
          <w:p>
            <w:pPr>
              <w:pStyle w:val="TableContents"/>
              <w:bidi w:val="0"/>
              <w:spacing w:before="0" w:after="0"/>
              <w:ind w:left="0" w:right="0" w:hanging="0"/>
              <w:jc w:val="left"/>
              <w:rPr/>
            </w:pPr>
            <w:r>
              <w:rPr/>
              <w:t>​</w:t>
            </w:r>
          </w:p>
        </w:tc>
        <w:tc>
          <w:tcPr>
            <w:tcW w:w="92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w:t>
            </w:r>
          </w:p>
        </w:tc>
        <w:tc>
          <w:tcPr>
            <w:tcW w:w="3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40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Gross profit</w:t>
            </w:r>
          </w:p>
        </w:tc>
        <w:tc>
          <w:tcPr>
            <w:tcW w:w="326" w:type="dxa"/>
            <w:tcBorders/>
            <w:shd w:fill="CCEEFF" w:val="clear"/>
            <w:vAlign w:val="center"/>
          </w:tcPr>
          <w:p>
            <w:pPr>
              <w:pStyle w:val="TableContents"/>
              <w:bidi w:val="0"/>
              <w:spacing w:before="0" w:after="0"/>
              <w:ind w:left="0" w:right="0" w:hanging="0"/>
              <w:jc w:val="left"/>
              <w:rPr/>
            </w:pPr>
            <w:r>
              <w:rPr/>
              <w:t>​</w:t>
            </w:r>
          </w:p>
        </w:tc>
        <w:tc>
          <w:tcPr>
            <w:tcW w:w="1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112,994</w:t>
            </w:r>
          </w:p>
        </w:tc>
        <w:tc>
          <w:tcPr>
            <w:tcW w:w="328" w:type="dxa"/>
            <w:tcBorders/>
            <w:shd w:fill="CCEEFF" w:val="clear"/>
            <w:vAlign w:val="center"/>
          </w:tcPr>
          <w:p>
            <w:pPr>
              <w:pStyle w:val="TableContents"/>
              <w:bidi w:val="0"/>
              <w:spacing w:before="0" w:after="0"/>
              <w:ind w:left="0" w:right="0" w:hanging="0"/>
              <w:jc w:val="left"/>
              <w:rPr/>
            </w:pPr>
            <w:r>
              <w:rPr/>
              <w:t>​</w:t>
            </w:r>
          </w:p>
        </w:tc>
        <w:tc>
          <w:tcPr>
            <w:tcW w:w="1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95,792</w:t>
            </w:r>
          </w:p>
        </w:tc>
        <w:tc>
          <w:tcPr>
            <w:tcW w:w="109" w:type="dxa"/>
            <w:tcBorders/>
            <w:shd w:fill="CCEEFF" w:val="clear"/>
            <w:vAlign w:val="center"/>
          </w:tcPr>
          <w:p>
            <w:pPr>
              <w:pStyle w:val="TableContents"/>
              <w:bidi w:val="0"/>
              <w:spacing w:before="0" w:after="0"/>
              <w:ind w:left="0" w:right="0" w:hanging="0"/>
              <w:jc w:val="left"/>
              <w:rPr/>
            </w:pPr>
            <w:r>
              <w:rPr/>
              <w:t>​</w:t>
            </w:r>
          </w:p>
        </w:tc>
        <w:tc>
          <w:tcPr>
            <w:tcW w:w="23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17,202</w:t>
            </w:r>
          </w:p>
        </w:tc>
        <w:tc>
          <w:tcPr>
            <w:tcW w:w="176" w:type="dxa"/>
            <w:tcBorders/>
            <w:shd w:fill="CCEEFF" w:val="clear"/>
            <w:vAlign w:val="center"/>
          </w:tcPr>
          <w:p>
            <w:pPr>
              <w:pStyle w:val="TableContents"/>
              <w:bidi w:val="0"/>
              <w:spacing w:before="0" w:after="0"/>
              <w:ind w:left="0" w:right="0" w:hanging="0"/>
              <w:jc w:val="left"/>
              <w:rPr/>
            </w:pPr>
            <w:r>
              <w:rPr/>
              <w:t>​</w:t>
            </w:r>
          </w:p>
        </w:tc>
        <w:tc>
          <w:tcPr>
            <w:tcW w:w="92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18.0</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4036" w:type="dxa"/>
            <w:tcBorders/>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Operating expenses:</w:t>
            </w:r>
          </w:p>
        </w:tc>
        <w:tc>
          <w:tcPr>
            <w:tcW w:w="326"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left"/>
              <w:rPr/>
            </w:pPr>
            <w:r>
              <w:rPr/>
              <w:t>​</w:t>
            </w:r>
          </w:p>
        </w:tc>
        <w:tc>
          <w:tcPr>
            <w:tcW w:w="726" w:type="dxa"/>
            <w:tcBorders/>
            <w:vAlign w:val="center"/>
          </w:tcPr>
          <w:p>
            <w:pPr>
              <w:pStyle w:val="TableContents"/>
              <w:bidi w:val="0"/>
              <w:spacing w:before="0" w:after="0"/>
              <w:ind w:left="0" w:right="0" w:hanging="0"/>
              <w:jc w:val="right"/>
              <w:rPr/>
            </w:pPr>
            <w:r>
              <w:rPr/>
              <w:t>​</w:t>
            </w:r>
          </w:p>
        </w:tc>
        <w:tc>
          <w:tcPr>
            <w:tcW w:w="328"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left"/>
              <w:rPr/>
            </w:pPr>
            <w:r>
              <w:rPr/>
              <w:t>​</w:t>
            </w:r>
          </w:p>
        </w:tc>
        <w:tc>
          <w:tcPr>
            <w:tcW w:w="6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869" w:type="dxa"/>
            <w:tcBorders/>
            <w:vAlign w:val="center"/>
          </w:tcPr>
          <w:p>
            <w:pPr>
              <w:pStyle w:val="TableContents"/>
              <w:bidi w:val="0"/>
              <w:spacing w:before="0" w:after="0"/>
              <w:ind w:left="0" w:right="0" w:hanging="0"/>
              <w:jc w:val="right"/>
              <w:rPr/>
            </w:pPr>
            <w:r>
              <w:rPr/>
              <w:t>​</w:t>
            </w:r>
          </w:p>
        </w:tc>
        <w:tc>
          <w:tcPr>
            <w:tcW w:w="176" w:type="dxa"/>
            <w:tcBorders/>
            <w:vAlign w:val="center"/>
          </w:tcPr>
          <w:p>
            <w:pPr>
              <w:pStyle w:val="TableContents"/>
              <w:bidi w:val="0"/>
              <w:spacing w:before="0" w:after="0"/>
              <w:ind w:left="0" w:right="0" w:hanging="0"/>
              <w:jc w:val="left"/>
              <w:rPr/>
            </w:pPr>
            <w:r>
              <w:rPr/>
              <w:t>​</w:t>
            </w:r>
          </w:p>
        </w:tc>
        <w:tc>
          <w:tcPr>
            <w:tcW w:w="923" w:type="dxa"/>
            <w:tcBorders/>
            <w:vAlign w:val="center"/>
          </w:tcPr>
          <w:p>
            <w:pPr>
              <w:pStyle w:val="TableContents"/>
              <w:bidi w:val="0"/>
              <w:spacing w:before="0" w:after="0"/>
              <w:ind w:left="0" w:right="0" w:hanging="0"/>
              <w:jc w:val="right"/>
              <w:rPr/>
            </w:pPr>
            <w:r>
              <w:rPr/>
              <w:t>​</w:t>
            </w:r>
          </w:p>
        </w:tc>
        <w:tc>
          <w:tcPr>
            <w:tcW w:w="301" w:type="dxa"/>
            <w:tcBorders/>
            <w:vAlign w:val="center"/>
          </w:tcPr>
          <w:p>
            <w:pPr>
              <w:pStyle w:val="TableContents"/>
              <w:bidi w:val="0"/>
              <w:spacing w:before="0" w:after="0"/>
              <w:ind w:left="0" w:right="0" w:hanging="0"/>
              <w:jc w:val="left"/>
              <w:rPr/>
            </w:pPr>
            <w:r>
              <w:rPr/>
              <w:t>​</w:t>
            </w:r>
          </w:p>
        </w:tc>
      </w:tr>
      <w:tr>
        <w:trPr/>
        <w:tc>
          <w:tcPr>
            <w:tcW w:w="403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Research and development </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left"/>
              <w:rPr/>
            </w:pPr>
            <w:r>
              <w:rPr/>
              <w:t>​</w:t>
            </w:r>
          </w:p>
        </w:tc>
        <w:tc>
          <w:tcPr>
            <w:tcW w:w="7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20,886</w:t>
            </w:r>
          </w:p>
        </w:tc>
        <w:tc>
          <w:tcPr>
            <w:tcW w:w="328"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left"/>
              <w:rPr/>
            </w:pPr>
            <w:r>
              <w:rPr/>
              <w:t>​</w:t>
            </w:r>
          </w:p>
        </w:tc>
        <w:tc>
          <w:tcPr>
            <w:tcW w:w="69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16,845</w:t>
            </w:r>
          </w:p>
        </w:tc>
        <w:tc>
          <w:tcPr>
            <w:tcW w:w="109"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pPr>
            <w:r>
              <w:rPr/>
              <w:t>​</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4,041</w:t>
            </w:r>
          </w:p>
        </w:tc>
        <w:tc>
          <w:tcPr>
            <w:tcW w:w="176" w:type="dxa"/>
            <w:tcBorders/>
            <w:shd w:fill="CCEEFF" w:val="clear"/>
            <w:vAlign w:val="center"/>
          </w:tcPr>
          <w:p>
            <w:pPr>
              <w:pStyle w:val="TableContents"/>
              <w:bidi w:val="0"/>
              <w:spacing w:before="0" w:after="0"/>
              <w:ind w:left="0" w:right="0" w:hanging="0"/>
              <w:jc w:val="left"/>
              <w:rPr/>
            </w:pPr>
            <w:r>
              <w:rPr/>
              <w:t>​</w:t>
            </w:r>
          </w:p>
        </w:tc>
        <w:tc>
          <w:tcPr>
            <w:tcW w:w="92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24.0</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4036"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Selling and marketing </w:t>
            </w:r>
            <w:r>
              <w:rPr>
                <w:rFonts w:ascii="Times New Roman;Times;serif" w:hAnsi="Times New Roman;Times;serif"/>
                <w:sz w:val="15"/>
              </w:rPr>
              <w:t>(1)</w:t>
            </w:r>
          </w:p>
        </w:tc>
        <w:tc>
          <w:tcPr>
            <w:tcW w:w="326"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left"/>
              <w:rPr/>
            </w:pPr>
            <w:r>
              <w:rPr/>
              <w:t>​</w:t>
            </w:r>
          </w:p>
        </w:tc>
        <w:tc>
          <w:tcPr>
            <w:tcW w:w="7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48,155</w:t>
            </w:r>
          </w:p>
        </w:tc>
        <w:tc>
          <w:tcPr>
            <w:tcW w:w="328"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left"/>
              <w:rPr/>
            </w:pPr>
            <w:r>
              <w:rPr/>
              <w:t>​</w:t>
            </w:r>
          </w:p>
        </w:tc>
        <w:tc>
          <w:tcPr>
            <w:tcW w:w="69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40,491</w:t>
            </w:r>
          </w:p>
        </w:tc>
        <w:tc>
          <w:tcPr>
            <w:tcW w:w="109"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7,664</w:t>
            </w:r>
          </w:p>
        </w:tc>
        <w:tc>
          <w:tcPr>
            <w:tcW w:w="176" w:type="dxa"/>
            <w:tcBorders/>
            <w:vAlign w:val="center"/>
          </w:tcPr>
          <w:p>
            <w:pPr>
              <w:pStyle w:val="TableContents"/>
              <w:bidi w:val="0"/>
              <w:spacing w:before="0" w:after="0"/>
              <w:ind w:left="0" w:right="0" w:hanging="0"/>
              <w:jc w:val="left"/>
              <w:rPr/>
            </w:pPr>
            <w:r>
              <w:rPr/>
              <w:t>​</w:t>
            </w:r>
          </w:p>
        </w:tc>
        <w:tc>
          <w:tcPr>
            <w:tcW w:w="92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18.9</w:t>
            </w:r>
          </w:p>
        </w:tc>
        <w:tc>
          <w:tcPr>
            <w:tcW w:w="3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403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General and administrative </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left"/>
              <w:rPr/>
            </w:pPr>
            <w:r>
              <w:rPr/>
              <w:t>​</w:t>
            </w:r>
          </w:p>
        </w:tc>
        <w:tc>
          <w:tcPr>
            <w:tcW w:w="7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45,028</w:t>
            </w:r>
          </w:p>
        </w:tc>
        <w:tc>
          <w:tcPr>
            <w:tcW w:w="328"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left"/>
              <w:rPr/>
            </w:pPr>
            <w:r>
              <w:rPr/>
              <w:t>​</w:t>
            </w:r>
          </w:p>
        </w:tc>
        <w:tc>
          <w:tcPr>
            <w:tcW w:w="69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35,542</w:t>
            </w:r>
          </w:p>
        </w:tc>
        <w:tc>
          <w:tcPr>
            <w:tcW w:w="109"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pPr>
            <w:r>
              <w:rPr/>
              <w:t>​</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9,486</w:t>
            </w:r>
          </w:p>
        </w:tc>
        <w:tc>
          <w:tcPr>
            <w:tcW w:w="176" w:type="dxa"/>
            <w:tcBorders/>
            <w:shd w:fill="CCEEFF" w:val="clear"/>
            <w:vAlign w:val="center"/>
          </w:tcPr>
          <w:p>
            <w:pPr>
              <w:pStyle w:val="TableContents"/>
              <w:bidi w:val="0"/>
              <w:spacing w:before="0" w:after="0"/>
              <w:ind w:left="0" w:right="0" w:hanging="0"/>
              <w:jc w:val="left"/>
              <w:rPr/>
            </w:pPr>
            <w:r>
              <w:rPr/>
              <w:t>​</w:t>
            </w:r>
          </w:p>
        </w:tc>
        <w:tc>
          <w:tcPr>
            <w:tcW w:w="92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26.7</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40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Depreciation and amortization</w:t>
            </w:r>
          </w:p>
        </w:tc>
        <w:tc>
          <w:tcPr>
            <w:tcW w:w="326"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left"/>
              <w:rPr/>
            </w:pPr>
            <w:r>
              <w:rPr/>
              <w:t>​</w:t>
            </w:r>
          </w:p>
        </w:tc>
        <w:tc>
          <w:tcPr>
            <w:tcW w:w="7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5,880</w:t>
            </w:r>
          </w:p>
        </w:tc>
        <w:tc>
          <w:tcPr>
            <w:tcW w:w="328"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left"/>
              <w:rPr/>
            </w:pPr>
            <w:r>
              <w:rPr/>
              <w:t>​</w:t>
            </w:r>
          </w:p>
        </w:tc>
        <w:tc>
          <w:tcPr>
            <w:tcW w:w="69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5,006</w:t>
            </w:r>
          </w:p>
        </w:tc>
        <w:tc>
          <w:tcPr>
            <w:tcW w:w="109"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874</w:t>
            </w:r>
          </w:p>
        </w:tc>
        <w:tc>
          <w:tcPr>
            <w:tcW w:w="176" w:type="dxa"/>
            <w:tcBorders/>
            <w:vAlign w:val="center"/>
          </w:tcPr>
          <w:p>
            <w:pPr>
              <w:pStyle w:val="TableContents"/>
              <w:bidi w:val="0"/>
              <w:spacing w:before="0" w:after="0"/>
              <w:ind w:left="0" w:right="0" w:hanging="0"/>
              <w:jc w:val="left"/>
              <w:rPr/>
            </w:pPr>
            <w:r>
              <w:rPr/>
              <w:t>​</w:t>
            </w:r>
          </w:p>
        </w:tc>
        <w:tc>
          <w:tcPr>
            <w:tcW w:w="92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17.5</w:t>
            </w:r>
          </w:p>
        </w:tc>
        <w:tc>
          <w:tcPr>
            <w:tcW w:w="3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40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Change in fair value of acquisition contingent earn-outs</w:t>
            </w:r>
          </w:p>
        </w:tc>
        <w:tc>
          <w:tcPr>
            <w:tcW w:w="326"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left"/>
              <w:rPr/>
            </w:pPr>
            <w:r>
              <w:rPr/>
              <w:t>​</w:t>
            </w:r>
          </w:p>
        </w:tc>
        <w:tc>
          <w:tcPr>
            <w:tcW w:w="7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(14,700)</w:t>
            </w:r>
          </w:p>
        </w:tc>
        <w:tc>
          <w:tcPr>
            <w:tcW w:w="328"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left"/>
              <w:rPr/>
            </w:pPr>
            <w:r>
              <w:rPr/>
              <w:t>​</w:t>
            </w:r>
          </w:p>
        </w:tc>
        <w:tc>
          <w:tcPr>
            <w:tcW w:w="69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pPr>
            <w:r>
              <w:rPr/>
              <w:t>​</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(14,700)</w:t>
            </w:r>
          </w:p>
        </w:tc>
        <w:tc>
          <w:tcPr>
            <w:tcW w:w="176" w:type="dxa"/>
            <w:tcBorders/>
            <w:shd w:fill="CCEEFF" w:val="clear"/>
            <w:vAlign w:val="center"/>
          </w:tcPr>
          <w:p>
            <w:pPr>
              <w:pStyle w:val="TableContents"/>
              <w:bidi w:val="0"/>
              <w:spacing w:before="0" w:after="0"/>
              <w:ind w:left="0" w:right="0" w:hanging="0"/>
              <w:jc w:val="left"/>
              <w:rPr/>
            </w:pPr>
            <w:r>
              <w:rPr/>
              <w:t>​</w:t>
            </w:r>
          </w:p>
        </w:tc>
        <w:tc>
          <w:tcPr>
            <w:tcW w:w="92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301" w:type="dxa"/>
            <w:tcBorders/>
            <w:shd w:fill="CCEEFF" w:val="clear"/>
            <w:vAlign w:val="center"/>
          </w:tcPr>
          <w:p>
            <w:pPr>
              <w:pStyle w:val="TableContents"/>
              <w:bidi w:val="0"/>
              <w:spacing w:before="0" w:after="0"/>
              <w:ind w:left="0" w:right="0" w:hanging="0"/>
              <w:jc w:val="left"/>
              <w:rPr/>
            </w:pPr>
            <w:r>
              <w:rPr/>
              <w:t>​</w:t>
            </w:r>
          </w:p>
        </w:tc>
      </w:tr>
      <w:tr>
        <w:trPr/>
        <w:tc>
          <w:tcPr>
            <w:tcW w:w="40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operating expense (income), net</w:t>
            </w:r>
          </w:p>
        </w:tc>
        <w:tc>
          <w:tcPr>
            <w:tcW w:w="326" w:type="dxa"/>
            <w:tcBorders/>
            <w:vAlign w:val="center"/>
          </w:tcPr>
          <w:p>
            <w:pPr>
              <w:pStyle w:val="TableContents"/>
              <w:bidi w:val="0"/>
              <w:spacing w:before="0" w:after="0"/>
              <w:ind w:left="0" w:right="0" w:hanging="0"/>
              <w:jc w:val="left"/>
              <w:rPr/>
            </w:pPr>
            <w:r>
              <w:rPr/>
              <w:t>​</w:t>
            </w:r>
          </w:p>
        </w:tc>
        <w:tc>
          <w:tcPr>
            <w:tcW w:w="19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3,259</w:t>
            </w:r>
          </w:p>
        </w:tc>
        <w:tc>
          <w:tcPr>
            <w:tcW w:w="328" w:type="dxa"/>
            <w:tcBorders/>
            <w:vAlign w:val="center"/>
          </w:tcPr>
          <w:p>
            <w:pPr>
              <w:pStyle w:val="TableContents"/>
              <w:bidi w:val="0"/>
              <w:spacing w:before="0" w:after="0"/>
              <w:ind w:left="0" w:right="0" w:hanging="0"/>
              <w:jc w:val="left"/>
              <w:rPr/>
            </w:pPr>
            <w:r>
              <w:rPr/>
              <w:t>​</w:t>
            </w:r>
          </w:p>
        </w:tc>
        <w:tc>
          <w:tcPr>
            <w:tcW w:w="19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(527)</w:t>
            </w:r>
          </w:p>
        </w:tc>
        <w:tc>
          <w:tcPr>
            <w:tcW w:w="109" w:type="dxa"/>
            <w:tcBorders/>
            <w:vAlign w:val="center"/>
          </w:tcPr>
          <w:p>
            <w:pPr>
              <w:pStyle w:val="TableContents"/>
              <w:bidi w:val="0"/>
              <w:spacing w:before="0" w:after="0"/>
              <w:ind w:left="0" w:right="0" w:hanging="0"/>
              <w:jc w:val="left"/>
              <w:rPr/>
            </w:pPr>
            <w:r>
              <w:rPr/>
              <w:t>​</w:t>
            </w:r>
          </w:p>
        </w:tc>
        <w:tc>
          <w:tcPr>
            <w:tcW w:w="23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6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3,786</w:t>
            </w:r>
          </w:p>
        </w:tc>
        <w:tc>
          <w:tcPr>
            <w:tcW w:w="176" w:type="dxa"/>
            <w:tcBorders/>
            <w:vAlign w:val="center"/>
          </w:tcPr>
          <w:p>
            <w:pPr>
              <w:pStyle w:val="TableContents"/>
              <w:bidi w:val="0"/>
              <w:spacing w:before="0" w:after="0"/>
              <w:ind w:left="0" w:right="0" w:hanging="0"/>
              <w:jc w:val="left"/>
              <w:rPr/>
            </w:pPr>
            <w:r>
              <w:rPr/>
              <w:t>​</w:t>
            </w:r>
          </w:p>
        </w:tc>
        <w:tc>
          <w:tcPr>
            <w:tcW w:w="92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301" w:type="dxa"/>
            <w:tcBorders/>
            <w:vAlign w:val="center"/>
          </w:tcPr>
          <w:p>
            <w:pPr>
              <w:pStyle w:val="TableContents"/>
              <w:bidi w:val="0"/>
              <w:spacing w:before="0" w:after="0"/>
              <w:ind w:left="0" w:right="0" w:hanging="0"/>
              <w:jc w:val="left"/>
              <w:rPr/>
            </w:pPr>
            <w:r>
              <w:rPr/>
              <w:t>​</w:t>
            </w:r>
          </w:p>
        </w:tc>
      </w:tr>
      <w:tr>
        <w:trPr/>
        <w:tc>
          <w:tcPr>
            <w:tcW w:w="40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operating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1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108,508</w:t>
            </w:r>
          </w:p>
        </w:tc>
        <w:tc>
          <w:tcPr>
            <w:tcW w:w="328" w:type="dxa"/>
            <w:tcBorders/>
            <w:shd w:fill="CCEEFF" w:val="clear"/>
            <w:vAlign w:val="center"/>
          </w:tcPr>
          <w:p>
            <w:pPr>
              <w:pStyle w:val="TableContents"/>
              <w:bidi w:val="0"/>
              <w:spacing w:before="0" w:after="0"/>
              <w:ind w:left="0" w:right="0" w:hanging="0"/>
              <w:jc w:val="left"/>
              <w:rPr/>
            </w:pPr>
            <w:r>
              <w:rPr/>
              <w:t>​</w:t>
            </w:r>
          </w:p>
        </w:tc>
        <w:tc>
          <w:tcPr>
            <w:tcW w:w="1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97,357</w:t>
            </w:r>
          </w:p>
        </w:tc>
        <w:tc>
          <w:tcPr>
            <w:tcW w:w="109" w:type="dxa"/>
            <w:tcBorders/>
            <w:shd w:fill="CCEEFF" w:val="clear"/>
            <w:vAlign w:val="center"/>
          </w:tcPr>
          <w:p>
            <w:pPr>
              <w:pStyle w:val="TableContents"/>
              <w:bidi w:val="0"/>
              <w:spacing w:before="0" w:after="0"/>
              <w:ind w:left="0" w:right="0" w:hanging="0"/>
              <w:jc w:val="left"/>
              <w:rPr/>
            </w:pPr>
            <w:r>
              <w:rPr/>
              <w:t>​</w:t>
            </w:r>
          </w:p>
        </w:tc>
        <w:tc>
          <w:tcPr>
            <w:tcW w:w="23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11,151</w:t>
            </w:r>
          </w:p>
        </w:tc>
        <w:tc>
          <w:tcPr>
            <w:tcW w:w="176" w:type="dxa"/>
            <w:tcBorders/>
            <w:shd w:fill="CCEEFF" w:val="clear"/>
            <w:vAlign w:val="center"/>
          </w:tcPr>
          <w:p>
            <w:pPr>
              <w:pStyle w:val="TableContents"/>
              <w:bidi w:val="0"/>
              <w:spacing w:before="0" w:after="0"/>
              <w:ind w:left="0" w:right="0" w:hanging="0"/>
              <w:jc w:val="left"/>
              <w:rPr/>
            </w:pPr>
            <w:r>
              <w:rPr/>
              <w:t>​</w:t>
            </w:r>
          </w:p>
        </w:tc>
        <w:tc>
          <w:tcPr>
            <w:tcW w:w="92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11.5</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40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(loss) from operations</w:t>
            </w:r>
          </w:p>
        </w:tc>
        <w:tc>
          <w:tcPr>
            <w:tcW w:w="326"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left"/>
              <w:rPr/>
            </w:pPr>
            <w:r>
              <w:rPr/>
              <w:t>​</w:t>
            </w:r>
          </w:p>
        </w:tc>
        <w:tc>
          <w:tcPr>
            <w:tcW w:w="7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4,486</w:t>
            </w:r>
          </w:p>
        </w:tc>
        <w:tc>
          <w:tcPr>
            <w:tcW w:w="328"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left"/>
              <w:rPr/>
            </w:pPr>
            <w:r>
              <w:rPr/>
              <w:t>​</w:t>
            </w:r>
          </w:p>
        </w:tc>
        <w:tc>
          <w:tcPr>
            <w:tcW w:w="69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(1,565)</w:t>
            </w:r>
          </w:p>
        </w:tc>
        <w:tc>
          <w:tcPr>
            <w:tcW w:w="109"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6,051</w:t>
            </w:r>
          </w:p>
        </w:tc>
        <w:tc>
          <w:tcPr>
            <w:tcW w:w="176" w:type="dxa"/>
            <w:tcBorders/>
            <w:vAlign w:val="center"/>
          </w:tcPr>
          <w:p>
            <w:pPr>
              <w:pStyle w:val="TableContents"/>
              <w:bidi w:val="0"/>
              <w:spacing w:before="0" w:after="0"/>
              <w:ind w:left="0" w:right="0" w:hanging="0"/>
              <w:jc w:val="left"/>
              <w:rPr/>
            </w:pPr>
            <w:r>
              <w:rPr/>
              <w:t>​</w:t>
            </w:r>
          </w:p>
        </w:tc>
        <w:tc>
          <w:tcPr>
            <w:tcW w:w="92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(386.6)</w:t>
            </w:r>
          </w:p>
        </w:tc>
        <w:tc>
          <w:tcPr>
            <w:tcW w:w="3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4036" w:type="dxa"/>
            <w:tcBorders/>
            <w:shd w:fill="CCEEFF" w:val="clear"/>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Other (income) expense:</w:t>
            </w:r>
          </w:p>
        </w:tc>
        <w:tc>
          <w:tcPr>
            <w:tcW w:w="326"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left"/>
              <w:rPr/>
            </w:pPr>
            <w:r>
              <w:rPr/>
              <w:t>​</w:t>
            </w:r>
          </w:p>
        </w:tc>
        <w:tc>
          <w:tcPr>
            <w:tcW w:w="726" w:type="dxa"/>
            <w:tcBorders/>
            <w:shd w:fill="CCEEFF" w:val="clear"/>
            <w:vAlign w:val="center"/>
          </w:tcPr>
          <w:p>
            <w:pPr>
              <w:pStyle w:val="TableContents"/>
              <w:bidi w:val="0"/>
              <w:spacing w:before="0" w:after="0"/>
              <w:ind w:left="0" w:right="0" w:hanging="0"/>
              <w:jc w:val="right"/>
              <w:rPr/>
            </w:pPr>
            <w:r>
              <w:rPr/>
              <w:t>  </w:t>
            </w:r>
          </w:p>
        </w:tc>
        <w:tc>
          <w:tcPr>
            <w:tcW w:w="328"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left"/>
              <w:rPr/>
            </w:pPr>
            <w:r>
              <w:rPr/>
              <w:t>​</w:t>
            </w:r>
          </w:p>
        </w:tc>
        <w:tc>
          <w:tcPr>
            <w:tcW w:w="696" w:type="dxa"/>
            <w:tcBorders/>
            <w:shd w:fill="CCEEFF" w:val="clear"/>
            <w:vAlign w:val="center"/>
          </w:tcPr>
          <w:p>
            <w:pPr>
              <w:pStyle w:val="TableContents"/>
              <w:bidi w:val="0"/>
              <w:spacing w:before="0" w:after="0"/>
              <w:ind w:left="0" w:right="0" w:hanging="0"/>
              <w:jc w:val="righ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pPr>
            <w:r>
              <w:rPr/>
              <w:t>​</w:t>
            </w:r>
          </w:p>
        </w:tc>
        <w:tc>
          <w:tcPr>
            <w:tcW w:w="869" w:type="dxa"/>
            <w:tcBorders/>
            <w:shd w:fill="CCEEFF" w:val="clear"/>
            <w:vAlign w:val="center"/>
          </w:tcPr>
          <w:p>
            <w:pPr>
              <w:pStyle w:val="TableContents"/>
              <w:bidi w:val="0"/>
              <w:spacing w:before="0" w:after="0"/>
              <w:ind w:left="0" w:right="0" w:hanging="0"/>
              <w:jc w:val="right"/>
              <w:rPr/>
            </w:pPr>
            <w:r>
              <w:rPr/>
              <w:t>​</w:t>
            </w:r>
          </w:p>
        </w:tc>
        <w:tc>
          <w:tcPr>
            <w:tcW w:w="176" w:type="dxa"/>
            <w:tcBorders/>
            <w:shd w:fill="CCEEFF" w:val="clear"/>
            <w:vAlign w:val="center"/>
          </w:tcPr>
          <w:p>
            <w:pPr>
              <w:pStyle w:val="TableContents"/>
              <w:bidi w:val="0"/>
              <w:spacing w:before="0" w:after="0"/>
              <w:ind w:left="0" w:right="0" w:hanging="0"/>
              <w:jc w:val="left"/>
              <w:rPr/>
            </w:pPr>
            <w:r>
              <w:rPr/>
              <w:t>​</w:t>
            </w:r>
          </w:p>
        </w:tc>
        <w:tc>
          <w:tcPr>
            <w:tcW w:w="923" w:type="dxa"/>
            <w:tcBorders/>
            <w:shd w:fill="CCEEFF" w:val="clear"/>
            <w:vAlign w:val="center"/>
          </w:tcPr>
          <w:p>
            <w:pPr>
              <w:pStyle w:val="TableContents"/>
              <w:bidi w:val="0"/>
              <w:spacing w:before="0" w:after="0"/>
              <w:ind w:left="0" w:right="0" w:hanging="0"/>
              <w:jc w:val="right"/>
              <w:rPr/>
            </w:pPr>
            <w:r>
              <w:rPr/>
              <w:t>​</w:t>
            </w:r>
          </w:p>
        </w:tc>
        <w:tc>
          <w:tcPr>
            <w:tcW w:w="301" w:type="dxa"/>
            <w:tcBorders/>
            <w:shd w:fill="CCEEFF" w:val="clear"/>
            <w:vAlign w:val="center"/>
          </w:tcPr>
          <w:p>
            <w:pPr>
              <w:pStyle w:val="TableContents"/>
              <w:bidi w:val="0"/>
              <w:spacing w:before="0" w:after="0"/>
              <w:ind w:left="0" w:right="0" w:hanging="0"/>
              <w:jc w:val="left"/>
              <w:rPr/>
            </w:pPr>
            <w:r>
              <w:rPr/>
              <w:t>​</w:t>
            </w:r>
          </w:p>
        </w:tc>
      </w:tr>
      <w:tr>
        <w:trPr/>
        <w:tc>
          <w:tcPr>
            <w:tcW w:w="40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 expense (income), net</w:t>
            </w:r>
          </w:p>
        </w:tc>
        <w:tc>
          <w:tcPr>
            <w:tcW w:w="326" w:type="dxa"/>
            <w:tcBorders/>
            <w:vAlign w:val="center"/>
          </w:tcPr>
          <w:p>
            <w:pPr>
              <w:pStyle w:val="TableContents"/>
              <w:bidi w:val="0"/>
              <w:spacing w:before="0" w:after="0"/>
              <w:ind w:left="0" w:right="0" w:hanging="0"/>
              <w:jc w:val="left"/>
              <w:rPr/>
            </w:pPr>
            <w:r>
              <w:rPr/>
              <w:t>​</w:t>
            </w:r>
          </w:p>
        </w:tc>
        <w:tc>
          <w:tcPr>
            <w:tcW w:w="19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(1,539)</w:t>
            </w:r>
          </w:p>
        </w:tc>
        <w:tc>
          <w:tcPr>
            <w:tcW w:w="328" w:type="dxa"/>
            <w:tcBorders/>
            <w:vAlign w:val="center"/>
          </w:tcPr>
          <w:p>
            <w:pPr>
              <w:pStyle w:val="TableContents"/>
              <w:bidi w:val="0"/>
              <w:spacing w:before="0" w:after="0"/>
              <w:ind w:left="0" w:right="0" w:hanging="0"/>
              <w:jc w:val="left"/>
              <w:rPr/>
            </w:pPr>
            <w:r>
              <w:rPr/>
              <w:t>​</w:t>
            </w:r>
          </w:p>
        </w:tc>
        <w:tc>
          <w:tcPr>
            <w:tcW w:w="19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286</w:t>
            </w:r>
          </w:p>
        </w:tc>
        <w:tc>
          <w:tcPr>
            <w:tcW w:w="109" w:type="dxa"/>
            <w:tcBorders/>
            <w:vAlign w:val="center"/>
          </w:tcPr>
          <w:p>
            <w:pPr>
              <w:pStyle w:val="TableContents"/>
              <w:bidi w:val="0"/>
              <w:spacing w:before="0" w:after="0"/>
              <w:ind w:left="0" w:right="0" w:hanging="0"/>
              <w:jc w:val="left"/>
              <w:rPr/>
            </w:pPr>
            <w:r>
              <w:rPr/>
              <w:t>​</w:t>
            </w:r>
          </w:p>
        </w:tc>
        <w:tc>
          <w:tcPr>
            <w:tcW w:w="23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6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(1,825)</w:t>
            </w:r>
          </w:p>
        </w:tc>
        <w:tc>
          <w:tcPr>
            <w:tcW w:w="176" w:type="dxa"/>
            <w:tcBorders/>
            <w:vAlign w:val="center"/>
          </w:tcPr>
          <w:p>
            <w:pPr>
              <w:pStyle w:val="TableContents"/>
              <w:bidi w:val="0"/>
              <w:spacing w:before="0" w:after="0"/>
              <w:ind w:left="0" w:right="0" w:hanging="0"/>
              <w:jc w:val="left"/>
              <w:rPr/>
            </w:pPr>
            <w:r>
              <w:rPr/>
              <w:t>​</w:t>
            </w:r>
          </w:p>
        </w:tc>
        <w:tc>
          <w:tcPr>
            <w:tcW w:w="92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301" w:type="dxa"/>
            <w:tcBorders/>
            <w:vAlign w:val="center"/>
          </w:tcPr>
          <w:p>
            <w:pPr>
              <w:pStyle w:val="TableContents"/>
              <w:bidi w:val="0"/>
              <w:spacing w:before="0" w:after="0"/>
              <w:ind w:left="0" w:right="0" w:hanging="0"/>
              <w:jc w:val="left"/>
              <w:rPr/>
            </w:pPr>
            <w:r>
              <w:rPr/>
              <w:t>​</w:t>
            </w:r>
          </w:p>
        </w:tc>
      </w:tr>
      <w:tr>
        <w:trPr/>
        <w:tc>
          <w:tcPr>
            <w:tcW w:w="40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(loss) before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left"/>
              <w:rPr/>
            </w:pPr>
            <w:r>
              <w:rPr/>
              <w:t>​</w:t>
            </w:r>
          </w:p>
        </w:tc>
        <w:tc>
          <w:tcPr>
            <w:tcW w:w="7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6,025</w:t>
            </w:r>
          </w:p>
        </w:tc>
        <w:tc>
          <w:tcPr>
            <w:tcW w:w="328"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left"/>
              <w:rPr/>
            </w:pPr>
            <w:r>
              <w:rPr/>
              <w:t>​</w:t>
            </w:r>
          </w:p>
        </w:tc>
        <w:tc>
          <w:tcPr>
            <w:tcW w:w="69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(1,851)</w:t>
            </w:r>
          </w:p>
        </w:tc>
        <w:tc>
          <w:tcPr>
            <w:tcW w:w="109"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pPr>
            <w:r>
              <w:rPr/>
              <w:t>​</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7,876</w:t>
            </w:r>
          </w:p>
        </w:tc>
        <w:tc>
          <w:tcPr>
            <w:tcW w:w="176" w:type="dxa"/>
            <w:tcBorders/>
            <w:shd w:fill="CCEEFF" w:val="clear"/>
            <w:vAlign w:val="center"/>
          </w:tcPr>
          <w:p>
            <w:pPr>
              <w:pStyle w:val="TableContents"/>
              <w:bidi w:val="0"/>
              <w:spacing w:before="0" w:after="0"/>
              <w:ind w:left="0" w:right="0" w:hanging="0"/>
              <w:jc w:val="left"/>
              <w:rPr/>
            </w:pPr>
            <w:r>
              <w:rPr/>
              <w:t>​</w:t>
            </w:r>
          </w:p>
        </w:tc>
        <w:tc>
          <w:tcPr>
            <w:tcW w:w="92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(425.5)</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4036" w:type="dxa"/>
            <w:tcBorders/>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Income tax benefit</w:t>
            </w:r>
          </w:p>
        </w:tc>
        <w:tc>
          <w:tcPr>
            <w:tcW w:w="326" w:type="dxa"/>
            <w:tcBorders/>
            <w:vAlign w:val="center"/>
          </w:tcPr>
          <w:p>
            <w:pPr>
              <w:pStyle w:val="TableContents"/>
              <w:bidi w:val="0"/>
              <w:spacing w:before="0" w:after="0"/>
              <w:ind w:left="0" w:right="0" w:hanging="0"/>
              <w:jc w:val="left"/>
              <w:rPr/>
            </w:pPr>
            <w:r>
              <w:rPr/>
              <w:t>​</w:t>
            </w:r>
          </w:p>
        </w:tc>
        <w:tc>
          <w:tcPr>
            <w:tcW w:w="19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(5,105)</w:t>
            </w:r>
          </w:p>
        </w:tc>
        <w:tc>
          <w:tcPr>
            <w:tcW w:w="328" w:type="dxa"/>
            <w:tcBorders/>
            <w:vAlign w:val="center"/>
          </w:tcPr>
          <w:p>
            <w:pPr>
              <w:pStyle w:val="TableContents"/>
              <w:bidi w:val="0"/>
              <w:spacing w:before="0" w:after="0"/>
              <w:ind w:left="0" w:right="0" w:hanging="0"/>
              <w:jc w:val="left"/>
              <w:rPr/>
            </w:pPr>
            <w:r>
              <w:rPr/>
              <w:t>​</w:t>
            </w:r>
          </w:p>
        </w:tc>
        <w:tc>
          <w:tcPr>
            <w:tcW w:w="19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(4,535)</w:t>
            </w:r>
          </w:p>
        </w:tc>
        <w:tc>
          <w:tcPr>
            <w:tcW w:w="109" w:type="dxa"/>
            <w:tcBorders/>
            <w:vAlign w:val="center"/>
          </w:tcPr>
          <w:p>
            <w:pPr>
              <w:pStyle w:val="TableContents"/>
              <w:bidi w:val="0"/>
              <w:spacing w:before="0" w:after="0"/>
              <w:ind w:left="0" w:right="0" w:hanging="0"/>
              <w:jc w:val="left"/>
              <w:rPr/>
            </w:pPr>
            <w:r>
              <w:rPr/>
              <w:t>​</w:t>
            </w:r>
          </w:p>
        </w:tc>
        <w:tc>
          <w:tcPr>
            <w:tcW w:w="23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6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(570)</w:t>
            </w:r>
          </w:p>
        </w:tc>
        <w:tc>
          <w:tcPr>
            <w:tcW w:w="176" w:type="dxa"/>
            <w:tcBorders/>
            <w:vAlign w:val="center"/>
          </w:tcPr>
          <w:p>
            <w:pPr>
              <w:pStyle w:val="TableContents"/>
              <w:bidi w:val="0"/>
              <w:spacing w:before="0" w:after="0"/>
              <w:ind w:left="0" w:right="0" w:hanging="0"/>
              <w:jc w:val="left"/>
              <w:rPr/>
            </w:pPr>
            <w:r>
              <w:rPr/>
              <w:t>​</w:t>
            </w:r>
          </w:p>
        </w:tc>
        <w:tc>
          <w:tcPr>
            <w:tcW w:w="92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301" w:type="dxa"/>
            <w:tcBorders/>
            <w:vAlign w:val="center"/>
          </w:tcPr>
          <w:p>
            <w:pPr>
              <w:pStyle w:val="TableContents"/>
              <w:bidi w:val="0"/>
              <w:spacing w:before="0" w:after="0"/>
              <w:ind w:left="0" w:right="0" w:hanging="0"/>
              <w:jc w:val="left"/>
              <w:rPr/>
            </w:pPr>
            <w:r>
              <w:rPr/>
              <w:t>​</w:t>
            </w:r>
          </w:p>
        </w:tc>
      </w:tr>
      <w:tr>
        <w:trPr/>
        <w:tc>
          <w:tcPr>
            <w:tcW w:w="40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income</w:t>
            </w:r>
          </w:p>
        </w:tc>
        <w:tc>
          <w:tcPr>
            <w:tcW w:w="326" w:type="dxa"/>
            <w:tcBorders/>
            <w:shd w:fill="CCEEFF" w:val="clear"/>
            <w:vAlign w:val="center"/>
          </w:tcPr>
          <w:p>
            <w:pPr>
              <w:pStyle w:val="TableContents"/>
              <w:bidi w:val="0"/>
              <w:spacing w:before="0" w:after="0"/>
              <w:ind w:left="0" w:right="0" w:hanging="0"/>
              <w:jc w:val="left"/>
              <w:rPr/>
            </w:pPr>
            <w:r>
              <w:rPr/>
              <w:t>​</w:t>
            </w:r>
          </w:p>
        </w:tc>
        <w:tc>
          <w:tcPr>
            <w:tcW w:w="1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11,130</w:t>
            </w:r>
          </w:p>
        </w:tc>
        <w:tc>
          <w:tcPr>
            <w:tcW w:w="328" w:type="dxa"/>
            <w:tcBorders/>
            <w:shd w:fill="CCEEFF" w:val="clear"/>
            <w:vAlign w:val="center"/>
          </w:tcPr>
          <w:p>
            <w:pPr>
              <w:pStyle w:val="TableContents"/>
              <w:bidi w:val="0"/>
              <w:spacing w:before="0" w:after="0"/>
              <w:ind w:left="0" w:right="0" w:hanging="0"/>
              <w:jc w:val="left"/>
              <w:rPr/>
            </w:pPr>
            <w:r>
              <w:rPr/>
              <w:t>​</w:t>
            </w:r>
          </w:p>
        </w:tc>
        <w:tc>
          <w:tcPr>
            <w:tcW w:w="1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2,684</w:t>
            </w:r>
          </w:p>
        </w:tc>
        <w:tc>
          <w:tcPr>
            <w:tcW w:w="109" w:type="dxa"/>
            <w:tcBorders/>
            <w:shd w:fill="CCEEFF" w:val="clear"/>
            <w:vAlign w:val="center"/>
          </w:tcPr>
          <w:p>
            <w:pPr>
              <w:pStyle w:val="TableContents"/>
              <w:bidi w:val="0"/>
              <w:spacing w:before="0" w:after="0"/>
              <w:ind w:left="0" w:right="0" w:hanging="0"/>
              <w:jc w:val="left"/>
              <w:rPr/>
            </w:pPr>
            <w:r>
              <w:rPr/>
              <w:t>​</w:t>
            </w:r>
          </w:p>
        </w:tc>
        <w:tc>
          <w:tcPr>
            <w:tcW w:w="23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8,446</w:t>
            </w:r>
          </w:p>
        </w:tc>
        <w:tc>
          <w:tcPr>
            <w:tcW w:w="176" w:type="dxa"/>
            <w:tcBorders/>
            <w:shd w:fill="CCEEFF" w:val="clear"/>
            <w:vAlign w:val="center"/>
          </w:tcPr>
          <w:p>
            <w:pPr>
              <w:pStyle w:val="TableContents"/>
              <w:bidi w:val="0"/>
              <w:spacing w:before="0" w:after="0"/>
              <w:ind w:left="0" w:right="0" w:hanging="0"/>
              <w:jc w:val="left"/>
              <w:rPr/>
            </w:pPr>
            <w:r>
              <w:rPr/>
              <w:t>​</w:t>
            </w:r>
          </w:p>
        </w:tc>
        <w:tc>
          <w:tcPr>
            <w:tcW w:w="92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314.7</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40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comprehensive (income) loss:</w:t>
            </w:r>
          </w:p>
        </w:tc>
        <w:tc>
          <w:tcPr>
            <w:tcW w:w="326"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left"/>
              <w:rPr/>
            </w:pPr>
            <w:r>
              <w:rPr/>
              <w:t>​</w:t>
            </w:r>
          </w:p>
        </w:tc>
        <w:tc>
          <w:tcPr>
            <w:tcW w:w="726" w:type="dxa"/>
            <w:tcBorders/>
            <w:vAlign w:val="center"/>
          </w:tcPr>
          <w:p>
            <w:pPr>
              <w:pStyle w:val="TableContents"/>
              <w:bidi w:val="0"/>
              <w:spacing w:before="0" w:after="0"/>
              <w:ind w:left="0" w:right="0" w:hanging="0"/>
              <w:jc w:val="right"/>
              <w:rPr/>
            </w:pPr>
            <w:r>
              <w:rPr/>
              <w:t>​</w:t>
            </w:r>
          </w:p>
        </w:tc>
        <w:tc>
          <w:tcPr>
            <w:tcW w:w="328" w:type="dxa"/>
            <w:tcBorders/>
            <w:vAlign w:val="center"/>
          </w:tcPr>
          <w:p>
            <w:pPr>
              <w:pStyle w:val="TableContents"/>
              <w:bidi w:val="0"/>
              <w:spacing w:before="0" w:after="0"/>
              <w:ind w:left="0" w:right="0" w:hanging="0"/>
              <w:jc w:val="left"/>
              <w:rPr/>
            </w:pPr>
            <w:r>
              <w:rPr/>
              <w:t>​</w:t>
            </w:r>
          </w:p>
        </w:tc>
        <w:tc>
          <w:tcPr>
            <w:tcW w:w="197" w:type="dxa"/>
            <w:tcBorders/>
            <w:vAlign w:val="center"/>
          </w:tcPr>
          <w:p>
            <w:pPr>
              <w:pStyle w:val="TableContents"/>
              <w:bidi w:val="0"/>
              <w:spacing w:before="0" w:after="0"/>
              <w:ind w:left="0" w:right="0" w:hanging="0"/>
              <w:jc w:val="left"/>
              <w:rPr/>
            </w:pPr>
            <w:r>
              <w:rPr/>
              <w:t>​</w:t>
            </w:r>
          </w:p>
        </w:tc>
        <w:tc>
          <w:tcPr>
            <w:tcW w:w="6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869" w:type="dxa"/>
            <w:tcBorders/>
            <w:vAlign w:val="center"/>
          </w:tcPr>
          <w:p>
            <w:pPr>
              <w:pStyle w:val="TableContents"/>
              <w:bidi w:val="0"/>
              <w:spacing w:before="0" w:after="0"/>
              <w:ind w:left="0" w:right="0" w:hanging="0"/>
              <w:jc w:val="right"/>
              <w:rPr/>
            </w:pPr>
            <w:r>
              <w:rPr/>
              <w:t>​</w:t>
            </w:r>
          </w:p>
        </w:tc>
        <w:tc>
          <w:tcPr>
            <w:tcW w:w="176" w:type="dxa"/>
            <w:tcBorders/>
            <w:vAlign w:val="center"/>
          </w:tcPr>
          <w:p>
            <w:pPr>
              <w:pStyle w:val="TableContents"/>
              <w:bidi w:val="0"/>
              <w:spacing w:before="0" w:after="0"/>
              <w:ind w:left="0" w:right="0" w:hanging="0"/>
              <w:jc w:val="left"/>
              <w:rPr/>
            </w:pPr>
            <w:r>
              <w:rPr/>
              <w:t>​</w:t>
            </w:r>
          </w:p>
        </w:tc>
        <w:tc>
          <w:tcPr>
            <w:tcW w:w="923" w:type="dxa"/>
            <w:tcBorders/>
            <w:vAlign w:val="center"/>
          </w:tcPr>
          <w:p>
            <w:pPr>
              <w:pStyle w:val="TableContents"/>
              <w:bidi w:val="0"/>
              <w:spacing w:before="0" w:after="0"/>
              <w:ind w:left="0" w:right="0" w:hanging="0"/>
              <w:jc w:val="right"/>
              <w:rPr/>
            </w:pPr>
            <w:r>
              <w:rPr/>
              <w:t>​</w:t>
            </w:r>
          </w:p>
        </w:tc>
        <w:tc>
          <w:tcPr>
            <w:tcW w:w="301" w:type="dxa"/>
            <w:tcBorders/>
            <w:vAlign w:val="center"/>
          </w:tcPr>
          <w:p>
            <w:pPr>
              <w:pStyle w:val="TableContents"/>
              <w:bidi w:val="0"/>
              <w:spacing w:before="0" w:after="0"/>
              <w:ind w:left="0" w:right="0" w:hanging="0"/>
              <w:jc w:val="left"/>
              <w:rPr/>
            </w:pPr>
            <w:r>
              <w:rPr/>
              <w:t>​</w:t>
            </w:r>
          </w:p>
        </w:tc>
      </w:tr>
      <w:tr>
        <w:trPr/>
        <w:tc>
          <w:tcPr>
            <w:tcW w:w="40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Foreign currency translation adjustments, net of tax</w:t>
            </w:r>
          </w:p>
        </w:tc>
        <w:tc>
          <w:tcPr>
            <w:tcW w:w="326"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left"/>
              <w:rPr/>
            </w:pPr>
            <w:r>
              <w:rPr/>
              <w:t>​</w:t>
            </w:r>
          </w:p>
        </w:tc>
        <w:tc>
          <w:tcPr>
            <w:tcW w:w="7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(15,105)</w:t>
            </w:r>
          </w:p>
        </w:tc>
        <w:tc>
          <w:tcPr>
            <w:tcW w:w="328"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left"/>
              <w:rPr/>
            </w:pPr>
            <w:r>
              <w:rPr/>
              <w:t>​</w:t>
            </w:r>
          </w:p>
        </w:tc>
        <w:tc>
          <w:tcPr>
            <w:tcW w:w="69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4,011</w:t>
            </w:r>
          </w:p>
        </w:tc>
        <w:tc>
          <w:tcPr>
            <w:tcW w:w="109"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pPr>
            <w:r>
              <w:rPr/>
              <w:t>​</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(19,116)</w:t>
            </w:r>
          </w:p>
        </w:tc>
        <w:tc>
          <w:tcPr>
            <w:tcW w:w="176" w:type="dxa"/>
            <w:tcBorders/>
            <w:shd w:fill="CCEEFF" w:val="clear"/>
            <w:vAlign w:val="center"/>
          </w:tcPr>
          <w:p>
            <w:pPr>
              <w:pStyle w:val="TableContents"/>
              <w:bidi w:val="0"/>
              <w:spacing w:before="0" w:after="0"/>
              <w:ind w:left="0" w:right="0" w:hanging="0"/>
              <w:jc w:val="left"/>
              <w:rPr/>
            </w:pPr>
            <w:r>
              <w:rPr/>
              <w:t>​</w:t>
            </w:r>
          </w:p>
        </w:tc>
        <w:tc>
          <w:tcPr>
            <w:tcW w:w="92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(476.6)</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40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Unrealized loss on investments, net of tax</w:t>
            </w:r>
          </w:p>
        </w:tc>
        <w:tc>
          <w:tcPr>
            <w:tcW w:w="326" w:type="dxa"/>
            <w:tcBorders/>
            <w:vAlign w:val="center"/>
          </w:tcPr>
          <w:p>
            <w:pPr>
              <w:pStyle w:val="TableContents"/>
              <w:bidi w:val="0"/>
              <w:spacing w:before="0" w:after="0"/>
              <w:ind w:left="0" w:right="0" w:hanging="0"/>
              <w:jc w:val="left"/>
              <w:rPr/>
            </w:pPr>
            <w:r>
              <w:rPr/>
              <w:t>​</w:t>
            </w:r>
          </w:p>
        </w:tc>
        <w:tc>
          <w:tcPr>
            <w:tcW w:w="19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w:t>
            </w:r>
          </w:p>
        </w:tc>
        <w:tc>
          <w:tcPr>
            <w:tcW w:w="328" w:type="dxa"/>
            <w:tcBorders/>
            <w:vAlign w:val="center"/>
          </w:tcPr>
          <w:p>
            <w:pPr>
              <w:pStyle w:val="TableContents"/>
              <w:bidi w:val="0"/>
              <w:spacing w:before="0" w:after="0"/>
              <w:ind w:left="0" w:right="0" w:hanging="0"/>
              <w:jc w:val="left"/>
              <w:rPr/>
            </w:pPr>
            <w:r>
              <w:rPr/>
              <w:t>​</w:t>
            </w:r>
          </w:p>
        </w:tc>
        <w:tc>
          <w:tcPr>
            <w:tcW w:w="19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w:t>
            </w:r>
          </w:p>
        </w:tc>
        <w:tc>
          <w:tcPr>
            <w:tcW w:w="109" w:type="dxa"/>
            <w:tcBorders/>
            <w:vAlign w:val="center"/>
          </w:tcPr>
          <w:p>
            <w:pPr>
              <w:pStyle w:val="TableContents"/>
              <w:bidi w:val="0"/>
              <w:spacing w:before="0" w:after="0"/>
              <w:ind w:left="0" w:right="0" w:hanging="0"/>
              <w:jc w:val="left"/>
              <w:rPr/>
            </w:pPr>
            <w:r>
              <w:rPr/>
              <w:t>​</w:t>
            </w:r>
          </w:p>
        </w:tc>
        <w:tc>
          <w:tcPr>
            <w:tcW w:w="23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6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w:t>
            </w:r>
          </w:p>
        </w:tc>
        <w:tc>
          <w:tcPr>
            <w:tcW w:w="176" w:type="dxa"/>
            <w:tcBorders/>
            <w:vAlign w:val="center"/>
          </w:tcPr>
          <w:p>
            <w:pPr>
              <w:pStyle w:val="TableContents"/>
              <w:bidi w:val="0"/>
              <w:spacing w:before="0" w:after="0"/>
              <w:ind w:left="0" w:right="0" w:hanging="0"/>
              <w:jc w:val="left"/>
              <w:rPr/>
            </w:pPr>
            <w:r>
              <w:rPr/>
              <w:t>​</w:t>
            </w:r>
          </w:p>
        </w:tc>
        <w:tc>
          <w:tcPr>
            <w:tcW w:w="92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301" w:type="dxa"/>
            <w:tcBorders/>
            <w:vAlign w:val="center"/>
          </w:tcPr>
          <w:p>
            <w:pPr>
              <w:pStyle w:val="TableContents"/>
              <w:bidi w:val="0"/>
              <w:spacing w:before="0" w:after="0"/>
              <w:ind w:left="0" w:right="0" w:hanging="0"/>
              <w:jc w:val="left"/>
              <w:rPr/>
            </w:pPr>
            <w:r>
              <w:rPr/>
              <w:t>​</w:t>
            </w:r>
          </w:p>
        </w:tc>
      </w:tr>
      <w:tr>
        <w:trPr/>
        <w:tc>
          <w:tcPr>
            <w:tcW w:w="40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other comprehensive (income) loss, net of tax</w:t>
            </w:r>
          </w:p>
        </w:tc>
        <w:tc>
          <w:tcPr>
            <w:tcW w:w="326" w:type="dxa"/>
            <w:tcBorders/>
            <w:shd w:fill="CCEEFF" w:val="clear"/>
            <w:vAlign w:val="center"/>
          </w:tcPr>
          <w:p>
            <w:pPr>
              <w:pStyle w:val="TableContents"/>
              <w:bidi w:val="0"/>
              <w:spacing w:before="0" w:after="0"/>
              <w:ind w:left="0" w:right="0" w:hanging="0"/>
              <w:jc w:val="left"/>
              <w:rPr/>
            </w:pPr>
            <w:r>
              <w:rPr/>
              <w:t>​</w:t>
            </w:r>
          </w:p>
        </w:tc>
        <w:tc>
          <w:tcPr>
            <w:tcW w:w="1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(15,096)</w:t>
            </w:r>
          </w:p>
        </w:tc>
        <w:tc>
          <w:tcPr>
            <w:tcW w:w="328" w:type="dxa"/>
            <w:tcBorders/>
            <w:shd w:fill="CCEEFF" w:val="clear"/>
            <w:vAlign w:val="center"/>
          </w:tcPr>
          <w:p>
            <w:pPr>
              <w:pStyle w:val="TableContents"/>
              <w:bidi w:val="0"/>
              <w:spacing w:before="0" w:after="0"/>
              <w:ind w:left="0" w:right="0" w:hanging="0"/>
              <w:jc w:val="left"/>
              <w:rPr/>
            </w:pPr>
            <w:r>
              <w:rPr/>
              <w:t>​</w:t>
            </w:r>
          </w:p>
        </w:tc>
        <w:tc>
          <w:tcPr>
            <w:tcW w:w="1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4,028</w:t>
            </w:r>
          </w:p>
        </w:tc>
        <w:tc>
          <w:tcPr>
            <w:tcW w:w="109" w:type="dxa"/>
            <w:tcBorders/>
            <w:shd w:fill="CCEEFF" w:val="clear"/>
            <w:vAlign w:val="center"/>
          </w:tcPr>
          <w:p>
            <w:pPr>
              <w:pStyle w:val="TableContents"/>
              <w:bidi w:val="0"/>
              <w:spacing w:before="0" w:after="0"/>
              <w:ind w:left="0" w:right="0" w:hanging="0"/>
              <w:jc w:val="left"/>
              <w:rPr/>
            </w:pPr>
            <w:r>
              <w:rPr/>
              <w:t>​</w:t>
            </w:r>
          </w:p>
        </w:tc>
        <w:tc>
          <w:tcPr>
            <w:tcW w:w="23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(19,124)</w:t>
            </w:r>
          </w:p>
        </w:tc>
        <w:tc>
          <w:tcPr>
            <w:tcW w:w="176" w:type="dxa"/>
            <w:tcBorders/>
            <w:shd w:fill="CCEEFF" w:val="clear"/>
            <w:vAlign w:val="center"/>
          </w:tcPr>
          <w:p>
            <w:pPr>
              <w:pStyle w:val="TableContents"/>
              <w:bidi w:val="0"/>
              <w:spacing w:before="0" w:after="0"/>
              <w:ind w:left="0" w:right="0" w:hanging="0"/>
              <w:jc w:val="left"/>
              <w:rPr/>
            </w:pPr>
            <w:r>
              <w:rPr/>
              <w:t>​</w:t>
            </w:r>
          </w:p>
        </w:tc>
        <w:tc>
          <w:tcPr>
            <w:tcW w:w="92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301" w:type="dxa"/>
            <w:tcBorders/>
            <w:shd w:fill="CCEEFF" w:val="clear"/>
            <w:vAlign w:val="center"/>
          </w:tcPr>
          <w:p>
            <w:pPr>
              <w:pStyle w:val="TableContents"/>
              <w:bidi w:val="0"/>
              <w:spacing w:before="0" w:after="0"/>
              <w:ind w:left="0" w:right="0" w:hanging="0"/>
              <w:jc w:val="left"/>
              <w:rPr/>
            </w:pPr>
            <w:r>
              <w:rPr/>
              <w:t>​</w:t>
            </w:r>
          </w:p>
        </w:tc>
      </w:tr>
      <w:tr>
        <w:trPr/>
        <w:tc>
          <w:tcPr>
            <w:tcW w:w="40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comprehensive income (loss)</w:t>
            </w:r>
          </w:p>
        </w:tc>
        <w:tc>
          <w:tcPr>
            <w:tcW w:w="326" w:type="dxa"/>
            <w:tcBorders/>
            <w:vAlign w:val="center"/>
          </w:tcPr>
          <w:p>
            <w:pPr>
              <w:pStyle w:val="TableContents"/>
              <w:bidi w:val="0"/>
              <w:spacing w:before="0" w:after="0"/>
              <w:ind w:left="0" w:right="0" w:hanging="0"/>
              <w:jc w:val="left"/>
              <w:rPr/>
            </w:pPr>
            <w:r>
              <w:rPr/>
              <w:t>​</w:t>
            </w:r>
          </w:p>
        </w:tc>
        <w:tc>
          <w:tcPr>
            <w:tcW w:w="19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26,226</w:t>
            </w:r>
          </w:p>
        </w:tc>
        <w:tc>
          <w:tcPr>
            <w:tcW w:w="328" w:type="dxa"/>
            <w:tcBorders/>
            <w:vAlign w:val="center"/>
          </w:tcPr>
          <w:p>
            <w:pPr>
              <w:pStyle w:val="TableContents"/>
              <w:bidi w:val="0"/>
              <w:spacing w:before="0" w:after="0"/>
              <w:ind w:left="0" w:right="0" w:hanging="0"/>
              <w:jc w:val="left"/>
              <w:rPr/>
            </w:pPr>
            <w:r>
              <w:rPr/>
              <w:t>​</w:t>
            </w:r>
          </w:p>
        </w:tc>
        <w:tc>
          <w:tcPr>
            <w:tcW w:w="19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(1,344)</w:t>
            </w:r>
          </w:p>
        </w:tc>
        <w:tc>
          <w:tcPr>
            <w:tcW w:w="109" w:type="dxa"/>
            <w:tcBorders/>
            <w:vAlign w:val="center"/>
          </w:tcPr>
          <w:p>
            <w:pPr>
              <w:pStyle w:val="TableContents"/>
              <w:bidi w:val="0"/>
              <w:spacing w:before="0" w:after="0"/>
              <w:ind w:left="0" w:right="0" w:hanging="0"/>
              <w:jc w:val="left"/>
              <w:rPr/>
            </w:pPr>
            <w:r>
              <w:rPr/>
              <w:t>​</w:t>
            </w:r>
          </w:p>
        </w:tc>
        <w:tc>
          <w:tcPr>
            <w:tcW w:w="23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6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27,570</w:t>
            </w:r>
          </w:p>
        </w:tc>
        <w:tc>
          <w:tcPr>
            <w:tcW w:w="176" w:type="dxa"/>
            <w:tcBorders/>
            <w:vAlign w:val="center"/>
          </w:tcPr>
          <w:p>
            <w:pPr>
              <w:pStyle w:val="TableContents"/>
              <w:bidi w:val="0"/>
              <w:spacing w:before="0" w:after="0"/>
              <w:ind w:left="0" w:right="0" w:hanging="0"/>
              <w:jc w:val="left"/>
              <w:rPr/>
            </w:pPr>
            <w:r>
              <w:rPr/>
              <w:t>​</w:t>
            </w:r>
          </w:p>
        </w:tc>
        <w:tc>
          <w:tcPr>
            <w:tcW w:w="92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(2,051.3)</w:t>
            </w:r>
          </w:p>
        </w:tc>
        <w:tc>
          <w:tcPr>
            <w:tcW w:w="3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bl>
    <w:tbl>
      <w:tblPr>
        <w:tblW w:w="5736" w:type="dxa"/>
        <w:jc w:val="left"/>
        <w:tblInd w:w="0" w:type="dxa"/>
        <w:tblLayout w:type="fixed"/>
        <w:tblCellMar>
          <w:top w:w="28" w:type="dxa"/>
          <w:left w:w="28" w:type="dxa"/>
          <w:bottom w:w="28" w:type="dxa"/>
          <w:right w:w="28" w:type="dxa"/>
        </w:tblCellMar>
      </w:tblPr>
      <w:tblGrid>
        <w:gridCol w:w="124"/>
        <w:gridCol w:w="256"/>
        <w:gridCol w:w="53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(1)</w:t>
            </w:r>
          </w:p>
        </w:tc>
        <w:tc>
          <w:tcPr>
            <w:tcW w:w="53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Includes stock-based compensation expenses as follows in the table below. </w:t>
            </w:r>
          </w:p>
        </w:tc>
      </w:tr>
    </w:tbl>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 Percentage change not meaningful.</w:t>
      </w:r>
    </w:p>
    <w:p>
      <w:pPr>
        <w:pStyle w:val="TextBody"/>
        <w:bidi w:val="0"/>
        <w:spacing w:before="0" w:after="0"/>
        <w:ind w:left="360" w:right="0" w:hanging="0"/>
        <w:jc w:val="left"/>
        <w:rPr/>
      </w:pPr>
      <w:r>
        <w:rPr/>
        <w:t>​</w:t>
      </w:r>
    </w:p>
    <w:tbl>
      <w:tblPr>
        <w:tblW w:w="6761" w:type="dxa"/>
        <w:jc w:val="left"/>
        <w:tblInd w:w="0" w:type="dxa"/>
        <w:tblLayout w:type="fixed"/>
        <w:tblCellMar>
          <w:top w:w="0" w:type="dxa"/>
          <w:left w:w="0" w:type="dxa"/>
          <w:bottom w:w="0" w:type="dxa"/>
          <w:right w:w="0" w:type="dxa"/>
        </w:tblCellMar>
      </w:tblPr>
      <w:tblGrid>
        <w:gridCol w:w="3451"/>
        <w:gridCol w:w="326"/>
        <w:gridCol w:w="284"/>
        <w:gridCol w:w="911"/>
        <w:gridCol w:w="439"/>
        <w:gridCol w:w="284"/>
        <w:gridCol w:w="1066"/>
      </w:tblGrid>
      <w:tr>
        <w:trPr/>
        <w:tc>
          <w:tcPr>
            <w:tcW w:w="3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2191385" cy="175260"/>
                      <wp:effectExtent l="0" t="0" r="0" b="0"/>
                      <wp:wrapNone/>
                      <wp:docPr id="323" name="Frame323"/>
                      <a:graphic xmlns:a="http://schemas.openxmlformats.org/drawingml/2006/main">
                        <a:graphicData uri="http://schemas.microsoft.com/office/word/2010/wordprocessingShape">
                          <wps:wsp>
                            <wps:cNvSpPr txBox="1"/>
                            <wps:spPr>
                              <a:xfrm>
                                <a:off x="0" y="0"/>
                                <a:ext cx="2191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207010" cy="175260"/>
                      <wp:effectExtent l="0" t="0" r="0" b="0"/>
                      <wp:wrapNone/>
                      <wp:docPr id="324" name="Frame3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180340" cy="175260"/>
                      <wp:effectExtent l="0" t="0" r="0" b="0"/>
                      <wp:wrapNone/>
                      <wp:docPr id="325" name="Frame325"/>
                      <a:graphic xmlns:a="http://schemas.openxmlformats.org/drawingml/2006/main">
                        <a:graphicData uri="http://schemas.microsoft.com/office/word/2010/wordprocessingShape">
                          <wps:wsp>
                            <wps:cNvSpPr txBox="1"/>
                            <wps:spPr>
                              <a:xfrm>
                                <a:off x="0" y="0"/>
                                <a:ext cx="180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578485" cy="175260"/>
                      <wp:effectExtent l="0" t="0" r="0" b="0"/>
                      <wp:wrapNone/>
                      <wp:docPr id="326" name="Frame326"/>
                      <a:graphic xmlns:a="http://schemas.openxmlformats.org/drawingml/2006/main">
                        <a:graphicData uri="http://schemas.microsoft.com/office/word/2010/wordprocessingShape">
                          <wps:wsp>
                            <wps:cNvSpPr txBox="1"/>
                            <wps:spPr>
                              <a:xfrm>
                                <a:off x="0" y="0"/>
                                <a:ext cx="578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278765" cy="175260"/>
                      <wp:effectExtent l="0" t="0" r="0" b="0"/>
                      <wp:wrapNone/>
                      <wp:docPr id="327" name="Frame327"/>
                      <a:graphic xmlns:a="http://schemas.openxmlformats.org/drawingml/2006/main">
                        <a:graphicData uri="http://schemas.microsoft.com/office/word/2010/wordprocessingShape">
                          <wps:wsp>
                            <wps:cNvSpPr txBox="1"/>
                            <wps:spPr>
                              <a:xfrm>
                                <a:off x="0" y="0"/>
                                <a:ext cx="278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180340" cy="175260"/>
                      <wp:effectExtent l="0" t="0" r="0" b="0"/>
                      <wp:wrapNone/>
                      <wp:docPr id="328" name="Frame328"/>
                      <a:graphic xmlns:a="http://schemas.openxmlformats.org/drawingml/2006/main">
                        <a:graphicData uri="http://schemas.microsoft.com/office/word/2010/wordprocessingShape">
                          <wps:wsp>
                            <wps:cNvSpPr txBox="1"/>
                            <wps:spPr>
                              <a:xfrm>
                                <a:off x="0" y="0"/>
                                <a:ext cx="180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676910" cy="175260"/>
                      <wp:effectExtent l="0" t="0" r="0" b="0"/>
                      <wp:wrapNone/>
                      <wp:docPr id="329" name="Frame329"/>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84" w:type="dxa"/>
            <w:tcBorders/>
            <w:vAlign w:val="center"/>
          </w:tcPr>
          <w:p>
            <w:pPr>
              <w:pStyle w:val="TableContents"/>
              <w:bidi w:val="0"/>
              <w:spacing w:before="0" w:after="0"/>
              <w:ind w:left="0" w:right="0" w:hanging="0"/>
              <w:jc w:val="center"/>
              <w:rPr/>
            </w:pPr>
            <w:r>
              <w:rPr/>
              <w:t>​</w:t>
            </w:r>
          </w:p>
        </w:tc>
        <w:tc>
          <w:tcPr>
            <w:tcW w:w="911" w:type="dxa"/>
            <w:tcBorders/>
            <w:vAlign w:val="center"/>
          </w:tcPr>
          <w:p>
            <w:pPr>
              <w:pStyle w:val="TableContents"/>
              <w:bidi w:val="0"/>
              <w:spacing w:before="0" w:after="0"/>
              <w:ind w:left="0" w:right="0" w:hanging="0"/>
              <w:jc w:val="center"/>
              <w:rPr/>
            </w:pPr>
            <w:r>
              <w:rPr/>
              <w:t>​</w:t>
            </w:r>
          </w:p>
        </w:tc>
        <w:tc>
          <w:tcPr>
            <w:tcW w:w="439" w:type="dxa"/>
            <w:tcBorders/>
            <w:vAlign w:val="center"/>
          </w:tcPr>
          <w:p>
            <w:pPr>
              <w:pStyle w:val="TableContents"/>
              <w:bidi w:val="0"/>
              <w:spacing w:before="0" w:after="0"/>
              <w:ind w:left="0" w:right="0" w:hanging="0"/>
              <w:jc w:val="center"/>
              <w:rPr/>
            </w:pPr>
            <w:r>
              <w:rPr/>
              <w:t>​</w:t>
            </w:r>
          </w:p>
        </w:tc>
        <w:tc>
          <w:tcPr>
            <w:tcW w:w="284" w:type="dxa"/>
            <w:tcBorders/>
            <w:vAlign w:val="center"/>
          </w:tcPr>
          <w:p>
            <w:pPr>
              <w:pStyle w:val="TableContents"/>
              <w:bidi w:val="0"/>
              <w:spacing w:before="0" w:after="0"/>
              <w:ind w:left="0" w:right="0" w:hanging="0"/>
              <w:jc w:val="center"/>
              <w:rPr/>
            </w:pPr>
            <w:r>
              <w:rPr/>
              <w:t>​</w:t>
            </w:r>
          </w:p>
        </w:tc>
        <w:tc>
          <w:tcPr>
            <w:tcW w:w="1066" w:type="dxa"/>
            <w:tcBorders/>
            <w:vAlign w:val="center"/>
          </w:tcPr>
          <w:p>
            <w:pPr>
              <w:pStyle w:val="TableContents"/>
              <w:bidi w:val="0"/>
              <w:spacing w:before="0" w:after="0"/>
              <w:ind w:left="0" w:right="0" w:hanging="0"/>
              <w:jc w:val="center"/>
              <w:rPr/>
            </w:pPr>
            <w:r>
              <w:rPr/>
              <w:t>​</w:t>
            </w:r>
          </w:p>
        </w:tc>
      </w:tr>
      <w:tr>
        <w:trPr/>
        <w:tc>
          <w:tcPr>
            <w:tcW w:w="34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98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March 31, </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thousands)</w:t>
            </w:r>
          </w:p>
        </w:tc>
        <w:tc>
          <w:tcPr>
            <w:tcW w:w="326" w:type="dxa"/>
            <w:tcBorders/>
            <w:vAlign w:val="center"/>
          </w:tcPr>
          <w:p>
            <w:pPr>
              <w:pStyle w:val="TableContents"/>
              <w:bidi w:val="0"/>
              <w:spacing w:before="0" w:after="0"/>
              <w:ind w:left="0" w:right="0" w:hanging="0"/>
              <w:jc w:val="left"/>
              <w:rPr/>
            </w:pPr>
            <w:r>
              <w:rPr/>
              <w:t>    </w:t>
            </w:r>
          </w:p>
        </w:tc>
        <w:tc>
          <w:tcPr>
            <w:tcW w:w="11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39" w:type="dxa"/>
            <w:tcBorders/>
            <w:vAlign w:val="center"/>
          </w:tcPr>
          <w:p>
            <w:pPr>
              <w:pStyle w:val="TableContents"/>
              <w:bidi w:val="0"/>
              <w:spacing w:before="0" w:after="0"/>
              <w:ind w:left="0" w:right="0" w:hanging="0"/>
              <w:jc w:val="left"/>
              <w:rPr/>
            </w:pPr>
            <w:r>
              <w:rPr/>
              <w:t>    </w:t>
            </w:r>
          </w:p>
        </w:tc>
        <w:tc>
          <w:tcPr>
            <w:tcW w:w="13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6761"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34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984"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Stock-based compensation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center"/>
              <w:rPr/>
            </w:pPr>
            <w:r>
              <w:rPr/>
              <w:t>​</w:t>
            </w:r>
          </w:p>
        </w:tc>
        <w:tc>
          <w:tcPr>
            <w:tcW w:w="911" w:type="dxa"/>
            <w:tcBorders/>
            <w:shd w:fill="CCEEFF" w:val="clear"/>
            <w:vAlign w:val="center"/>
          </w:tcPr>
          <w:p>
            <w:pPr>
              <w:pStyle w:val="TableContents"/>
              <w:bidi w:val="0"/>
              <w:spacing w:before="0" w:after="0"/>
              <w:ind w:left="0" w:right="0" w:hanging="0"/>
              <w:jc w:val="center"/>
              <w:rPr/>
            </w:pPr>
            <w:r>
              <w:rPr/>
              <w:t>​</w:t>
            </w:r>
          </w:p>
        </w:tc>
        <w:tc>
          <w:tcPr>
            <w:tcW w:w="439" w:type="dxa"/>
            <w:tcBorders/>
            <w:shd w:fill="CCEEFF" w:val="clear"/>
            <w:vAlign w:val="center"/>
          </w:tcPr>
          <w:p>
            <w:pPr>
              <w:pStyle w:val="TableContents"/>
              <w:bidi w:val="0"/>
              <w:spacing w:before="0" w:after="0"/>
              <w:ind w:left="0" w:right="0" w:hanging="0"/>
              <w:jc w:val="center"/>
              <w:rPr/>
            </w:pPr>
            <w:r>
              <w:rPr/>
              <w:t>​</w:t>
            </w:r>
          </w:p>
        </w:tc>
        <w:tc>
          <w:tcPr>
            <w:tcW w:w="284" w:type="dxa"/>
            <w:tcBorders/>
            <w:shd w:fill="CCEEFF" w:val="clear"/>
            <w:vAlign w:val="center"/>
          </w:tcPr>
          <w:p>
            <w:pPr>
              <w:pStyle w:val="TableContents"/>
              <w:bidi w:val="0"/>
              <w:spacing w:before="0" w:after="0"/>
              <w:ind w:left="0" w:right="0" w:hanging="0"/>
              <w:jc w:val="center"/>
              <w:rPr/>
            </w:pPr>
            <w:r>
              <w:rPr/>
              <w:t>​</w:t>
            </w:r>
          </w:p>
        </w:tc>
        <w:tc>
          <w:tcPr>
            <w:tcW w:w="1066" w:type="dxa"/>
            <w:tcBorders/>
            <w:shd w:fill="CCEEFF" w:val="clear"/>
            <w:vAlign w:val="center"/>
          </w:tcPr>
          <w:p>
            <w:pPr>
              <w:pStyle w:val="TableContents"/>
              <w:bidi w:val="0"/>
              <w:spacing w:before="0" w:after="0"/>
              <w:ind w:left="0" w:right="0" w:hanging="0"/>
              <w:jc w:val="center"/>
              <w:rPr/>
            </w:pPr>
            <w:r>
              <w:rPr/>
              <w:t>​</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revenues, software subscriptions</w:t>
            </w:r>
          </w:p>
        </w:tc>
        <w:tc>
          <w:tcPr>
            <w:tcW w:w="326" w:type="dxa"/>
            <w:tcBorders/>
            <w:vAlign w:val="center"/>
          </w:tcPr>
          <w:p>
            <w:pPr>
              <w:pStyle w:val="TableContents"/>
              <w:bidi w:val="0"/>
              <w:spacing w:before="0" w:after="0"/>
              <w:ind w:left="0" w:right="0" w:hanging="0"/>
              <w:jc w:val="left"/>
              <w:rPr/>
            </w:pPr>
            <w:r>
              <w:rPr/>
              <w:t>​</w:t>
            </w:r>
          </w:p>
        </w:tc>
        <w:tc>
          <w:tcPr>
            <w:tcW w:w="2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2,227</w:t>
            </w:r>
          </w:p>
        </w:tc>
        <w:tc>
          <w:tcPr>
            <w:tcW w:w="439" w:type="dxa"/>
            <w:tcBorders/>
            <w:vAlign w:val="center"/>
          </w:tcPr>
          <w:p>
            <w:pPr>
              <w:pStyle w:val="TableContents"/>
              <w:bidi w:val="0"/>
              <w:spacing w:before="0" w:after="0"/>
              <w:ind w:left="0" w:right="0" w:hanging="0"/>
              <w:jc w:val="left"/>
              <w:rPr/>
            </w:pPr>
            <w:r>
              <w:rPr/>
              <w:t>​</w:t>
            </w:r>
          </w:p>
        </w:tc>
        <w:tc>
          <w:tcPr>
            <w:tcW w:w="2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1,590</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revenues, services</w:t>
            </w:r>
          </w:p>
        </w:tc>
        <w:tc>
          <w:tcPr>
            <w:tcW w:w="326"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left"/>
              <w:rPr/>
            </w:pPr>
            <w:r>
              <w:rPr/>
              <w:t> </w:t>
            </w:r>
          </w:p>
        </w:tc>
        <w:tc>
          <w:tcPr>
            <w:tcW w:w="9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1,696</w:t>
            </w:r>
          </w:p>
        </w:tc>
        <w:tc>
          <w:tcPr>
            <w:tcW w:w="439"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left"/>
              <w:rPr/>
            </w:pPr>
            <w:r>
              <w:rPr/>
              <w:t> </w:t>
            </w:r>
          </w:p>
        </w:tc>
        <w:tc>
          <w:tcPr>
            <w:tcW w:w="10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1,006</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26" w:type="dxa"/>
            <w:tcBorders/>
            <w:vAlign w:val="center"/>
          </w:tcPr>
          <w:p>
            <w:pPr>
              <w:pStyle w:val="TableContents"/>
              <w:bidi w:val="0"/>
              <w:spacing w:before="0" w:after="0"/>
              <w:ind w:left="0" w:right="0" w:hanging="0"/>
              <w:jc w:val="left"/>
              <w:rPr/>
            </w:pPr>
            <w:r>
              <w:rPr/>
              <w:t>​</w:t>
            </w:r>
          </w:p>
        </w:tc>
        <w:tc>
          <w:tcPr>
            <w:tcW w:w="284" w:type="dxa"/>
            <w:tcBorders/>
            <w:vAlign w:val="center"/>
          </w:tcPr>
          <w:p>
            <w:pPr>
              <w:pStyle w:val="TableContents"/>
              <w:bidi w:val="0"/>
              <w:spacing w:before="0" w:after="0"/>
              <w:ind w:left="0" w:right="0" w:hanging="0"/>
              <w:jc w:val="left"/>
              <w:rPr/>
            </w:pPr>
            <w:r>
              <w:rPr/>
              <w:t> </w:t>
            </w:r>
          </w:p>
        </w:tc>
        <w:tc>
          <w:tcPr>
            <w:tcW w:w="9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4,352</w:t>
            </w:r>
          </w:p>
        </w:tc>
        <w:tc>
          <w:tcPr>
            <w:tcW w:w="439" w:type="dxa"/>
            <w:tcBorders/>
            <w:vAlign w:val="center"/>
          </w:tcPr>
          <w:p>
            <w:pPr>
              <w:pStyle w:val="TableContents"/>
              <w:bidi w:val="0"/>
              <w:spacing w:before="0" w:after="0"/>
              <w:ind w:left="0" w:right="0" w:hanging="0"/>
              <w:jc w:val="left"/>
              <w:rPr/>
            </w:pPr>
            <w:r>
              <w:rPr/>
              <w:t>​</w:t>
            </w:r>
          </w:p>
        </w:tc>
        <w:tc>
          <w:tcPr>
            <w:tcW w:w="284"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3,373</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and marketing</w:t>
            </w:r>
          </w:p>
        </w:tc>
        <w:tc>
          <w:tcPr>
            <w:tcW w:w="326"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left"/>
              <w:rPr/>
            </w:pPr>
            <w:r>
              <w:rPr/>
              <w:t> </w:t>
            </w:r>
          </w:p>
        </w:tc>
        <w:tc>
          <w:tcPr>
            <w:tcW w:w="9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5,806</w:t>
            </w:r>
          </w:p>
        </w:tc>
        <w:tc>
          <w:tcPr>
            <w:tcW w:w="439"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left"/>
              <w:rPr/>
            </w:pPr>
            <w:r>
              <w:rPr/>
              <w:t> </w:t>
            </w:r>
          </w:p>
        </w:tc>
        <w:tc>
          <w:tcPr>
            <w:tcW w:w="10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4,222</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26" w:type="dxa"/>
            <w:tcBorders/>
            <w:vAlign w:val="center"/>
          </w:tcPr>
          <w:p>
            <w:pPr>
              <w:pStyle w:val="TableContents"/>
              <w:bidi w:val="0"/>
              <w:spacing w:before="0" w:after="0"/>
              <w:ind w:left="0" w:right="0" w:hanging="0"/>
              <w:jc w:val="left"/>
              <w:rPr/>
            </w:pPr>
            <w:r>
              <w:rPr/>
              <w:t>​</w:t>
            </w:r>
          </w:p>
        </w:tc>
        <w:tc>
          <w:tcPr>
            <w:tcW w:w="28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6,963</w:t>
            </w:r>
          </w:p>
        </w:tc>
        <w:tc>
          <w:tcPr>
            <w:tcW w:w="439" w:type="dxa"/>
            <w:tcBorders/>
            <w:vAlign w:val="center"/>
          </w:tcPr>
          <w:p>
            <w:pPr>
              <w:pStyle w:val="TableContents"/>
              <w:bidi w:val="0"/>
              <w:spacing w:before="0" w:after="0"/>
              <w:ind w:left="0" w:right="0" w:hanging="0"/>
              <w:jc w:val="left"/>
              <w:rPr/>
            </w:pPr>
            <w:r>
              <w:rPr/>
              <w:t>​</w:t>
            </w:r>
          </w:p>
        </w:tc>
        <w:tc>
          <w:tcPr>
            <w:tcW w:w="28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6,133</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stock-based compensation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8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21,044</w:t>
            </w:r>
          </w:p>
        </w:tc>
        <w:tc>
          <w:tcPr>
            <w:tcW w:w="439" w:type="dxa"/>
            <w:tcBorders/>
            <w:shd w:fill="CCEEFF" w:val="clear"/>
            <w:vAlign w:val="center"/>
          </w:tcPr>
          <w:p>
            <w:pPr>
              <w:pStyle w:val="TableContents"/>
              <w:bidi w:val="0"/>
              <w:spacing w:before="0" w:after="0"/>
              <w:ind w:left="0" w:right="0" w:hanging="0"/>
              <w:jc w:val="left"/>
              <w:rPr/>
            </w:pPr>
            <w:r>
              <w:rPr/>
              <w:t>​</w:t>
            </w:r>
          </w:p>
        </w:tc>
        <w:tc>
          <w:tcPr>
            <w:tcW w:w="28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6"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16,324</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432"/>
        <w:jc w:val="both"/>
        <w:rPr>
          <w:rFonts w:ascii="Times New Roman;Times;serif" w:hAnsi="Times New Roman;Times;serif"/>
          <w:sz w:val="20"/>
        </w:rPr>
      </w:pPr>
      <w:r>
        <w:rPr>
          <w:rFonts w:ascii="Times New Roman;Times;serif" w:hAnsi="Times New Roman;Times;serif"/>
          <w:sz w:val="20"/>
        </w:rPr>
        <w:t>The following table sets forth our results of operations as a percentage of our total revenues for the periods presented.</w:t>
      </w:r>
    </w:p>
    <w:p>
      <w:pPr>
        <w:pStyle w:val="TextBody"/>
        <w:bidi w:val="0"/>
        <w:spacing w:before="0" w:after="0"/>
        <w:ind w:left="0" w:right="0" w:hanging="0"/>
        <w:jc w:val="left"/>
        <w:rPr/>
      </w:pPr>
      <w:r>
        <w:rPr/>
        <w:t>​</w:t>
      </w:r>
    </w:p>
    <w:tbl>
      <w:tblPr>
        <w:tblW w:w="8338" w:type="dxa"/>
        <w:jc w:val="left"/>
        <w:tblInd w:w="0" w:type="dxa"/>
        <w:tblLayout w:type="fixed"/>
        <w:tblCellMar>
          <w:top w:w="0" w:type="dxa"/>
          <w:left w:w="0" w:type="dxa"/>
          <w:bottom w:w="0" w:type="dxa"/>
          <w:right w:w="0" w:type="dxa"/>
        </w:tblCellMar>
      </w:tblPr>
      <w:tblGrid>
        <w:gridCol w:w="4666"/>
        <w:gridCol w:w="326"/>
        <w:gridCol w:w="1117"/>
        <w:gridCol w:w="706"/>
        <w:gridCol w:w="1117"/>
        <w:gridCol w:w="406"/>
      </w:tblGrid>
      <w:tr>
        <w:trPr/>
        <w:tc>
          <w:tcPr>
            <w:tcW w:w="46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2962910" cy="175260"/>
                      <wp:effectExtent l="0" t="0" r="0" b="0"/>
                      <wp:wrapNone/>
                      <wp:docPr id="330" name="Frame330"/>
                      <a:graphic xmlns:a="http://schemas.openxmlformats.org/drawingml/2006/main">
                        <a:graphicData uri="http://schemas.microsoft.com/office/word/2010/wordprocessingShape">
                          <wps:wsp>
                            <wps:cNvSpPr txBox="1"/>
                            <wps:spPr>
                              <a:xfrm>
                                <a:off x="0" y="0"/>
                                <a:ext cx="2962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207010" cy="175260"/>
                      <wp:effectExtent l="0" t="0" r="0" b="0"/>
                      <wp:wrapNone/>
                      <wp:docPr id="331" name="Frame3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709295" cy="175260"/>
                      <wp:effectExtent l="0" t="0" r="0" b="0"/>
                      <wp:wrapNone/>
                      <wp:docPr id="332" name="Frame332"/>
                      <a:graphic xmlns:a="http://schemas.openxmlformats.org/drawingml/2006/main">
                        <a:graphicData uri="http://schemas.microsoft.com/office/word/2010/wordprocessingShape">
                          <wps:wsp>
                            <wps:cNvSpPr txBox="1"/>
                            <wps:spPr>
                              <a:xfrm>
                                <a:off x="0" y="0"/>
                                <a:ext cx="709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448310" cy="175260"/>
                      <wp:effectExtent l="0" t="0" r="0" b="0"/>
                      <wp:wrapNone/>
                      <wp:docPr id="333" name="Frame333"/>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709295" cy="175260"/>
                      <wp:effectExtent l="0" t="0" r="0" b="0"/>
                      <wp:wrapNone/>
                      <wp:docPr id="334" name="Frame334"/>
                      <a:graphic xmlns:a="http://schemas.openxmlformats.org/drawingml/2006/main">
                        <a:graphicData uri="http://schemas.microsoft.com/office/word/2010/wordprocessingShape">
                          <wps:wsp>
                            <wps:cNvSpPr txBox="1"/>
                            <wps:spPr>
                              <a:xfrm>
                                <a:off x="0" y="0"/>
                                <a:ext cx="709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257810" cy="175260"/>
                      <wp:effectExtent l="0" t="0" r="0" b="0"/>
                      <wp:wrapNone/>
                      <wp:docPr id="335" name="Frame335"/>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6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940"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three months ended March 31, </w:t>
            </w:r>
          </w:p>
        </w:tc>
        <w:tc>
          <w:tcPr>
            <w:tcW w:w="406" w:type="dxa"/>
            <w:tcBorders/>
            <w:vAlign w:val="center"/>
          </w:tcPr>
          <w:p>
            <w:pPr>
              <w:pStyle w:val="TableContents"/>
              <w:bidi w:val="0"/>
              <w:spacing w:before="0" w:after="0"/>
              <w:ind w:left="0" w:right="0" w:hanging="0"/>
              <w:jc w:val="left"/>
              <w:rPr/>
            </w:pPr>
            <w:r>
              <w:rPr/>
              <w:t>​</w:t>
            </w:r>
          </w:p>
        </w:tc>
      </w:tr>
      <w:tr>
        <w:trPr/>
        <w:tc>
          <w:tcPr>
            <w:tcW w:w="46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1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706" w:type="dxa"/>
            <w:tcBorders/>
            <w:vAlign w:val="center"/>
          </w:tcPr>
          <w:p>
            <w:pPr>
              <w:pStyle w:val="TableContents"/>
              <w:bidi w:val="0"/>
              <w:spacing w:before="0" w:after="0"/>
              <w:ind w:left="0" w:right="0" w:hanging="0"/>
              <w:jc w:val="left"/>
              <w:rPr/>
            </w:pPr>
            <w:r>
              <w:rPr/>
              <w:t>    </w:t>
            </w:r>
          </w:p>
        </w:tc>
        <w:tc>
          <w:tcPr>
            <w:tcW w:w="111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406" w:type="dxa"/>
            <w:tcBorders/>
            <w:vAlign w:val="center"/>
          </w:tcPr>
          <w:p>
            <w:pPr>
              <w:pStyle w:val="TableContents"/>
              <w:bidi w:val="0"/>
              <w:spacing w:before="0" w:after="0"/>
              <w:ind w:left="0" w:right="0" w:hanging="0"/>
              <w:jc w:val="center"/>
              <w:rPr/>
            </w:pPr>
            <w:r>
              <w:rPr/>
              <w:t> </w:t>
            </w:r>
          </w:p>
        </w:tc>
      </w:tr>
      <w:tr>
        <w:trPr/>
        <w:tc>
          <w:tcPr>
            <w:tcW w:w="8338" w:type="dxa"/>
            <w:gridSpan w:val="6"/>
            <w:tcBorders/>
            <w:vAlign w:val="center"/>
          </w:tcPr>
          <w:p>
            <w:pPr>
              <w:pStyle w:val="TableContents"/>
              <w:bidi w:val="0"/>
              <w:spacing w:before="0" w:after="283"/>
              <w:ind w:left="0" w:right="0" w:hanging="0"/>
              <w:jc w:val="left"/>
              <w:rPr>
                <w:sz w:val="4"/>
                <w:szCs w:val="4"/>
              </w:rPr>
            </w:pPr>
            <w:r>
              <w:rPr>
                <w:sz w:val="4"/>
                <w:szCs w:val="4"/>
              </w:rPr>
            </w:r>
          </w:p>
        </w:tc>
      </w:tr>
      <w:tr>
        <w:trPr/>
        <w:tc>
          <w:tcPr>
            <w:tcW w:w="46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940"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406" w:type="dxa"/>
            <w:tcBorders/>
            <w:vAlign w:val="center"/>
          </w:tcPr>
          <w:p>
            <w:pPr>
              <w:pStyle w:val="TableContents"/>
              <w:bidi w:val="0"/>
              <w:spacing w:before="0" w:after="0"/>
              <w:ind w:left="0" w:right="0" w:hanging="0"/>
              <w:jc w:val="center"/>
              <w:rPr/>
            </w:pPr>
            <w:r>
              <w:rPr/>
              <w:t> </w:t>
            </w:r>
          </w:p>
        </w:tc>
      </w:tr>
      <w:tr>
        <w:trPr/>
        <w:tc>
          <w:tcPr>
            <w:tcW w:w="46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Revenues:</w:t>
            </w:r>
          </w:p>
        </w:tc>
        <w:tc>
          <w:tcPr>
            <w:tcW w:w="326" w:type="dxa"/>
            <w:tcBorders/>
            <w:shd w:fill="CCEEFF" w:val="clear"/>
            <w:vAlign w:val="center"/>
          </w:tcPr>
          <w:p>
            <w:pPr>
              <w:pStyle w:val="TableContents"/>
              <w:bidi w:val="0"/>
              <w:spacing w:before="0" w:after="0"/>
              <w:ind w:left="0" w:right="0" w:hanging="0"/>
              <w:jc w:val="left"/>
              <w:rPr/>
            </w:pPr>
            <w:r>
              <w:rPr/>
              <w:t> </w:t>
            </w:r>
          </w:p>
        </w:tc>
        <w:tc>
          <w:tcPr>
            <w:tcW w:w="1117" w:type="dxa"/>
            <w:tcBorders/>
            <w:shd w:fill="CCEEFF" w:val="clear"/>
            <w:vAlign w:val="center"/>
          </w:tcPr>
          <w:p>
            <w:pPr>
              <w:pStyle w:val="TableContents"/>
              <w:bidi w:val="0"/>
              <w:spacing w:before="0" w:after="0"/>
              <w:ind w:left="0" w:right="0" w:hanging="0"/>
              <w:jc w:val="right"/>
              <w:rPr/>
            </w:pPr>
            <w:r>
              <w:rPr/>
              <w:t>  </w:t>
            </w:r>
          </w:p>
        </w:tc>
        <w:tc>
          <w:tcPr>
            <w:tcW w:w="706" w:type="dxa"/>
            <w:tcBorders/>
            <w:shd w:fill="CCEEFF" w:val="clear"/>
            <w:vAlign w:val="center"/>
          </w:tcPr>
          <w:p>
            <w:pPr>
              <w:pStyle w:val="TableContents"/>
              <w:bidi w:val="0"/>
              <w:spacing w:before="0" w:after="0"/>
              <w:ind w:left="0" w:right="0" w:hanging="0"/>
              <w:jc w:val="left"/>
              <w:rPr/>
            </w:pPr>
            <w:r>
              <w:rPr/>
              <w:t> </w:t>
            </w:r>
          </w:p>
        </w:tc>
        <w:tc>
          <w:tcPr>
            <w:tcW w:w="1117" w:type="dxa"/>
            <w:tcBorders/>
            <w:shd w:fill="CCEEFF" w:val="clear"/>
            <w:vAlign w:val="center"/>
          </w:tcPr>
          <w:p>
            <w:pPr>
              <w:pStyle w:val="TableContents"/>
              <w:bidi w:val="0"/>
              <w:spacing w:before="0" w:after="0"/>
              <w:ind w:left="0" w:right="0" w:hanging="0"/>
              <w:jc w:val="right"/>
              <w:rPr/>
            </w:pPr>
            <w:r>
              <w:rPr/>
              <w:t>  </w:t>
            </w:r>
          </w:p>
        </w:tc>
        <w:tc>
          <w:tcPr>
            <w:tcW w:w="406" w:type="dxa"/>
            <w:tcBorders/>
            <w:shd w:fill="CCEEFF" w:val="clear"/>
            <w:vAlign w:val="center"/>
          </w:tcPr>
          <w:p>
            <w:pPr>
              <w:pStyle w:val="TableContents"/>
              <w:bidi w:val="0"/>
              <w:spacing w:before="0" w:after="0"/>
              <w:ind w:left="0" w:right="0" w:hanging="0"/>
              <w:jc w:val="left"/>
              <w:rPr/>
            </w:pPr>
            <w:r>
              <w:rPr/>
              <w:t>​</w:t>
            </w:r>
          </w:p>
        </w:tc>
      </w:tr>
      <w:tr>
        <w:trPr/>
        <w:tc>
          <w:tcPr>
            <w:tcW w:w="46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Software subscriptions</w:t>
            </w:r>
          </w:p>
        </w:tc>
        <w:tc>
          <w:tcPr>
            <w:tcW w:w="326" w:type="dxa"/>
            <w:tcBorders/>
            <w:vAlign w:val="center"/>
          </w:tcPr>
          <w:p>
            <w:pPr>
              <w:pStyle w:val="TableContents"/>
              <w:bidi w:val="0"/>
              <w:spacing w:before="0" w:after="0"/>
              <w:ind w:left="0" w:right="0" w:hanging="0"/>
              <w:jc w:val="left"/>
              <w:rPr/>
            </w:pPr>
            <w:r>
              <w:rPr/>
              <w:t> </w:t>
            </w:r>
          </w:p>
        </w:tc>
        <w:tc>
          <w:tcPr>
            <w:tcW w:w="11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85.1</w:t>
            </w:r>
          </w:p>
        </w:tc>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1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84.1</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6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Services</w:t>
            </w:r>
          </w:p>
        </w:tc>
        <w:tc>
          <w:tcPr>
            <w:tcW w:w="326" w:type="dxa"/>
            <w:tcBorders/>
            <w:shd w:fill="CCEEFF" w:val="clear"/>
            <w:vAlign w:val="center"/>
          </w:tcPr>
          <w:p>
            <w:pPr>
              <w:pStyle w:val="TableContents"/>
              <w:bidi w:val="0"/>
              <w:spacing w:before="0" w:after="0"/>
              <w:ind w:left="0" w:right="0" w:hanging="0"/>
              <w:jc w:val="left"/>
              <w:rPr/>
            </w:pPr>
            <w:r>
              <w:rPr/>
              <w:t> </w:t>
            </w:r>
          </w:p>
        </w:tc>
        <w:tc>
          <w:tcPr>
            <w:tcW w:w="11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w:t>
            </w:r>
          </w:p>
        </w:tc>
        <w:tc>
          <w:tcPr>
            <w:tcW w:w="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1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w:t>
            </w:r>
          </w:p>
        </w:tc>
        <w:tc>
          <w:tcPr>
            <w:tcW w:w="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6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326" w:type="dxa"/>
            <w:tcBorders/>
            <w:vAlign w:val="center"/>
          </w:tcPr>
          <w:p>
            <w:pPr>
              <w:pStyle w:val="TableContents"/>
              <w:bidi w:val="0"/>
              <w:spacing w:before="0" w:after="0"/>
              <w:ind w:left="0" w:right="0" w:hanging="0"/>
              <w:jc w:val="left"/>
              <w:rPr/>
            </w:pPr>
            <w:r>
              <w:rPr/>
              <w:t> </w:t>
            </w:r>
          </w:p>
        </w:tc>
        <w:tc>
          <w:tcPr>
            <w:tcW w:w="111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11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6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revenues:</w:t>
            </w:r>
          </w:p>
        </w:tc>
        <w:tc>
          <w:tcPr>
            <w:tcW w:w="326" w:type="dxa"/>
            <w:tcBorders/>
            <w:shd w:fill="CCEEFF" w:val="clear"/>
            <w:vAlign w:val="center"/>
          </w:tcPr>
          <w:p>
            <w:pPr>
              <w:pStyle w:val="TableContents"/>
              <w:bidi w:val="0"/>
              <w:spacing w:before="0" w:after="0"/>
              <w:ind w:left="0" w:right="0" w:hanging="0"/>
              <w:jc w:val="left"/>
              <w:rPr/>
            </w:pPr>
            <w:r>
              <w:rPr/>
              <w:t> </w:t>
            </w:r>
          </w:p>
        </w:tc>
        <w:tc>
          <w:tcPr>
            <w:tcW w:w="1117" w:type="dxa"/>
            <w:tcBorders/>
            <w:shd w:fill="CCEEFF" w:val="clear"/>
            <w:vAlign w:val="center"/>
          </w:tcPr>
          <w:p>
            <w:pPr>
              <w:pStyle w:val="TableContents"/>
              <w:bidi w:val="0"/>
              <w:spacing w:before="0" w:after="0"/>
              <w:ind w:left="0" w:right="0" w:hanging="0"/>
              <w:jc w:val="right"/>
              <w:rPr/>
            </w:pPr>
            <w:r>
              <w:rPr/>
              <w:t>  </w:t>
            </w:r>
          </w:p>
        </w:tc>
        <w:tc>
          <w:tcPr>
            <w:tcW w:w="706" w:type="dxa"/>
            <w:tcBorders/>
            <w:shd w:fill="CCEEFF" w:val="clear"/>
            <w:vAlign w:val="center"/>
          </w:tcPr>
          <w:p>
            <w:pPr>
              <w:pStyle w:val="TableContents"/>
              <w:bidi w:val="0"/>
              <w:spacing w:before="0" w:after="0"/>
              <w:ind w:left="0" w:right="0" w:hanging="0"/>
              <w:jc w:val="left"/>
              <w:rPr/>
            </w:pPr>
            <w:r>
              <w:rPr/>
              <w:t> </w:t>
            </w:r>
          </w:p>
        </w:tc>
        <w:tc>
          <w:tcPr>
            <w:tcW w:w="1117" w:type="dxa"/>
            <w:tcBorders/>
            <w:shd w:fill="CCEEFF" w:val="clear"/>
            <w:vAlign w:val="center"/>
          </w:tcPr>
          <w:p>
            <w:pPr>
              <w:pStyle w:val="TableContents"/>
              <w:bidi w:val="0"/>
              <w:spacing w:before="0" w:after="0"/>
              <w:ind w:left="0" w:right="0" w:hanging="0"/>
              <w:jc w:val="right"/>
              <w:rPr/>
            </w:pPr>
            <w:r>
              <w:rPr/>
              <w:t>  </w:t>
            </w:r>
          </w:p>
        </w:tc>
        <w:tc>
          <w:tcPr>
            <w:tcW w:w="406" w:type="dxa"/>
            <w:tcBorders/>
            <w:shd w:fill="CCEEFF" w:val="clear"/>
            <w:vAlign w:val="center"/>
          </w:tcPr>
          <w:p>
            <w:pPr>
              <w:pStyle w:val="TableContents"/>
              <w:bidi w:val="0"/>
              <w:spacing w:before="0" w:after="0"/>
              <w:ind w:left="0" w:right="0" w:hanging="0"/>
              <w:jc w:val="left"/>
              <w:rPr/>
            </w:pPr>
            <w:r>
              <w:rPr/>
              <w:t>​</w:t>
            </w:r>
          </w:p>
        </w:tc>
      </w:tr>
      <w:tr>
        <w:trPr/>
        <w:tc>
          <w:tcPr>
            <w:tcW w:w="46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Software subscriptions</w:t>
            </w:r>
          </w:p>
        </w:tc>
        <w:tc>
          <w:tcPr>
            <w:tcW w:w="326" w:type="dxa"/>
            <w:tcBorders/>
            <w:vAlign w:val="center"/>
          </w:tcPr>
          <w:p>
            <w:pPr>
              <w:pStyle w:val="TableContents"/>
              <w:bidi w:val="0"/>
              <w:spacing w:before="0" w:after="0"/>
              <w:ind w:left="0" w:right="0" w:hanging="0"/>
              <w:jc w:val="left"/>
              <w:rPr/>
            </w:pPr>
            <w:r>
              <w:rPr/>
              <w:t> </w:t>
            </w:r>
          </w:p>
        </w:tc>
        <w:tc>
          <w:tcPr>
            <w:tcW w:w="11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w:t>
            </w:r>
          </w:p>
        </w:tc>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1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6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Services</w:t>
            </w:r>
          </w:p>
        </w:tc>
        <w:tc>
          <w:tcPr>
            <w:tcW w:w="326" w:type="dxa"/>
            <w:tcBorders/>
            <w:shd w:fill="CCEEFF" w:val="clear"/>
            <w:vAlign w:val="center"/>
          </w:tcPr>
          <w:p>
            <w:pPr>
              <w:pStyle w:val="TableContents"/>
              <w:bidi w:val="0"/>
              <w:spacing w:before="0" w:after="0"/>
              <w:ind w:left="0" w:right="0" w:hanging="0"/>
              <w:jc w:val="left"/>
              <w:rPr/>
            </w:pPr>
            <w:r>
              <w:rPr/>
              <w:t> </w:t>
            </w:r>
          </w:p>
        </w:tc>
        <w:tc>
          <w:tcPr>
            <w:tcW w:w="11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w:t>
            </w:r>
          </w:p>
        </w:tc>
        <w:tc>
          <w:tcPr>
            <w:tcW w:w="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1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w:t>
            </w:r>
          </w:p>
        </w:tc>
        <w:tc>
          <w:tcPr>
            <w:tcW w:w="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6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cost of revenues</w:t>
            </w:r>
          </w:p>
        </w:tc>
        <w:tc>
          <w:tcPr>
            <w:tcW w:w="326" w:type="dxa"/>
            <w:tcBorders/>
            <w:vAlign w:val="center"/>
          </w:tcPr>
          <w:p>
            <w:pPr>
              <w:pStyle w:val="TableContents"/>
              <w:bidi w:val="0"/>
              <w:spacing w:before="0" w:after="0"/>
              <w:ind w:left="0" w:right="0" w:hanging="0"/>
              <w:jc w:val="left"/>
              <w:rPr/>
            </w:pPr>
            <w:r>
              <w:rPr/>
              <w:t> </w:t>
            </w:r>
          </w:p>
        </w:tc>
        <w:tc>
          <w:tcPr>
            <w:tcW w:w="111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36.2</w:t>
            </w:r>
          </w:p>
        </w:tc>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11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38.9</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6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26" w:type="dxa"/>
            <w:tcBorders/>
            <w:shd w:fill="CCEEFF" w:val="clear"/>
            <w:vAlign w:val="center"/>
          </w:tcPr>
          <w:p>
            <w:pPr>
              <w:pStyle w:val="TableContents"/>
              <w:bidi w:val="0"/>
              <w:spacing w:before="0" w:after="0"/>
              <w:ind w:left="0" w:right="0" w:hanging="0"/>
              <w:jc w:val="left"/>
              <w:rPr/>
            </w:pPr>
            <w:r>
              <w:rPr/>
              <w:t> </w:t>
            </w:r>
          </w:p>
        </w:tc>
        <w:tc>
          <w:tcPr>
            <w:tcW w:w="11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63.8</w:t>
            </w:r>
          </w:p>
        </w:tc>
        <w:tc>
          <w:tcPr>
            <w:tcW w:w="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1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61.1</w:t>
            </w:r>
          </w:p>
        </w:tc>
        <w:tc>
          <w:tcPr>
            <w:tcW w:w="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6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26" w:type="dxa"/>
            <w:tcBorders/>
            <w:vAlign w:val="center"/>
          </w:tcPr>
          <w:p>
            <w:pPr>
              <w:pStyle w:val="TableContents"/>
              <w:bidi w:val="0"/>
              <w:spacing w:before="0" w:after="0"/>
              <w:ind w:left="0" w:right="0" w:hanging="0"/>
              <w:jc w:val="left"/>
              <w:rPr/>
            </w:pPr>
            <w:r>
              <w:rPr/>
              <w:t> </w:t>
            </w:r>
          </w:p>
        </w:tc>
        <w:tc>
          <w:tcPr>
            <w:tcW w:w="1117" w:type="dxa"/>
            <w:tcBorders/>
            <w:vAlign w:val="center"/>
          </w:tcPr>
          <w:p>
            <w:pPr>
              <w:pStyle w:val="TableContents"/>
              <w:bidi w:val="0"/>
              <w:spacing w:before="0" w:after="0"/>
              <w:ind w:left="0" w:right="0" w:hanging="0"/>
              <w:jc w:val="right"/>
              <w:rPr/>
            </w:pPr>
            <w:r>
              <w:rPr/>
              <w:t>  </w:t>
            </w:r>
          </w:p>
        </w:tc>
        <w:tc>
          <w:tcPr>
            <w:tcW w:w="706" w:type="dxa"/>
            <w:tcBorders/>
            <w:vAlign w:val="center"/>
          </w:tcPr>
          <w:p>
            <w:pPr>
              <w:pStyle w:val="TableContents"/>
              <w:bidi w:val="0"/>
              <w:spacing w:before="0" w:after="0"/>
              <w:ind w:left="0" w:right="0" w:hanging="0"/>
              <w:jc w:val="left"/>
              <w:rPr/>
            </w:pPr>
            <w:r>
              <w:rPr/>
              <w:t> </w:t>
            </w:r>
          </w:p>
        </w:tc>
        <w:tc>
          <w:tcPr>
            <w:tcW w:w="1117" w:type="dxa"/>
            <w:tcBorders/>
            <w:vAlign w:val="center"/>
          </w:tcPr>
          <w:p>
            <w:pPr>
              <w:pStyle w:val="TableContents"/>
              <w:bidi w:val="0"/>
              <w:spacing w:before="0" w:after="0"/>
              <w:ind w:left="0" w:right="0" w:hanging="0"/>
              <w:jc w:val="right"/>
              <w:rPr/>
            </w:pPr>
            <w:r>
              <w:rPr/>
              <w:t>  </w:t>
            </w:r>
          </w:p>
        </w:tc>
        <w:tc>
          <w:tcPr>
            <w:tcW w:w="406" w:type="dxa"/>
            <w:tcBorders/>
            <w:vAlign w:val="center"/>
          </w:tcPr>
          <w:p>
            <w:pPr>
              <w:pStyle w:val="TableContents"/>
              <w:bidi w:val="0"/>
              <w:spacing w:before="0" w:after="0"/>
              <w:ind w:left="0" w:right="0" w:hanging="0"/>
              <w:jc w:val="left"/>
              <w:rPr/>
            </w:pPr>
            <w:r>
              <w:rPr/>
              <w:t>​</w:t>
            </w:r>
          </w:p>
        </w:tc>
      </w:tr>
      <w:tr>
        <w:trPr/>
        <w:tc>
          <w:tcPr>
            <w:tcW w:w="46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26" w:type="dxa"/>
            <w:tcBorders/>
            <w:shd w:fill="CCEEFF" w:val="clear"/>
            <w:vAlign w:val="center"/>
          </w:tcPr>
          <w:p>
            <w:pPr>
              <w:pStyle w:val="TableContents"/>
              <w:bidi w:val="0"/>
              <w:spacing w:before="0" w:after="0"/>
              <w:ind w:left="0" w:right="0" w:hanging="0"/>
              <w:jc w:val="left"/>
              <w:rPr/>
            </w:pPr>
            <w:r>
              <w:rPr/>
              <w:t> </w:t>
            </w:r>
          </w:p>
        </w:tc>
        <w:tc>
          <w:tcPr>
            <w:tcW w:w="11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w:t>
            </w:r>
          </w:p>
        </w:tc>
        <w:tc>
          <w:tcPr>
            <w:tcW w:w="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1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w:t>
            </w:r>
          </w:p>
        </w:tc>
        <w:tc>
          <w:tcPr>
            <w:tcW w:w="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6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and marketing</w:t>
            </w:r>
          </w:p>
        </w:tc>
        <w:tc>
          <w:tcPr>
            <w:tcW w:w="326" w:type="dxa"/>
            <w:tcBorders/>
            <w:vAlign w:val="center"/>
          </w:tcPr>
          <w:p>
            <w:pPr>
              <w:pStyle w:val="TableContents"/>
              <w:bidi w:val="0"/>
              <w:spacing w:before="0" w:after="0"/>
              <w:ind w:left="0" w:right="0" w:hanging="0"/>
              <w:jc w:val="left"/>
              <w:rPr/>
            </w:pPr>
            <w:r>
              <w:rPr/>
              <w:t> </w:t>
            </w:r>
          </w:p>
        </w:tc>
        <w:tc>
          <w:tcPr>
            <w:tcW w:w="11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w:t>
            </w:r>
          </w:p>
        </w:tc>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1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6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26" w:type="dxa"/>
            <w:tcBorders/>
            <w:shd w:fill="CCEEFF" w:val="clear"/>
            <w:vAlign w:val="center"/>
          </w:tcPr>
          <w:p>
            <w:pPr>
              <w:pStyle w:val="TableContents"/>
              <w:bidi w:val="0"/>
              <w:spacing w:before="0" w:after="0"/>
              <w:ind w:left="0" w:right="0" w:hanging="0"/>
              <w:jc w:val="left"/>
              <w:rPr/>
            </w:pPr>
            <w:r>
              <w:rPr/>
              <w:t> </w:t>
            </w:r>
          </w:p>
        </w:tc>
        <w:tc>
          <w:tcPr>
            <w:tcW w:w="11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w:t>
            </w:r>
          </w:p>
        </w:tc>
        <w:tc>
          <w:tcPr>
            <w:tcW w:w="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1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w:t>
            </w:r>
          </w:p>
        </w:tc>
        <w:tc>
          <w:tcPr>
            <w:tcW w:w="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6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vAlign w:val="center"/>
          </w:tcPr>
          <w:p>
            <w:pPr>
              <w:pStyle w:val="TableContents"/>
              <w:bidi w:val="0"/>
              <w:spacing w:before="0" w:after="0"/>
              <w:ind w:left="0" w:right="0" w:hanging="0"/>
              <w:jc w:val="left"/>
              <w:rPr/>
            </w:pPr>
            <w:r>
              <w:rPr/>
              <w:t> </w:t>
            </w:r>
          </w:p>
        </w:tc>
        <w:tc>
          <w:tcPr>
            <w:tcW w:w="11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1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6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acquisition contingent earn-outs</w:t>
            </w:r>
          </w:p>
        </w:tc>
        <w:tc>
          <w:tcPr>
            <w:tcW w:w="326" w:type="dxa"/>
            <w:tcBorders/>
            <w:shd w:fill="CCEEFF" w:val="clear"/>
            <w:vAlign w:val="center"/>
          </w:tcPr>
          <w:p>
            <w:pPr>
              <w:pStyle w:val="TableContents"/>
              <w:bidi w:val="0"/>
              <w:spacing w:before="0" w:after="0"/>
              <w:ind w:left="0" w:right="0" w:hanging="0"/>
              <w:jc w:val="left"/>
              <w:rPr/>
            </w:pPr>
            <w:r>
              <w:rPr/>
              <w:t>​</w:t>
            </w:r>
          </w:p>
        </w:tc>
        <w:tc>
          <w:tcPr>
            <w:tcW w:w="11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w:t>
            </w:r>
          </w:p>
        </w:tc>
        <w:tc>
          <w:tcPr>
            <w:tcW w:w="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117" w:type="dxa"/>
            <w:tcBorders/>
            <w:shd w:fill="CCEEFF" w:val="clear"/>
            <w:vAlign w:val="center"/>
          </w:tcPr>
          <w:p>
            <w:pPr>
              <w:pStyle w:val="TableContents"/>
              <w:bidi w:val="0"/>
              <w:spacing w:before="0" w:after="0"/>
              <w:ind w:left="0" w:right="0" w:hanging="0"/>
              <w:jc w:val="right"/>
              <w:rPr/>
            </w:pPr>
            <w:r>
              <w:rPr/>
              <w:t>—</w:t>
            </w:r>
          </w:p>
        </w:tc>
        <w:tc>
          <w:tcPr>
            <w:tcW w:w="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6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operating expense (income), net</w:t>
            </w:r>
          </w:p>
        </w:tc>
        <w:tc>
          <w:tcPr>
            <w:tcW w:w="326" w:type="dxa"/>
            <w:tcBorders/>
            <w:vAlign w:val="center"/>
          </w:tcPr>
          <w:p>
            <w:pPr>
              <w:pStyle w:val="TableContents"/>
              <w:bidi w:val="0"/>
              <w:spacing w:before="0" w:after="0"/>
              <w:ind w:left="0" w:right="0" w:hanging="0"/>
              <w:jc w:val="left"/>
              <w:rPr/>
            </w:pPr>
            <w:r>
              <w:rPr/>
              <w:t> </w:t>
            </w:r>
          </w:p>
        </w:tc>
        <w:tc>
          <w:tcPr>
            <w:tcW w:w="111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11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6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26" w:type="dxa"/>
            <w:tcBorders/>
            <w:shd w:fill="CCEEFF" w:val="clear"/>
            <w:vAlign w:val="center"/>
          </w:tcPr>
          <w:p>
            <w:pPr>
              <w:pStyle w:val="TableContents"/>
              <w:bidi w:val="0"/>
              <w:spacing w:before="0" w:after="0"/>
              <w:ind w:left="0" w:right="0" w:hanging="0"/>
              <w:jc w:val="left"/>
              <w:rPr/>
            </w:pPr>
            <w:r>
              <w:rPr/>
              <w:t> </w:t>
            </w:r>
          </w:p>
        </w:tc>
        <w:tc>
          <w:tcPr>
            <w:tcW w:w="11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61.2</w:t>
            </w:r>
          </w:p>
        </w:tc>
        <w:tc>
          <w:tcPr>
            <w:tcW w:w="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1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62.1</w:t>
            </w:r>
          </w:p>
        </w:tc>
        <w:tc>
          <w:tcPr>
            <w:tcW w:w="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6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(loss) from operations</w:t>
            </w:r>
          </w:p>
        </w:tc>
        <w:tc>
          <w:tcPr>
            <w:tcW w:w="326" w:type="dxa"/>
            <w:tcBorders/>
            <w:vAlign w:val="center"/>
          </w:tcPr>
          <w:p>
            <w:pPr>
              <w:pStyle w:val="TableContents"/>
              <w:bidi w:val="0"/>
              <w:spacing w:before="0" w:after="0"/>
              <w:ind w:left="0" w:right="0" w:hanging="0"/>
              <w:jc w:val="left"/>
              <w:rPr/>
            </w:pPr>
            <w:r>
              <w:rPr/>
              <w:t> </w:t>
            </w:r>
          </w:p>
        </w:tc>
        <w:tc>
          <w:tcPr>
            <w:tcW w:w="11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1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6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 (income), net</w:t>
            </w:r>
          </w:p>
        </w:tc>
        <w:tc>
          <w:tcPr>
            <w:tcW w:w="326" w:type="dxa"/>
            <w:tcBorders/>
            <w:shd w:fill="CCEEFF" w:val="clear"/>
            <w:vAlign w:val="center"/>
          </w:tcPr>
          <w:p>
            <w:pPr>
              <w:pStyle w:val="TableContents"/>
              <w:bidi w:val="0"/>
              <w:spacing w:before="0" w:after="0"/>
              <w:ind w:left="0" w:right="0" w:hanging="0"/>
              <w:jc w:val="left"/>
              <w:rPr/>
            </w:pPr>
            <w:r>
              <w:rPr/>
              <w:t> </w:t>
            </w:r>
          </w:p>
        </w:tc>
        <w:tc>
          <w:tcPr>
            <w:tcW w:w="11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w:t>
            </w:r>
          </w:p>
        </w:tc>
        <w:tc>
          <w:tcPr>
            <w:tcW w:w="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1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6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(loss) before income taxes</w:t>
            </w:r>
          </w:p>
        </w:tc>
        <w:tc>
          <w:tcPr>
            <w:tcW w:w="326" w:type="dxa"/>
            <w:tcBorders/>
            <w:vAlign w:val="center"/>
          </w:tcPr>
          <w:p>
            <w:pPr>
              <w:pStyle w:val="TableContents"/>
              <w:bidi w:val="0"/>
              <w:spacing w:before="0" w:after="0"/>
              <w:ind w:left="0" w:right="0" w:hanging="0"/>
              <w:jc w:val="left"/>
              <w:rPr/>
            </w:pPr>
            <w:r>
              <w:rPr/>
              <w:t> </w:t>
            </w:r>
          </w:p>
        </w:tc>
        <w:tc>
          <w:tcPr>
            <w:tcW w:w="11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1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6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benefit</w:t>
            </w:r>
          </w:p>
        </w:tc>
        <w:tc>
          <w:tcPr>
            <w:tcW w:w="326" w:type="dxa"/>
            <w:tcBorders/>
            <w:shd w:fill="CCEEFF" w:val="clear"/>
            <w:vAlign w:val="center"/>
          </w:tcPr>
          <w:p>
            <w:pPr>
              <w:pStyle w:val="TableContents"/>
              <w:bidi w:val="0"/>
              <w:spacing w:before="0" w:after="0"/>
              <w:ind w:left="0" w:right="0" w:hanging="0"/>
              <w:jc w:val="left"/>
              <w:rPr/>
            </w:pPr>
            <w:r>
              <w:rPr/>
              <w:t> </w:t>
            </w:r>
          </w:p>
        </w:tc>
        <w:tc>
          <w:tcPr>
            <w:tcW w:w="11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1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6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vAlign w:val="center"/>
          </w:tcPr>
          <w:p>
            <w:pPr>
              <w:pStyle w:val="TableContents"/>
              <w:bidi w:val="0"/>
              <w:spacing w:before="0" w:after="0"/>
              <w:ind w:left="0" w:right="0" w:hanging="0"/>
              <w:jc w:val="left"/>
              <w:rPr/>
            </w:pPr>
            <w:r>
              <w:rPr/>
              <w:t> </w:t>
            </w:r>
          </w:p>
        </w:tc>
        <w:tc>
          <w:tcPr>
            <w:tcW w:w="111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11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6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loss:</w:t>
            </w:r>
          </w:p>
        </w:tc>
        <w:tc>
          <w:tcPr>
            <w:tcW w:w="326" w:type="dxa"/>
            <w:tcBorders/>
            <w:shd w:fill="CCEEFF" w:val="clear"/>
            <w:vAlign w:val="center"/>
          </w:tcPr>
          <w:p>
            <w:pPr>
              <w:pStyle w:val="TableContents"/>
              <w:bidi w:val="0"/>
              <w:spacing w:before="0" w:after="0"/>
              <w:ind w:left="0" w:right="0" w:hanging="0"/>
              <w:jc w:val="left"/>
              <w:rPr/>
            </w:pPr>
            <w:r>
              <w:rPr/>
              <w:t>​</w:t>
            </w:r>
          </w:p>
        </w:tc>
        <w:tc>
          <w:tcPr>
            <w:tcW w:w="1117" w:type="dxa"/>
            <w:tcBorders/>
            <w:shd w:fill="CCEEFF" w:val="clear"/>
            <w:vAlign w:val="center"/>
          </w:tcPr>
          <w:p>
            <w:pPr>
              <w:pStyle w:val="TableContents"/>
              <w:bidi w:val="0"/>
              <w:spacing w:before="0" w:after="0"/>
              <w:ind w:left="0" w:right="0" w:hanging="0"/>
              <w:jc w:val="right"/>
              <w:rPr/>
            </w:pPr>
            <w:r>
              <w:rPr/>
              <w:t>​</w:t>
            </w:r>
          </w:p>
        </w:tc>
        <w:tc>
          <w:tcPr>
            <w:tcW w:w="706" w:type="dxa"/>
            <w:tcBorders/>
            <w:shd w:fill="CCEEFF" w:val="clear"/>
            <w:vAlign w:val="center"/>
          </w:tcPr>
          <w:p>
            <w:pPr>
              <w:pStyle w:val="TableContents"/>
              <w:bidi w:val="0"/>
              <w:spacing w:before="0" w:after="0"/>
              <w:ind w:left="0" w:right="0" w:hanging="0"/>
              <w:jc w:val="left"/>
              <w:rPr/>
            </w:pPr>
            <w:r>
              <w:rPr/>
              <w:t>​</w:t>
            </w:r>
          </w:p>
        </w:tc>
        <w:tc>
          <w:tcPr>
            <w:tcW w:w="1117" w:type="dxa"/>
            <w:tcBorders/>
            <w:shd w:fill="CCEEFF" w:val="clear"/>
            <w:vAlign w:val="center"/>
          </w:tcPr>
          <w:p>
            <w:pPr>
              <w:pStyle w:val="TableContents"/>
              <w:bidi w:val="0"/>
              <w:spacing w:before="0" w:after="0"/>
              <w:ind w:left="0" w:right="0" w:hanging="0"/>
              <w:jc w:val="right"/>
              <w:rPr/>
            </w:pPr>
            <w:r>
              <w:rPr/>
              <w:t>​</w:t>
            </w:r>
          </w:p>
        </w:tc>
        <w:tc>
          <w:tcPr>
            <w:tcW w:w="406" w:type="dxa"/>
            <w:tcBorders/>
            <w:shd w:fill="CCEEFF" w:val="clear"/>
            <w:vAlign w:val="center"/>
          </w:tcPr>
          <w:p>
            <w:pPr>
              <w:pStyle w:val="TableContents"/>
              <w:bidi w:val="0"/>
              <w:spacing w:before="0" w:after="0"/>
              <w:ind w:left="0" w:right="0" w:hanging="0"/>
              <w:jc w:val="left"/>
              <w:rPr/>
            </w:pPr>
            <w:r>
              <w:rPr/>
              <w:t>​</w:t>
            </w:r>
          </w:p>
        </w:tc>
      </w:tr>
      <w:tr>
        <w:trPr/>
        <w:tc>
          <w:tcPr>
            <w:tcW w:w="46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translation adjustments, net of tax</w:t>
            </w:r>
          </w:p>
        </w:tc>
        <w:tc>
          <w:tcPr>
            <w:tcW w:w="326" w:type="dxa"/>
            <w:tcBorders/>
            <w:vAlign w:val="center"/>
          </w:tcPr>
          <w:p>
            <w:pPr>
              <w:pStyle w:val="TableContents"/>
              <w:bidi w:val="0"/>
              <w:spacing w:before="0" w:after="0"/>
              <w:ind w:left="0" w:right="0" w:hanging="0"/>
              <w:jc w:val="left"/>
              <w:rPr/>
            </w:pPr>
            <w:r>
              <w:rPr/>
              <w:t>​</w:t>
            </w:r>
          </w:p>
        </w:tc>
        <w:tc>
          <w:tcPr>
            <w:tcW w:w="11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w:t>
            </w:r>
          </w:p>
        </w:tc>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1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46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loss on investments, net of tax</w:t>
            </w:r>
          </w:p>
        </w:tc>
        <w:tc>
          <w:tcPr>
            <w:tcW w:w="326" w:type="dxa"/>
            <w:tcBorders/>
            <w:shd w:fill="CCEEFF" w:val="clear"/>
            <w:vAlign w:val="center"/>
          </w:tcPr>
          <w:p>
            <w:pPr>
              <w:pStyle w:val="TableContents"/>
              <w:bidi w:val="0"/>
              <w:spacing w:before="0" w:after="0"/>
              <w:ind w:left="0" w:right="0" w:hanging="0"/>
              <w:jc w:val="left"/>
              <w:rPr/>
            </w:pPr>
            <w:r>
              <w:rPr/>
              <w:t>​</w:t>
            </w:r>
          </w:p>
        </w:tc>
        <w:tc>
          <w:tcPr>
            <w:tcW w:w="11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1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46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comprehensive (income) loss, net of tax</w:t>
            </w:r>
          </w:p>
        </w:tc>
        <w:tc>
          <w:tcPr>
            <w:tcW w:w="326" w:type="dxa"/>
            <w:tcBorders/>
            <w:vAlign w:val="center"/>
          </w:tcPr>
          <w:p>
            <w:pPr>
              <w:pStyle w:val="TableContents"/>
              <w:bidi w:val="0"/>
              <w:spacing w:before="0" w:after="0"/>
              <w:ind w:left="0" w:right="0" w:hanging="0"/>
              <w:jc w:val="left"/>
              <w:rPr/>
            </w:pPr>
            <w:r>
              <w:rPr/>
              <w:t> </w:t>
            </w:r>
          </w:p>
        </w:tc>
        <w:tc>
          <w:tcPr>
            <w:tcW w:w="111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w:t>
            </w:r>
          </w:p>
        </w:tc>
        <w:tc>
          <w:tcPr>
            <w:tcW w:w="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11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6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comprehensive income (loss)</w:t>
            </w:r>
          </w:p>
        </w:tc>
        <w:tc>
          <w:tcPr>
            <w:tcW w:w="326" w:type="dxa"/>
            <w:tcBorders/>
            <w:shd w:fill="CCEEFF" w:val="clear"/>
            <w:vAlign w:val="center"/>
          </w:tcPr>
          <w:p>
            <w:pPr>
              <w:pStyle w:val="TableContents"/>
              <w:bidi w:val="0"/>
              <w:spacing w:before="0" w:after="0"/>
              <w:ind w:left="0" w:right="0" w:hanging="0"/>
              <w:jc w:val="left"/>
              <w:rPr/>
            </w:pPr>
            <w:r>
              <w:rPr/>
              <w:t> </w:t>
            </w:r>
          </w:p>
        </w:tc>
        <w:tc>
          <w:tcPr>
            <w:tcW w:w="111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w:t>
            </w:r>
          </w:p>
        </w:tc>
        <w:tc>
          <w:tcPr>
            <w:tcW w:w="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11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w:t>
            </w:r>
          </w:p>
        </w:tc>
        <w:tc>
          <w:tcPr>
            <w:tcW w:w="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720" w:right="0" w:hanging="0"/>
        <w:jc w:val="left"/>
        <w:rPr>
          <w:rFonts w:ascii="Times New Roman;Times;serif" w:hAnsi="Times New Roman;Times;serif"/>
          <w:b/>
          <w:sz w:val="20"/>
        </w:rPr>
      </w:pPr>
      <w:r>
        <w:rPr>
          <w:rFonts w:ascii="Times New Roman;Times;serif" w:hAnsi="Times New Roman;Times;serif"/>
          <w:b/>
          <w:sz w:val="20"/>
        </w:rPr>
        <w:t xml:space="preserve">Three Months Ended March 31, 2025 Compared to Three Months Ended March 31, 2024 </w:t>
      </w:r>
    </w:p>
    <w:p>
      <w:pPr>
        <w:pStyle w:val="TextBody"/>
        <w:bidi w:val="0"/>
        <w:spacing w:before="0" w:after="0"/>
        <w:ind w:left="0" w:right="0" w:firstLine="360"/>
        <w:jc w:val="both"/>
        <w:rPr>
          <w:rFonts w:ascii="Times New Roman;Times;serif" w:hAnsi="Times New Roman;Times;serif"/>
          <w:b/>
          <w:sz w:val="20"/>
        </w:rPr>
      </w:pPr>
      <w:r>
        <w:rPr>
          <w:rFonts w:ascii="Times New Roman;Times;serif" w:hAnsi="Times New Roman;Times;serif"/>
          <w:b/>
          <w:sz w:val="20"/>
        </w:rPr>
        <w:t>Revenues</w:t>
      </w:r>
    </w:p>
    <w:tbl>
      <w:tblPr>
        <w:tblW w:w="7390" w:type="dxa"/>
        <w:jc w:val="left"/>
        <w:tblInd w:w="0" w:type="dxa"/>
        <w:tblLayout w:type="fixed"/>
        <w:tblCellMar>
          <w:top w:w="0" w:type="dxa"/>
          <w:left w:w="0" w:type="dxa"/>
          <w:bottom w:w="0" w:type="dxa"/>
          <w:right w:w="0" w:type="dxa"/>
        </w:tblCellMar>
      </w:tblPr>
      <w:tblGrid>
        <w:gridCol w:w="1951"/>
        <w:gridCol w:w="326"/>
        <w:gridCol w:w="211"/>
        <w:gridCol w:w="781"/>
        <w:gridCol w:w="326"/>
        <w:gridCol w:w="211"/>
        <w:gridCol w:w="781"/>
        <w:gridCol w:w="326"/>
        <w:gridCol w:w="304"/>
        <w:gridCol w:w="974"/>
        <w:gridCol w:w="210"/>
        <w:gridCol w:w="673"/>
        <w:gridCol w:w="316"/>
      </w:tblGrid>
      <w:tr>
        <w:trPr/>
        <w:tc>
          <w:tcPr>
            <w:tcW w:w="19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1238885" cy="175260"/>
                      <wp:effectExtent l="0" t="0" r="0" b="0"/>
                      <wp:wrapNone/>
                      <wp:docPr id="336" name="Frame336"/>
                      <a:graphic xmlns:a="http://schemas.openxmlformats.org/drawingml/2006/main">
                        <a:graphicData uri="http://schemas.microsoft.com/office/word/2010/wordprocessingShape">
                          <wps:wsp>
                            <wps:cNvSpPr txBox="1"/>
                            <wps:spPr>
                              <a:xfrm>
                                <a:off x="0" y="0"/>
                                <a:ext cx="1238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207010" cy="175260"/>
                      <wp:effectExtent l="0" t="0" r="0" b="0"/>
                      <wp:wrapNone/>
                      <wp:docPr id="337" name="Frame3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133985" cy="175260"/>
                      <wp:effectExtent l="0" t="0" r="0" b="0"/>
                      <wp:wrapNone/>
                      <wp:docPr id="338" name="Frame33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495935" cy="175260"/>
                      <wp:effectExtent l="0" t="0" r="0" b="0"/>
                      <wp:wrapNone/>
                      <wp:docPr id="339" name="Frame33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207010" cy="175260"/>
                      <wp:effectExtent l="0" t="0" r="0" b="0"/>
                      <wp:wrapNone/>
                      <wp:docPr id="340" name="Frame3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133985" cy="175260"/>
                      <wp:effectExtent l="0" t="0" r="0" b="0"/>
                      <wp:wrapNone/>
                      <wp:docPr id="341" name="Frame34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495935" cy="175260"/>
                      <wp:effectExtent l="0" t="0" r="0" b="0"/>
                      <wp:wrapNone/>
                      <wp:docPr id="342" name="Frame34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207010" cy="175260"/>
                      <wp:effectExtent l="0" t="0" r="0" b="0"/>
                      <wp:wrapNone/>
                      <wp:docPr id="343" name="Frame3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193040" cy="175260"/>
                      <wp:effectExtent l="0" t="0" r="0" b="0"/>
                      <wp:wrapNone/>
                      <wp:docPr id="344" name="Frame344"/>
                      <a:graphic xmlns:a="http://schemas.openxmlformats.org/drawingml/2006/main">
                        <a:graphicData uri="http://schemas.microsoft.com/office/word/2010/wordprocessingShape">
                          <wps:wsp>
                            <wps:cNvSpPr txBox="1"/>
                            <wps:spPr>
                              <a:xfrm>
                                <a:off x="0" y="0"/>
                                <a:ext cx="193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618490" cy="175260"/>
                      <wp:effectExtent l="0" t="0" r="0" b="0"/>
                      <wp:wrapNone/>
                      <wp:docPr id="345" name="Frame345"/>
                      <a:graphic xmlns:a="http://schemas.openxmlformats.org/drawingml/2006/main">
                        <a:graphicData uri="http://schemas.microsoft.com/office/word/2010/wordprocessingShape">
                          <wps:wsp>
                            <wps:cNvSpPr txBox="1"/>
                            <wps:spPr>
                              <a:xfrm>
                                <a:off x="0" y="0"/>
                                <a:ext cx="6184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133350" cy="175260"/>
                      <wp:effectExtent l="0" t="0" r="0" b="0"/>
                      <wp:wrapNone/>
                      <wp:docPr id="346" name="Frame346"/>
                      <a:graphic xmlns:a="http://schemas.openxmlformats.org/drawingml/2006/main">
                        <a:graphicData uri="http://schemas.microsoft.com/office/word/2010/wordprocessingShape">
                          <wps:wsp>
                            <wps:cNvSpPr txBox="1"/>
                            <wps:spPr>
                              <a:xfrm>
                                <a:off x="0" y="0"/>
                                <a:ext cx="1333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427355" cy="175260"/>
                      <wp:effectExtent l="0" t="0" r="0" b="0"/>
                      <wp:wrapNone/>
                      <wp:docPr id="347" name="Frame347"/>
                      <a:graphic xmlns:a="http://schemas.openxmlformats.org/drawingml/2006/main">
                        <a:graphicData uri="http://schemas.microsoft.com/office/word/2010/wordprocessingShape">
                          <wps:wsp>
                            <wps:cNvSpPr txBox="1"/>
                            <wps:spPr>
                              <a:xfrm>
                                <a:off x="0" y="0"/>
                                <a:ext cx="427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200660" cy="175260"/>
                      <wp:effectExtent l="0" t="0" r="0" b="0"/>
                      <wp:wrapNone/>
                      <wp:docPr id="348" name="Frame348"/>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1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326"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center"/>
              <w:rPr/>
            </w:pPr>
            <w:r>
              <w:rPr/>
              <w:t>​</w:t>
            </w:r>
          </w:p>
        </w:tc>
        <w:tc>
          <w:tcPr>
            <w:tcW w:w="210" w:type="dxa"/>
            <w:tcBorders/>
            <w:vAlign w:val="center"/>
          </w:tcPr>
          <w:p>
            <w:pPr>
              <w:pStyle w:val="TableContents"/>
              <w:bidi w:val="0"/>
              <w:spacing w:before="0" w:after="0"/>
              <w:ind w:left="0" w:right="0" w:hanging="0"/>
              <w:jc w:val="left"/>
              <w:rPr/>
            </w:pPr>
            <w:r>
              <w:rPr/>
              <w:t>​</w:t>
            </w:r>
          </w:p>
        </w:tc>
        <w:tc>
          <w:tcPr>
            <w:tcW w:w="673"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w:t>
            </w:r>
          </w:p>
        </w:tc>
      </w:tr>
      <w:tr>
        <w:trPr/>
        <w:tc>
          <w:tcPr>
            <w:tcW w:w="19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1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26"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center"/>
              <w:rPr/>
            </w:pPr>
            <w:r>
              <w:rPr/>
              <w:t>​</w:t>
            </w:r>
          </w:p>
        </w:tc>
        <w:tc>
          <w:tcPr>
            <w:tcW w:w="210" w:type="dxa"/>
            <w:tcBorders/>
            <w:vAlign w:val="center"/>
          </w:tcPr>
          <w:p>
            <w:pPr>
              <w:pStyle w:val="TableContents"/>
              <w:bidi w:val="0"/>
              <w:spacing w:before="0" w:after="0"/>
              <w:ind w:left="0" w:right="0" w:hanging="0"/>
              <w:jc w:val="left"/>
              <w:rPr/>
            </w:pPr>
            <w:r>
              <w:rPr/>
              <w:t>​</w:t>
            </w:r>
          </w:p>
        </w:tc>
        <w:tc>
          <w:tcPr>
            <w:tcW w:w="673"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thousands)</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2161"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Period-Over-Period Change</w:t>
            </w:r>
          </w:p>
        </w:tc>
        <w:tc>
          <w:tcPr>
            <w:tcW w:w="316" w:type="dxa"/>
            <w:tcBorders/>
            <w:vAlign w:val="center"/>
          </w:tcPr>
          <w:p>
            <w:pPr>
              <w:pStyle w:val="TableContents"/>
              <w:bidi w:val="0"/>
              <w:spacing w:before="0" w:after="0"/>
              <w:ind w:left="0" w:right="0" w:hanging="0"/>
              <w:jc w:val="center"/>
              <w:rPr/>
            </w:pPr>
            <w:r>
              <w:rPr/>
              <w:t>​</w:t>
            </w:r>
          </w:p>
        </w:tc>
      </w:tr>
      <w:tr>
        <w:trPr/>
        <w:tc>
          <w:tcPr>
            <w:tcW w:w="7390"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19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1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26"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center"/>
              <w:rPr/>
            </w:pPr>
            <w:r>
              <w:rPr/>
              <w:t>​</w:t>
            </w:r>
          </w:p>
        </w:tc>
        <w:tc>
          <w:tcPr>
            <w:tcW w:w="974" w:type="dxa"/>
            <w:tcBorders/>
            <w:vAlign w:val="center"/>
          </w:tcPr>
          <w:p>
            <w:pPr>
              <w:pStyle w:val="TableContents"/>
              <w:bidi w:val="0"/>
              <w:spacing w:before="0" w:after="0"/>
              <w:ind w:left="0" w:right="0" w:hanging="0"/>
              <w:jc w:val="center"/>
              <w:rPr/>
            </w:pPr>
            <w:r>
              <w:rPr/>
              <w:t>​</w:t>
            </w:r>
          </w:p>
        </w:tc>
        <w:tc>
          <w:tcPr>
            <w:tcW w:w="210" w:type="dxa"/>
            <w:tcBorders/>
            <w:vAlign w:val="center"/>
          </w:tcPr>
          <w:p>
            <w:pPr>
              <w:pStyle w:val="TableContents"/>
              <w:bidi w:val="0"/>
              <w:spacing w:before="0" w:after="0"/>
              <w:ind w:left="0" w:right="0" w:hanging="0"/>
              <w:jc w:val="center"/>
              <w:rPr/>
            </w:pPr>
            <w:r>
              <w:rPr/>
              <w:t>​</w:t>
            </w:r>
          </w:p>
        </w:tc>
        <w:tc>
          <w:tcPr>
            <w:tcW w:w="673"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w:t>
            </w:r>
          </w:p>
        </w:tc>
      </w:tr>
      <w:tr>
        <w:trPr/>
        <w:tc>
          <w:tcPr>
            <w:tcW w:w="195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304"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pPr>
            <w:r>
              <w:rPr/>
              <w:t>  </w:t>
            </w:r>
          </w:p>
        </w:tc>
        <w:tc>
          <w:tcPr>
            <w:tcW w:w="210" w:type="dxa"/>
            <w:tcBorders/>
            <w:shd w:fill="CCEEFF" w:val="clear"/>
            <w:vAlign w:val="center"/>
          </w:tcPr>
          <w:p>
            <w:pPr>
              <w:pStyle w:val="TableContents"/>
              <w:bidi w:val="0"/>
              <w:spacing w:before="0" w:after="0"/>
              <w:ind w:left="0" w:right="0" w:hanging="0"/>
              <w:jc w:val="left"/>
              <w:rPr/>
            </w:pPr>
            <w:r>
              <w:rPr/>
              <w:t> </w:t>
            </w:r>
          </w:p>
        </w:tc>
        <w:tc>
          <w:tcPr>
            <w:tcW w:w="673" w:type="dxa"/>
            <w:tcBorders/>
            <w:shd w:fill="CCEEFF" w:val="clear"/>
            <w:vAlign w:val="center"/>
          </w:tcPr>
          <w:p>
            <w:pPr>
              <w:pStyle w:val="TableContents"/>
              <w:bidi w:val="0"/>
              <w:spacing w:before="0" w:after="0"/>
              <w:ind w:left="0" w:right="0" w:hanging="0"/>
              <w:jc w:val="right"/>
              <w:rPr/>
            </w:pPr>
            <w:r>
              <w:rPr/>
              <w:t>  </w:t>
            </w:r>
          </w:p>
        </w:tc>
        <w:tc>
          <w:tcPr>
            <w:tcW w:w="316" w:type="dxa"/>
            <w:tcBorders/>
            <w:shd w:fill="CCEEFF" w:val="clear"/>
            <w:vAlign w:val="center"/>
          </w:tcPr>
          <w:p>
            <w:pPr>
              <w:pStyle w:val="TableContents"/>
              <w:bidi w:val="0"/>
              <w:spacing w:before="0" w:after="0"/>
              <w:ind w:left="0" w:right="0" w:hanging="0"/>
              <w:jc w:val="right"/>
              <w:rPr/>
            </w:pPr>
            <w:r>
              <w:rPr/>
              <w:t>​</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Software subscriptions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150,761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131,830</w:t>
            </w:r>
          </w:p>
        </w:tc>
        <w:tc>
          <w:tcPr>
            <w:tcW w:w="326"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18,931</w:t>
            </w:r>
          </w:p>
        </w:tc>
        <w:tc>
          <w:tcPr>
            <w:tcW w:w="210" w:type="dxa"/>
            <w:tcBorders/>
            <w:vAlign w:val="center"/>
          </w:tcPr>
          <w:p>
            <w:pPr>
              <w:pStyle w:val="TableContents"/>
              <w:bidi w:val="0"/>
              <w:spacing w:before="0" w:after="0"/>
              <w:ind w:left="0" w:right="0" w:hanging="0"/>
              <w:jc w:val="left"/>
              <w:rPr/>
            </w:pPr>
            <w:r>
              <w:rPr/>
              <w:t> </w:t>
            </w:r>
          </w:p>
        </w:tc>
        <w:tc>
          <w:tcPr>
            <w:tcW w:w="6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9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Services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26,301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24,951</w:t>
            </w:r>
          </w:p>
        </w:tc>
        <w:tc>
          <w:tcPr>
            <w:tcW w:w="326" w:type="dxa"/>
            <w:tcBorders/>
            <w:shd w:fill="CCEEFF" w:val="clear"/>
            <w:vAlign w:val="center"/>
          </w:tcPr>
          <w:p>
            <w:pPr>
              <w:pStyle w:val="TableContents"/>
              <w:bidi w:val="0"/>
              <w:spacing w:before="0" w:after="0"/>
              <w:ind w:left="0" w:right="0" w:hanging="0"/>
              <w:jc w:val="left"/>
              <w:rPr/>
            </w:pPr>
            <w:r>
              <w:rPr/>
              <w:t>​</w:t>
            </w:r>
          </w:p>
        </w:tc>
        <w:tc>
          <w:tcPr>
            <w:tcW w:w="30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1,350</w:t>
            </w:r>
          </w:p>
        </w:tc>
        <w:tc>
          <w:tcPr>
            <w:tcW w:w="210" w:type="dxa"/>
            <w:tcBorders/>
            <w:shd w:fill="CCEEFF" w:val="clear"/>
            <w:vAlign w:val="center"/>
          </w:tcPr>
          <w:p>
            <w:pPr>
              <w:pStyle w:val="TableContents"/>
              <w:bidi w:val="0"/>
              <w:spacing w:before="0" w:after="0"/>
              <w:ind w:left="0" w:right="0" w:hanging="0"/>
              <w:jc w:val="left"/>
              <w:rPr/>
            </w:pPr>
            <w:r>
              <w:rPr/>
              <w:t> </w:t>
            </w:r>
          </w:p>
        </w:tc>
        <w:tc>
          <w:tcPr>
            <w:tcW w:w="6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177,062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156,781</w:t>
            </w:r>
          </w:p>
        </w:tc>
        <w:tc>
          <w:tcPr>
            <w:tcW w:w="326" w:type="dxa"/>
            <w:tcBorders/>
            <w:vAlign w:val="center"/>
          </w:tcPr>
          <w:p>
            <w:pPr>
              <w:pStyle w:val="TableContents"/>
              <w:bidi w:val="0"/>
              <w:spacing w:before="0" w:after="0"/>
              <w:ind w:left="0" w:right="0" w:hanging="0"/>
              <w:jc w:val="left"/>
              <w:rPr/>
            </w:pPr>
            <w:r>
              <w:rPr/>
              <w:t>​</w:t>
            </w:r>
          </w:p>
        </w:tc>
        <w:tc>
          <w:tcPr>
            <w:tcW w:w="30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20,281</w:t>
            </w:r>
          </w:p>
        </w:tc>
        <w:tc>
          <w:tcPr>
            <w:tcW w:w="210" w:type="dxa"/>
            <w:tcBorders/>
            <w:vAlign w:val="center"/>
          </w:tcPr>
          <w:p>
            <w:pPr>
              <w:pStyle w:val="TableContents"/>
              <w:bidi w:val="0"/>
              <w:spacing w:before="0" w:after="0"/>
              <w:ind w:left="0" w:right="0" w:hanging="0"/>
              <w:jc w:val="left"/>
              <w:rPr/>
            </w:pPr>
            <w:r>
              <w:rPr/>
              <w:t>​</w:t>
            </w:r>
          </w:p>
        </w:tc>
        <w:tc>
          <w:tcPr>
            <w:tcW w:w="6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bookmarkStart w:id="1364" w:name="_Hlk79409928"/>
      <w:bookmarkEnd w:id="1364"/>
      <w:r>
        <w:rPr>
          <w:rFonts w:ascii="Times New Roman;Times;serif" w:hAnsi="Times New Roman;Times;serif"/>
          <w:sz w:val="20"/>
        </w:rPr>
        <w:t>Revenues increased $20.3 million, or 12.9%, to $177.1 million for the three months ended March 31, 2025 compared to $156.8 million for the same period in 2024. The increase in software subscriptions revenues of $18.9 million, or 14.4%, was primarily driven by increases from our existing customers through cross-selling new products, and to a lesser extent, increases due to expanded use and price increases. Software subscriptions revenues derived from new customers averaged 8.1% and 5.6% of total software subscriptions revenues in the three months ended March 31, 2025 and 2024, respectively.</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$1.4 million increase in services revenues was primarily driven by a $1.7 million increase in recurring services revenues due to returns processing volume increases related to customer business growth and regulatory changes as customers expanded their tax filings into more jurisdictions, as well as an increase in interest received from our funds held for customers. These increases were partially offset by a $0.3 million decrease in service revenues primarily from the impact of our efforts to steer more implementation opportunities to our channel partners, who are an important referral source for new software opportunities. </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b/>
          <w:sz w:val="20"/>
        </w:rPr>
      </w:pPr>
      <w:r>
        <w:rPr>
          <w:rFonts w:ascii="Times New Roman;Times;serif" w:hAnsi="Times New Roman;Times;serif"/>
          <w:b/>
          <w:sz w:val="20"/>
        </w:rPr>
        <w:t xml:space="preserve">Cost of Software Subscriptions Revenues </w:t>
      </w:r>
    </w:p>
    <w:tbl>
      <w:tblPr>
        <w:tblW w:w="8588" w:type="dxa"/>
        <w:jc w:val="left"/>
        <w:tblInd w:w="0" w:type="dxa"/>
        <w:tblLayout w:type="fixed"/>
        <w:tblCellMar>
          <w:top w:w="0" w:type="dxa"/>
          <w:left w:w="0" w:type="dxa"/>
          <w:bottom w:w="0" w:type="dxa"/>
          <w:right w:w="0" w:type="dxa"/>
        </w:tblCellMar>
      </w:tblPr>
      <w:tblGrid>
        <w:gridCol w:w="3316"/>
        <w:gridCol w:w="326"/>
        <w:gridCol w:w="215"/>
        <w:gridCol w:w="690"/>
        <w:gridCol w:w="333"/>
        <w:gridCol w:w="215"/>
        <w:gridCol w:w="690"/>
        <w:gridCol w:w="326"/>
        <w:gridCol w:w="362"/>
        <w:gridCol w:w="825"/>
        <w:gridCol w:w="250"/>
        <w:gridCol w:w="724"/>
        <w:gridCol w:w="316"/>
      </w:tblGrid>
      <w:tr>
        <w:trPr/>
        <w:tc>
          <w:tcPr>
            <w:tcW w:w="3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2105660" cy="175260"/>
                      <wp:effectExtent l="0" t="0" r="0" b="0"/>
                      <wp:wrapNone/>
                      <wp:docPr id="349" name="Frame349"/>
                      <a:graphic xmlns:a="http://schemas.openxmlformats.org/drawingml/2006/main">
                        <a:graphicData uri="http://schemas.microsoft.com/office/word/2010/wordprocessingShape">
                          <wps:wsp>
                            <wps:cNvSpPr txBox="1"/>
                            <wps:spPr>
                              <a:xfrm>
                                <a:off x="0" y="0"/>
                                <a:ext cx="2105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207010" cy="175260"/>
                      <wp:effectExtent l="0" t="0" r="0" b="0"/>
                      <wp:wrapNone/>
                      <wp:docPr id="350" name="Frame3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136525" cy="175260"/>
                      <wp:effectExtent l="0" t="0" r="0" b="0"/>
                      <wp:wrapNone/>
                      <wp:docPr id="351" name="Frame351"/>
                      <a:graphic xmlns:a="http://schemas.openxmlformats.org/drawingml/2006/main">
                        <a:graphicData uri="http://schemas.microsoft.com/office/word/2010/wordprocessingShape">
                          <wps:wsp>
                            <wps:cNvSpPr txBox="1"/>
                            <wps:spPr>
                              <a:xfrm>
                                <a:off x="0" y="0"/>
                                <a:ext cx="136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438150" cy="175260"/>
                      <wp:effectExtent l="0" t="0" r="0" b="0"/>
                      <wp:wrapNone/>
                      <wp:docPr id="352" name="Frame352"/>
                      <a:graphic xmlns:a="http://schemas.openxmlformats.org/drawingml/2006/main">
                        <a:graphicData uri="http://schemas.microsoft.com/office/word/2010/wordprocessingShape">
                          <wps:wsp>
                            <wps:cNvSpPr txBox="1"/>
                            <wps:spPr>
                              <a:xfrm>
                                <a:off x="0" y="0"/>
                                <a:ext cx="438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211455" cy="175260"/>
                      <wp:effectExtent l="0" t="0" r="0" b="0"/>
                      <wp:wrapNone/>
                      <wp:docPr id="353" name="Frame353"/>
                      <a:graphic xmlns:a="http://schemas.openxmlformats.org/drawingml/2006/main">
                        <a:graphicData uri="http://schemas.microsoft.com/office/word/2010/wordprocessingShape">
                          <wps:wsp>
                            <wps:cNvSpPr txBox="1"/>
                            <wps:spPr>
                              <a:xfrm>
                                <a:off x="0" y="0"/>
                                <a:ext cx="211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136525" cy="175260"/>
                      <wp:effectExtent l="0" t="0" r="0" b="0"/>
                      <wp:wrapNone/>
                      <wp:docPr id="354" name="Frame354"/>
                      <a:graphic xmlns:a="http://schemas.openxmlformats.org/drawingml/2006/main">
                        <a:graphicData uri="http://schemas.microsoft.com/office/word/2010/wordprocessingShape">
                          <wps:wsp>
                            <wps:cNvSpPr txBox="1"/>
                            <wps:spPr>
                              <a:xfrm>
                                <a:off x="0" y="0"/>
                                <a:ext cx="136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438150" cy="175260"/>
                      <wp:effectExtent l="0" t="0" r="0" b="0"/>
                      <wp:wrapNone/>
                      <wp:docPr id="355" name="Frame355"/>
                      <a:graphic xmlns:a="http://schemas.openxmlformats.org/drawingml/2006/main">
                        <a:graphicData uri="http://schemas.microsoft.com/office/word/2010/wordprocessingShape">
                          <wps:wsp>
                            <wps:cNvSpPr txBox="1"/>
                            <wps:spPr>
                              <a:xfrm>
                                <a:off x="0" y="0"/>
                                <a:ext cx="438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207010" cy="175260"/>
                      <wp:effectExtent l="0" t="0" r="0" b="0"/>
                      <wp:wrapNone/>
                      <wp:docPr id="356" name="Frame3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229870" cy="175260"/>
                      <wp:effectExtent l="0" t="0" r="0" b="0"/>
                      <wp:wrapNone/>
                      <wp:docPr id="357" name="Frame357"/>
                      <a:graphic xmlns:a="http://schemas.openxmlformats.org/drawingml/2006/main">
                        <a:graphicData uri="http://schemas.microsoft.com/office/word/2010/wordprocessingShape">
                          <wps:wsp>
                            <wps:cNvSpPr txBox="1"/>
                            <wps:spPr>
                              <a:xfrm>
                                <a:off x="0" y="0"/>
                                <a:ext cx="2298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523875" cy="175260"/>
                      <wp:effectExtent l="0" t="0" r="0" b="0"/>
                      <wp:wrapNone/>
                      <wp:docPr id="358" name="Frame358"/>
                      <a:graphic xmlns:a="http://schemas.openxmlformats.org/drawingml/2006/main">
                        <a:graphicData uri="http://schemas.microsoft.com/office/word/2010/wordprocessingShape">
                          <wps:wsp>
                            <wps:cNvSpPr txBox="1"/>
                            <wps:spPr>
                              <a:xfrm>
                                <a:off x="0" y="0"/>
                                <a:ext cx="523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158750" cy="175260"/>
                      <wp:effectExtent l="0" t="0" r="0" b="0"/>
                      <wp:wrapNone/>
                      <wp:docPr id="359" name="Frame359"/>
                      <a:graphic xmlns:a="http://schemas.openxmlformats.org/drawingml/2006/main">
                        <a:graphicData uri="http://schemas.microsoft.com/office/word/2010/wordprocessingShape">
                          <wps:wsp>
                            <wps:cNvSpPr txBox="1"/>
                            <wps:spPr>
                              <a:xfrm>
                                <a:off x="0" y="0"/>
                                <a:ext cx="158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459740" cy="175260"/>
                      <wp:effectExtent l="0" t="0" r="0" b="0"/>
                      <wp:wrapNone/>
                      <wp:docPr id="360" name="Frame360"/>
                      <a:graphic xmlns:a="http://schemas.openxmlformats.org/drawingml/2006/main">
                        <a:graphicData uri="http://schemas.microsoft.com/office/word/2010/wordprocessingShape">
                          <wps:wsp>
                            <wps:cNvSpPr txBox="1"/>
                            <wps:spPr>
                              <a:xfrm>
                                <a:off x="0" y="0"/>
                                <a:ext cx="459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200660" cy="175260"/>
                      <wp:effectExtent l="0" t="0" r="0" b="0"/>
                      <wp:wrapNone/>
                      <wp:docPr id="361" name="Frame361"/>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43"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326"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left"/>
              <w:rPr/>
            </w:pPr>
            <w:r>
              <w:rPr/>
              <w:t>​</w:t>
            </w:r>
          </w:p>
        </w:tc>
        <w:tc>
          <w:tcPr>
            <w:tcW w:w="825" w:type="dxa"/>
            <w:tcBorders/>
            <w:vAlign w:val="center"/>
          </w:tcPr>
          <w:p>
            <w:pPr>
              <w:pStyle w:val="TableContents"/>
              <w:bidi w:val="0"/>
              <w:spacing w:before="0" w:after="0"/>
              <w:ind w:left="0" w:right="0" w:hanging="0"/>
              <w:jc w:val="center"/>
              <w:rPr/>
            </w:pPr>
            <w:r>
              <w:rPr/>
              <w:t>​</w:t>
            </w:r>
          </w:p>
        </w:tc>
        <w:tc>
          <w:tcPr>
            <w:tcW w:w="250" w:type="dxa"/>
            <w:tcBorders/>
            <w:vAlign w:val="center"/>
          </w:tcPr>
          <w:p>
            <w:pPr>
              <w:pStyle w:val="TableContents"/>
              <w:bidi w:val="0"/>
              <w:spacing w:before="0" w:after="0"/>
              <w:ind w:left="0" w:right="0" w:hanging="0"/>
              <w:jc w:val="left"/>
              <w:rPr/>
            </w:pPr>
            <w:r>
              <w:rPr/>
              <w:t>​</w:t>
            </w:r>
          </w:p>
        </w:tc>
        <w:tc>
          <w:tcPr>
            <w:tcW w:w="724"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w:t>
            </w:r>
          </w:p>
        </w:tc>
      </w:tr>
      <w:tr>
        <w:trPr/>
        <w:tc>
          <w:tcPr>
            <w:tcW w:w="33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4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26"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left"/>
              <w:rPr/>
            </w:pPr>
            <w:r>
              <w:rPr/>
              <w:t>​</w:t>
            </w:r>
          </w:p>
        </w:tc>
        <w:tc>
          <w:tcPr>
            <w:tcW w:w="825" w:type="dxa"/>
            <w:tcBorders/>
            <w:vAlign w:val="center"/>
          </w:tcPr>
          <w:p>
            <w:pPr>
              <w:pStyle w:val="TableContents"/>
              <w:bidi w:val="0"/>
              <w:spacing w:before="0" w:after="0"/>
              <w:ind w:left="0" w:right="0" w:hanging="0"/>
              <w:jc w:val="center"/>
              <w:rPr/>
            </w:pPr>
            <w:r>
              <w:rPr/>
              <w:t>​</w:t>
            </w:r>
          </w:p>
        </w:tc>
        <w:tc>
          <w:tcPr>
            <w:tcW w:w="250" w:type="dxa"/>
            <w:tcBorders/>
            <w:vAlign w:val="center"/>
          </w:tcPr>
          <w:p>
            <w:pPr>
              <w:pStyle w:val="TableContents"/>
              <w:bidi w:val="0"/>
              <w:spacing w:before="0" w:after="0"/>
              <w:ind w:left="0" w:right="0" w:hanging="0"/>
              <w:jc w:val="left"/>
              <w:rPr/>
            </w:pPr>
            <w:r>
              <w:rPr/>
              <w:t>​</w:t>
            </w:r>
          </w:p>
        </w:tc>
        <w:tc>
          <w:tcPr>
            <w:tcW w:w="724"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w:t>
            </w:r>
          </w:p>
        </w:tc>
      </w:tr>
      <w:tr>
        <w:trPr/>
        <w:tc>
          <w:tcPr>
            <w:tcW w:w="331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thousands)</w:t>
            </w:r>
          </w:p>
        </w:tc>
        <w:tc>
          <w:tcPr>
            <w:tcW w:w="326" w:type="dxa"/>
            <w:tcBorders/>
            <w:vAlign w:val="center"/>
          </w:tcPr>
          <w:p>
            <w:pPr>
              <w:pStyle w:val="TableContents"/>
              <w:bidi w:val="0"/>
              <w:spacing w:before="0" w:after="0"/>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33" w:type="dxa"/>
            <w:tcBorders/>
            <w:vAlign w:val="center"/>
          </w:tcPr>
          <w:p>
            <w:pPr>
              <w:pStyle w:val="TableContents"/>
              <w:bidi w:val="0"/>
              <w:spacing w:before="0" w:after="0"/>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2161"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Period-Over-Period Change</w:t>
            </w:r>
          </w:p>
        </w:tc>
        <w:tc>
          <w:tcPr>
            <w:tcW w:w="316" w:type="dxa"/>
            <w:tcBorders/>
            <w:vAlign w:val="center"/>
          </w:tcPr>
          <w:p>
            <w:pPr>
              <w:pStyle w:val="TableContents"/>
              <w:bidi w:val="0"/>
              <w:spacing w:before="0" w:after="0"/>
              <w:ind w:left="0" w:right="0" w:hanging="0"/>
              <w:jc w:val="center"/>
              <w:rPr/>
            </w:pPr>
            <w:r>
              <w:rPr/>
              <w:t>​</w:t>
            </w:r>
          </w:p>
        </w:tc>
      </w:tr>
      <w:tr>
        <w:trPr/>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software subscriptions revenues</w:t>
            </w:r>
          </w:p>
        </w:tc>
        <w:tc>
          <w:tcPr>
            <w:tcW w:w="32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44,245</w:t>
            </w:r>
          </w:p>
        </w:tc>
        <w:tc>
          <w:tcPr>
            <w:tcW w:w="333"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45,128</w:t>
            </w:r>
          </w:p>
        </w:tc>
        <w:tc>
          <w:tcPr>
            <w:tcW w:w="326" w:type="dxa"/>
            <w:tcBorders/>
            <w:shd w:fill="CCEEFF" w:val="clear"/>
            <w:vAlign w:val="center"/>
          </w:tcPr>
          <w:p>
            <w:pPr>
              <w:pStyle w:val="TableContents"/>
              <w:bidi w:val="0"/>
              <w:spacing w:before="0" w:after="0"/>
              <w:ind w:left="0" w:right="0" w:hanging="0"/>
              <w:jc w:val="left"/>
              <w:rPr/>
            </w:pPr>
            <w:r>
              <w:rPr/>
              <w:t>​</w:t>
            </w:r>
          </w:p>
        </w:tc>
        <w:tc>
          <w:tcPr>
            <w:tcW w:w="3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(883)</w:t>
            </w:r>
          </w:p>
        </w:tc>
        <w:tc>
          <w:tcPr>
            <w:tcW w:w="250" w:type="dxa"/>
            <w:tcBorders/>
            <w:shd w:fill="CCEEFF" w:val="clear"/>
            <w:vAlign w:val="center"/>
          </w:tcPr>
          <w:p>
            <w:pPr>
              <w:pStyle w:val="TableContents"/>
              <w:bidi w:val="0"/>
              <w:spacing w:before="0" w:after="0"/>
              <w:ind w:left="0" w:right="0" w:hanging="0"/>
              <w:jc w:val="left"/>
              <w:rPr/>
            </w:pPr>
            <w:r>
              <w:rPr/>
              <w:t> </w:t>
            </w:r>
          </w:p>
        </w:tc>
        <w:tc>
          <w:tcPr>
            <w:tcW w:w="7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Cost of software subscriptions revenues decreased $0.9 million, or 2.0%, to $44.2 million for the three months ended March 31, 2025 compared to $45.1 million for the same period in 2024. The decrease in cost of software subscriptions revenues was primarily driven by the timing of costs related to supporting period-over-period growth of sales and customers in the prior year period, which was partially offset by ongoing infrastructure investments and support costs to enable the continued expansion of customer transaction volumes for our cloud-based subscription customers.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b/>
          <w:sz w:val="20"/>
        </w:rPr>
      </w:pPr>
      <w:r>
        <w:rPr>
          <w:rFonts w:ascii="Times New Roman;Times;serif" w:hAnsi="Times New Roman;Times;serif"/>
          <w:b/>
          <w:sz w:val="20"/>
        </w:rPr>
        <w:t xml:space="preserve">Cost of Services Revenues </w:t>
      </w:r>
    </w:p>
    <w:tbl>
      <w:tblPr>
        <w:tblW w:w="7433" w:type="dxa"/>
        <w:jc w:val="left"/>
        <w:tblInd w:w="0" w:type="dxa"/>
        <w:tblLayout w:type="fixed"/>
        <w:tblCellMar>
          <w:top w:w="0" w:type="dxa"/>
          <w:left w:w="0" w:type="dxa"/>
          <w:bottom w:w="0" w:type="dxa"/>
          <w:right w:w="0" w:type="dxa"/>
        </w:tblCellMar>
      </w:tblPr>
      <w:tblGrid>
        <w:gridCol w:w="2161"/>
        <w:gridCol w:w="326"/>
        <w:gridCol w:w="215"/>
        <w:gridCol w:w="690"/>
        <w:gridCol w:w="333"/>
        <w:gridCol w:w="215"/>
        <w:gridCol w:w="690"/>
        <w:gridCol w:w="326"/>
        <w:gridCol w:w="327"/>
        <w:gridCol w:w="885"/>
        <w:gridCol w:w="226"/>
        <w:gridCol w:w="723"/>
        <w:gridCol w:w="316"/>
      </w:tblGrid>
      <w:tr>
        <w:trPr/>
        <w:tc>
          <w:tcPr>
            <w:tcW w:w="21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1372235" cy="175260"/>
                      <wp:effectExtent l="0" t="0" r="0" b="0"/>
                      <wp:wrapNone/>
                      <wp:docPr id="362" name="Frame362"/>
                      <a:graphic xmlns:a="http://schemas.openxmlformats.org/drawingml/2006/main">
                        <a:graphicData uri="http://schemas.microsoft.com/office/word/2010/wordprocessingShape">
                          <wps:wsp>
                            <wps:cNvSpPr txBox="1"/>
                            <wps:spPr>
                              <a:xfrm>
                                <a:off x="0" y="0"/>
                                <a:ext cx="1372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207010" cy="175260"/>
                      <wp:effectExtent l="0" t="0" r="0" b="0"/>
                      <wp:wrapNone/>
                      <wp:docPr id="363" name="Frame3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136525" cy="175260"/>
                      <wp:effectExtent l="0" t="0" r="0" b="0"/>
                      <wp:wrapNone/>
                      <wp:docPr id="364" name="Frame364"/>
                      <a:graphic xmlns:a="http://schemas.openxmlformats.org/drawingml/2006/main">
                        <a:graphicData uri="http://schemas.microsoft.com/office/word/2010/wordprocessingShape">
                          <wps:wsp>
                            <wps:cNvSpPr txBox="1"/>
                            <wps:spPr>
                              <a:xfrm>
                                <a:off x="0" y="0"/>
                                <a:ext cx="136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438150" cy="175260"/>
                      <wp:effectExtent l="0" t="0" r="0" b="0"/>
                      <wp:wrapNone/>
                      <wp:docPr id="365" name="Frame365"/>
                      <a:graphic xmlns:a="http://schemas.openxmlformats.org/drawingml/2006/main">
                        <a:graphicData uri="http://schemas.microsoft.com/office/word/2010/wordprocessingShape">
                          <wps:wsp>
                            <wps:cNvSpPr txBox="1"/>
                            <wps:spPr>
                              <a:xfrm>
                                <a:off x="0" y="0"/>
                                <a:ext cx="438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211455" cy="175260"/>
                      <wp:effectExtent l="0" t="0" r="0" b="0"/>
                      <wp:wrapNone/>
                      <wp:docPr id="366" name="Frame366"/>
                      <a:graphic xmlns:a="http://schemas.openxmlformats.org/drawingml/2006/main">
                        <a:graphicData uri="http://schemas.microsoft.com/office/word/2010/wordprocessingShape">
                          <wps:wsp>
                            <wps:cNvSpPr txBox="1"/>
                            <wps:spPr>
                              <a:xfrm>
                                <a:off x="0" y="0"/>
                                <a:ext cx="211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136525" cy="175260"/>
                      <wp:effectExtent l="0" t="0" r="0" b="0"/>
                      <wp:wrapNone/>
                      <wp:docPr id="367" name="Frame367"/>
                      <a:graphic xmlns:a="http://schemas.openxmlformats.org/drawingml/2006/main">
                        <a:graphicData uri="http://schemas.microsoft.com/office/word/2010/wordprocessingShape">
                          <wps:wsp>
                            <wps:cNvSpPr txBox="1"/>
                            <wps:spPr>
                              <a:xfrm>
                                <a:off x="0" y="0"/>
                                <a:ext cx="136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438150" cy="175260"/>
                      <wp:effectExtent l="0" t="0" r="0" b="0"/>
                      <wp:wrapNone/>
                      <wp:docPr id="368" name="Frame368"/>
                      <a:graphic xmlns:a="http://schemas.openxmlformats.org/drawingml/2006/main">
                        <a:graphicData uri="http://schemas.microsoft.com/office/word/2010/wordprocessingShape">
                          <wps:wsp>
                            <wps:cNvSpPr txBox="1"/>
                            <wps:spPr>
                              <a:xfrm>
                                <a:off x="0" y="0"/>
                                <a:ext cx="438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207010" cy="175260"/>
                      <wp:effectExtent l="0" t="0" r="0" b="0"/>
                      <wp:wrapNone/>
                      <wp:docPr id="369" name="Frame3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207645" cy="175260"/>
                      <wp:effectExtent l="0" t="0" r="0" b="0"/>
                      <wp:wrapNone/>
                      <wp:docPr id="370" name="Frame370"/>
                      <a:graphic xmlns:a="http://schemas.openxmlformats.org/drawingml/2006/main">
                        <a:graphicData uri="http://schemas.microsoft.com/office/word/2010/wordprocessingShape">
                          <wps:wsp>
                            <wps:cNvSpPr txBox="1"/>
                            <wps:spPr>
                              <a:xfrm>
                                <a:off x="0" y="0"/>
                                <a:ext cx="2076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561975" cy="175260"/>
                      <wp:effectExtent l="0" t="0" r="0" b="0"/>
                      <wp:wrapNone/>
                      <wp:docPr id="371" name="Frame371"/>
                      <a:graphic xmlns:a="http://schemas.openxmlformats.org/drawingml/2006/main">
                        <a:graphicData uri="http://schemas.microsoft.com/office/word/2010/wordprocessingShape">
                          <wps:wsp>
                            <wps:cNvSpPr txBox="1"/>
                            <wps:spPr>
                              <a:xfrm>
                                <a:off x="0" y="0"/>
                                <a:ext cx="561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143510" cy="175260"/>
                      <wp:effectExtent l="0" t="0" r="0" b="0"/>
                      <wp:wrapNone/>
                      <wp:docPr id="372" name="Frame372"/>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459105" cy="175260"/>
                      <wp:effectExtent l="0" t="0" r="0" b="0"/>
                      <wp:wrapNone/>
                      <wp:docPr id="373" name="Frame373"/>
                      <a:graphic xmlns:a="http://schemas.openxmlformats.org/drawingml/2006/main">
                        <a:graphicData uri="http://schemas.microsoft.com/office/word/2010/wordprocessingShape">
                          <wps:wsp>
                            <wps:cNvSpPr txBox="1"/>
                            <wps:spPr>
                              <a:xfrm>
                                <a:off x="0" y="0"/>
                                <a:ext cx="4591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200660" cy="175260"/>
                      <wp:effectExtent l="0" t="0" r="0" b="0"/>
                      <wp:wrapNone/>
                      <wp:docPr id="374" name="Frame374"/>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43"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326"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w:t>
            </w:r>
          </w:p>
        </w:tc>
        <w:tc>
          <w:tcPr>
            <w:tcW w:w="885"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723"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w:t>
            </w:r>
          </w:p>
        </w:tc>
      </w:tr>
      <w:tr>
        <w:trPr/>
        <w:tc>
          <w:tcPr>
            <w:tcW w:w="21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4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26"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w:t>
            </w:r>
          </w:p>
        </w:tc>
        <w:tc>
          <w:tcPr>
            <w:tcW w:w="885"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723"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w:t>
            </w:r>
          </w:p>
        </w:tc>
      </w:tr>
      <w:tr>
        <w:trPr/>
        <w:tc>
          <w:tcPr>
            <w:tcW w:w="216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thousands)</w:t>
            </w:r>
          </w:p>
        </w:tc>
        <w:tc>
          <w:tcPr>
            <w:tcW w:w="326" w:type="dxa"/>
            <w:tcBorders/>
            <w:vAlign w:val="center"/>
          </w:tcPr>
          <w:p>
            <w:pPr>
              <w:pStyle w:val="TableContents"/>
              <w:bidi w:val="0"/>
              <w:spacing w:before="0" w:after="0"/>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33" w:type="dxa"/>
            <w:tcBorders/>
            <w:vAlign w:val="center"/>
          </w:tcPr>
          <w:p>
            <w:pPr>
              <w:pStyle w:val="TableContents"/>
              <w:bidi w:val="0"/>
              <w:spacing w:before="0" w:after="0"/>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2161"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Period-Over-Period Change</w:t>
            </w:r>
          </w:p>
        </w:tc>
        <w:tc>
          <w:tcPr>
            <w:tcW w:w="316" w:type="dxa"/>
            <w:tcBorders/>
            <w:vAlign w:val="center"/>
          </w:tcPr>
          <w:p>
            <w:pPr>
              <w:pStyle w:val="TableContents"/>
              <w:bidi w:val="0"/>
              <w:spacing w:before="0" w:after="0"/>
              <w:ind w:left="0" w:right="0" w:hanging="0"/>
              <w:jc w:val="center"/>
              <w:rPr/>
            </w:pPr>
            <w:r>
              <w:rPr/>
              <w:t>​</w:t>
            </w:r>
          </w:p>
        </w:tc>
      </w:tr>
      <w:tr>
        <w:trPr/>
        <w:tc>
          <w:tcPr>
            <w:tcW w:w="21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services revenues</w:t>
            </w:r>
          </w:p>
        </w:tc>
        <w:tc>
          <w:tcPr>
            <w:tcW w:w="32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19,823</w:t>
            </w:r>
          </w:p>
        </w:tc>
        <w:tc>
          <w:tcPr>
            <w:tcW w:w="333"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15,861</w:t>
            </w:r>
          </w:p>
        </w:tc>
        <w:tc>
          <w:tcPr>
            <w:tcW w:w="326" w:type="dxa"/>
            <w:tcBorders/>
            <w:shd w:fill="CCEEFF" w:val="clear"/>
            <w:vAlign w:val="center"/>
          </w:tcPr>
          <w:p>
            <w:pPr>
              <w:pStyle w:val="TableContents"/>
              <w:bidi w:val="0"/>
              <w:spacing w:before="0" w:after="0"/>
              <w:ind w:left="0" w:right="0" w:hanging="0"/>
              <w:jc w:val="left"/>
              <w:rPr/>
            </w:pPr>
            <w:r>
              <w:rPr/>
              <w:t>​</w:t>
            </w:r>
          </w:p>
        </w:tc>
        <w:tc>
          <w:tcPr>
            <w:tcW w:w="3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3,962</w:t>
            </w:r>
          </w:p>
        </w:tc>
        <w:tc>
          <w:tcPr>
            <w:tcW w:w="226" w:type="dxa"/>
            <w:tcBorders/>
            <w:shd w:fill="CCEEFF" w:val="clear"/>
            <w:vAlign w:val="center"/>
          </w:tcPr>
          <w:p>
            <w:pPr>
              <w:pStyle w:val="TableContents"/>
              <w:bidi w:val="0"/>
              <w:spacing w:before="0" w:after="0"/>
              <w:ind w:left="0" w:right="0" w:hanging="0"/>
              <w:jc w:val="left"/>
              <w:rPr/>
            </w:pPr>
            <w:r>
              <w:rPr/>
              <w:t> </w:t>
            </w:r>
          </w:p>
        </w:tc>
        <w:tc>
          <w:tcPr>
            <w:tcW w:w="7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Cost of services revenues increased $4.0 million, or 25.0%, to $19.8 million for the three months ended March 31, 2025, compared to $15.9 million for the same period in 2024. The increase in cost of services revenues was primarily due to an increase in costs of service delivery personnel to support revenue growth in software subscription-related services and our managed services offering. </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b/>
          <w:sz w:val="20"/>
        </w:rPr>
      </w:pPr>
      <w:r>
        <w:rPr>
          <w:rFonts w:ascii="Times New Roman;Times;serif" w:hAnsi="Times New Roman;Times;serif"/>
          <w:b/>
          <w:sz w:val="20"/>
        </w:rPr>
        <w:t xml:space="preserve">Research and Development </w:t>
      </w:r>
    </w:p>
    <w:tbl>
      <w:tblPr>
        <w:tblW w:w="7583" w:type="dxa"/>
        <w:jc w:val="left"/>
        <w:tblInd w:w="0" w:type="dxa"/>
        <w:tblLayout w:type="fixed"/>
        <w:tblCellMar>
          <w:top w:w="0" w:type="dxa"/>
          <w:left w:w="0" w:type="dxa"/>
          <w:bottom w:w="0" w:type="dxa"/>
          <w:right w:w="0" w:type="dxa"/>
        </w:tblCellMar>
      </w:tblPr>
      <w:tblGrid>
        <w:gridCol w:w="2311"/>
        <w:gridCol w:w="326"/>
        <w:gridCol w:w="215"/>
        <w:gridCol w:w="690"/>
        <w:gridCol w:w="333"/>
        <w:gridCol w:w="215"/>
        <w:gridCol w:w="690"/>
        <w:gridCol w:w="326"/>
        <w:gridCol w:w="327"/>
        <w:gridCol w:w="885"/>
        <w:gridCol w:w="226"/>
        <w:gridCol w:w="723"/>
        <w:gridCol w:w="316"/>
      </w:tblGrid>
      <w:tr>
        <w:trPr/>
        <w:tc>
          <w:tcPr>
            <w:tcW w:w="2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1467485" cy="175260"/>
                      <wp:effectExtent l="0" t="0" r="0" b="0"/>
                      <wp:wrapNone/>
                      <wp:docPr id="375" name="Frame375"/>
                      <a:graphic xmlns:a="http://schemas.openxmlformats.org/drawingml/2006/main">
                        <a:graphicData uri="http://schemas.microsoft.com/office/word/2010/wordprocessingShape">
                          <wps:wsp>
                            <wps:cNvSpPr txBox="1"/>
                            <wps:spPr>
                              <a:xfrm>
                                <a:off x="0" y="0"/>
                                <a:ext cx="1467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207010" cy="175260"/>
                      <wp:effectExtent l="0" t="0" r="0" b="0"/>
                      <wp:wrapNone/>
                      <wp:docPr id="376" name="Frame37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136525" cy="175260"/>
                      <wp:effectExtent l="0" t="0" r="0" b="0"/>
                      <wp:wrapNone/>
                      <wp:docPr id="377" name="Frame377"/>
                      <a:graphic xmlns:a="http://schemas.openxmlformats.org/drawingml/2006/main">
                        <a:graphicData uri="http://schemas.microsoft.com/office/word/2010/wordprocessingShape">
                          <wps:wsp>
                            <wps:cNvSpPr txBox="1"/>
                            <wps:spPr>
                              <a:xfrm>
                                <a:off x="0" y="0"/>
                                <a:ext cx="136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438150" cy="175260"/>
                      <wp:effectExtent l="0" t="0" r="0" b="0"/>
                      <wp:wrapNone/>
                      <wp:docPr id="378" name="Frame378"/>
                      <a:graphic xmlns:a="http://schemas.openxmlformats.org/drawingml/2006/main">
                        <a:graphicData uri="http://schemas.microsoft.com/office/word/2010/wordprocessingShape">
                          <wps:wsp>
                            <wps:cNvSpPr txBox="1"/>
                            <wps:spPr>
                              <a:xfrm>
                                <a:off x="0" y="0"/>
                                <a:ext cx="438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211455" cy="175260"/>
                      <wp:effectExtent l="0" t="0" r="0" b="0"/>
                      <wp:wrapNone/>
                      <wp:docPr id="379" name="Frame379"/>
                      <a:graphic xmlns:a="http://schemas.openxmlformats.org/drawingml/2006/main">
                        <a:graphicData uri="http://schemas.microsoft.com/office/word/2010/wordprocessingShape">
                          <wps:wsp>
                            <wps:cNvSpPr txBox="1"/>
                            <wps:spPr>
                              <a:xfrm>
                                <a:off x="0" y="0"/>
                                <a:ext cx="211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136525" cy="175260"/>
                      <wp:effectExtent l="0" t="0" r="0" b="0"/>
                      <wp:wrapNone/>
                      <wp:docPr id="380" name="Frame380"/>
                      <a:graphic xmlns:a="http://schemas.openxmlformats.org/drawingml/2006/main">
                        <a:graphicData uri="http://schemas.microsoft.com/office/word/2010/wordprocessingShape">
                          <wps:wsp>
                            <wps:cNvSpPr txBox="1"/>
                            <wps:spPr>
                              <a:xfrm>
                                <a:off x="0" y="0"/>
                                <a:ext cx="136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438150" cy="175260"/>
                      <wp:effectExtent l="0" t="0" r="0" b="0"/>
                      <wp:wrapNone/>
                      <wp:docPr id="381" name="Frame381"/>
                      <a:graphic xmlns:a="http://schemas.openxmlformats.org/drawingml/2006/main">
                        <a:graphicData uri="http://schemas.microsoft.com/office/word/2010/wordprocessingShape">
                          <wps:wsp>
                            <wps:cNvSpPr txBox="1"/>
                            <wps:spPr>
                              <a:xfrm>
                                <a:off x="0" y="0"/>
                                <a:ext cx="438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207010" cy="175260"/>
                      <wp:effectExtent l="0" t="0" r="0" b="0"/>
                      <wp:wrapNone/>
                      <wp:docPr id="382" name="Frame3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207645" cy="175260"/>
                      <wp:effectExtent l="0" t="0" r="0" b="0"/>
                      <wp:wrapNone/>
                      <wp:docPr id="383" name="Frame383"/>
                      <a:graphic xmlns:a="http://schemas.openxmlformats.org/drawingml/2006/main">
                        <a:graphicData uri="http://schemas.microsoft.com/office/word/2010/wordprocessingShape">
                          <wps:wsp>
                            <wps:cNvSpPr txBox="1"/>
                            <wps:spPr>
                              <a:xfrm>
                                <a:off x="0" y="0"/>
                                <a:ext cx="2076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561975" cy="175260"/>
                      <wp:effectExtent l="0" t="0" r="0" b="0"/>
                      <wp:wrapNone/>
                      <wp:docPr id="384" name="Frame384"/>
                      <a:graphic xmlns:a="http://schemas.openxmlformats.org/drawingml/2006/main">
                        <a:graphicData uri="http://schemas.microsoft.com/office/word/2010/wordprocessingShape">
                          <wps:wsp>
                            <wps:cNvSpPr txBox="1"/>
                            <wps:spPr>
                              <a:xfrm>
                                <a:off x="0" y="0"/>
                                <a:ext cx="561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143510" cy="175260"/>
                      <wp:effectExtent l="0" t="0" r="0" b="0"/>
                      <wp:wrapNone/>
                      <wp:docPr id="385" name="Frame385"/>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459105" cy="175260"/>
                      <wp:effectExtent l="0" t="0" r="0" b="0"/>
                      <wp:wrapNone/>
                      <wp:docPr id="386" name="Frame386"/>
                      <a:graphic xmlns:a="http://schemas.openxmlformats.org/drawingml/2006/main">
                        <a:graphicData uri="http://schemas.microsoft.com/office/word/2010/wordprocessingShape">
                          <wps:wsp>
                            <wps:cNvSpPr txBox="1"/>
                            <wps:spPr>
                              <a:xfrm>
                                <a:off x="0" y="0"/>
                                <a:ext cx="4591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200660" cy="175260"/>
                      <wp:effectExtent l="0" t="0" r="0" b="0"/>
                      <wp:wrapNone/>
                      <wp:docPr id="387" name="Frame387"/>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43"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326"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w:t>
            </w:r>
          </w:p>
        </w:tc>
        <w:tc>
          <w:tcPr>
            <w:tcW w:w="885"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723"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w:t>
            </w:r>
          </w:p>
        </w:tc>
      </w:tr>
      <w:tr>
        <w:trPr/>
        <w:tc>
          <w:tcPr>
            <w:tcW w:w="23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4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26"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w:t>
            </w:r>
          </w:p>
        </w:tc>
        <w:tc>
          <w:tcPr>
            <w:tcW w:w="885"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723"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w:t>
            </w:r>
          </w:p>
        </w:tc>
      </w:tr>
      <w:tr>
        <w:trPr/>
        <w:tc>
          <w:tcPr>
            <w:tcW w:w="231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thousands)</w:t>
            </w:r>
          </w:p>
        </w:tc>
        <w:tc>
          <w:tcPr>
            <w:tcW w:w="326" w:type="dxa"/>
            <w:tcBorders/>
            <w:vAlign w:val="center"/>
          </w:tcPr>
          <w:p>
            <w:pPr>
              <w:pStyle w:val="TableContents"/>
              <w:bidi w:val="0"/>
              <w:spacing w:before="0" w:after="0"/>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33" w:type="dxa"/>
            <w:tcBorders/>
            <w:vAlign w:val="center"/>
          </w:tcPr>
          <w:p>
            <w:pPr>
              <w:pStyle w:val="TableContents"/>
              <w:bidi w:val="0"/>
              <w:spacing w:before="0" w:after="0"/>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2161"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Period-Over-Period Change</w:t>
            </w:r>
          </w:p>
        </w:tc>
        <w:tc>
          <w:tcPr>
            <w:tcW w:w="316" w:type="dxa"/>
            <w:tcBorders/>
            <w:vAlign w:val="center"/>
          </w:tcPr>
          <w:p>
            <w:pPr>
              <w:pStyle w:val="TableContents"/>
              <w:bidi w:val="0"/>
              <w:spacing w:before="0" w:after="0"/>
              <w:ind w:left="0" w:right="0" w:hanging="0"/>
              <w:jc w:val="center"/>
              <w:rPr/>
            </w:pPr>
            <w:r>
              <w:rPr/>
              <w:t>​</w:t>
            </w:r>
          </w:p>
        </w:tc>
      </w:tr>
      <w:tr>
        <w:trPr/>
        <w:tc>
          <w:tcPr>
            <w:tcW w:w="2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2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20,886</w:t>
            </w:r>
          </w:p>
        </w:tc>
        <w:tc>
          <w:tcPr>
            <w:tcW w:w="333"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16,845</w:t>
            </w:r>
          </w:p>
        </w:tc>
        <w:tc>
          <w:tcPr>
            <w:tcW w:w="326" w:type="dxa"/>
            <w:tcBorders/>
            <w:shd w:fill="CCEEFF" w:val="clear"/>
            <w:vAlign w:val="center"/>
          </w:tcPr>
          <w:p>
            <w:pPr>
              <w:pStyle w:val="TableContents"/>
              <w:bidi w:val="0"/>
              <w:spacing w:before="0" w:after="0"/>
              <w:ind w:left="0" w:right="0" w:hanging="0"/>
              <w:jc w:val="left"/>
              <w:rPr/>
            </w:pPr>
            <w:r>
              <w:rPr/>
              <w:t>​</w:t>
            </w:r>
          </w:p>
        </w:tc>
        <w:tc>
          <w:tcPr>
            <w:tcW w:w="3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4,041</w:t>
            </w:r>
          </w:p>
        </w:tc>
        <w:tc>
          <w:tcPr>
            <w:tcW w:w="226" w:type="dxa"/>
            <w:tcBorders/>
            <w:shd w:fill="CCEEFF" w:val="clear"/>
            <w:vAlign w:val="center"/>
          </w:tcPr>
          <w:p>
            <w:pPr>
              <w:pStyle w:val="TableContents"/>
              <w:bidi w:val="0"/>
              <w:spacing w:before="0" w:after="0"/>
              <w:ind w:left="0" w:right="0" w:hanging="0"/>
              <w:jc w:val="left"/>
              <w:rPr/>
            </w:pPr>
            <w:r>
              <w:rPr/>
              <w:t> </w:t>
            </w:r>
          </w:p>
        </w:tc>
        <w:tc>
          <w:tcPr>
            <w:tcW w:w="7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Research and development expenses increased $4.0 million, or 24.0%, to $20.9 million for the three months ended March 31, 2025 compared to $16.8 million for the same period in 2024. This increase in research and development expenses was primarily due to an increase in personnel costs related to development work associated with new solutions to address end-to-end data analysis and compliance needs of our customers, and continued expansion of connectors and application program interfaces to customer ERP and other software platforms. Additionally, this increase reflects additional research and development investments related to the commercialization of our AI-based Smart Categorization product, other AI-related internal tools and new product initiatives, and other emerging technologies.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b/>
          <w:sz w:val="20"/>
        </w:rPr>
      </w:pPr>
      <w:r>
        <w:rPr>
          <w:rFonts w:ascii="Times New Roman;Times;serif" w:hAnsi="Times New Roman;Times;serif"/>
          <w:b/>
          <w:sz w:val="20"/>
        </w:rPr>
        <w:t xml:space="preserve">Selling and Marketing </w:t>
      </w:r>
    </w:p>
    <w:tbl>
      <w:tblPr>
        <w:tblW w:w="7193" w:type="dxa"/>
        <w:jc w:val="left"/>
        <w:tblInd w:w="0" w:type="dxa"/>
        <w:tblLayout w:type="fixed"/>
        <w:tblCellMar>
          <w:top w:w="0" w:type="dxa"/>
          <w:left w:w="0" w:type="dxa"/>
          <w:bottom w:w="0" w:type="dxa"/>
          <w:right w:w="0" w:type="dxa"/>
        </w:tblCellMar>
      </w:tblPr>
      <w:tblGrid>
        <w:gridCol w:w="1921"/>
        <w:gridCol w:w="326"/>
        <w:gridCol w:w="215"/>
        <w:gridCol w:w="690"/>
        <w:gridCol w:w="333"/>
        <w:gridCol w:w="215"/>
        <w:gridCol w:w="690"/>
        <w:gridCol w:w="326"/>
        <w:gridCol w:w="327"/>
        <w:gridCol w:w="885"/>
        <w:gridCol w:w="226"/>
        <w:gridCol w:w="723"/>
        <w:gridCol w:w="316"/>
      </w:tblGrid>
      <w:tr>
        <w:trPr/>
        <w:tc>
          <w:tcPr>
            <w:tcW w:w="19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1219835" cy="175260"/>
                      <wp:effectExtent l="0" t="0" r="0" b="0"/>
                      <wp:wrapNone/>
                      <wp:docPr id="388" name="Frame388"/>
                      <a:graphic xmlns:a="http://schemas.openxmlformats.org/drawingml/2006/main">
                        <a:graphicData uri="http://schemas.microsoft.com/office/word/2010/wordprocessingShape">
                          <wps:wsp>
                            <wps:cNvSpPr txBox="1"/>
                            <wps:spPr>
                              <a:xfrm>
                                <a:off x="0" y="0"/>
                                <a:ext cx="1219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207010" cy="175260"/>
                      <wp:effectExtent l="0" t="0" r="0" b="0"/>
                      <wp:wrapNone/>
                      <wp:docPr id="389" name="Frame38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136525" cy="175260"/>
                      <wp:effectExtent l="0" t="0" r="0" b="0"/>
                      <wp:wrapNone/>
                      <wp:docPr id="390" name="Frame390"/>
                      <a:graphic xmlns:a="http://schemas.openxmlformats.org/drawingml/2006/main">
                        <a:graphicData uri="http://schemas.microsoft.com/office/word/2010/wordprocessingShape">
                          <wps:wsp>
                            <wps:cNvSpPr txBox="1"/>
                            <wps:spPr>
                              <a:xfrm>
                                <a:off x="0" y="0"/>
                                <a:ext cx="136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438150" cy="175260"/>
                      <wp:effectExtent l="0" t="0" r="0" b="0"/>
                      <wp:wrapNone/>
                      <wp:docPr id="391" name="Frame391"/>
                      <a:graphic xmlns:a="http://schemas.openxmlformats.org/drawingml/2006/main">
                        <a:graphicData uri="http://schemas.microsoft.com/office/word/2010/wordprocessingShape">
                          <wps:wsp>
                            <wps:cNvSpPr txBox="1"/>
                            <wps:spPr>
                              <a:xfrm>
                                <a:off x="0" y="0"/>
                                <a:ext cx="438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211455" cy="175260"/>
                      <wp:effectExtent l="0" t="0" r="0" b="0"/>
                      <wp:wrapNone/>
                      <wp:docPr id="392" name="Frame392"/>
                      <a:graphic xmlns:a="http://schemas.openxmlformats.org/drawingml/2006/main">
                        <a:graphicData uri="http://schemas.microsoft.com/office/word/2010/wordprocessingShape">
                          <wps:wsp>
                            <wps:cNvSpPr txBox="1"/>
                            <wps:spPr>
                              <a:xfrm>
                                <a:off x="0" y="0"/>
                                <a:ext cx="211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136525" cy="175260"/>
                      <wp:effectExtent l="0" t="0" r="0" b="0"/>
                      <wp:wrapNone/>
                      <wp:docPr id="393" name="Frame393"/>
                      <a:graphic xmlns:a="http://schemas.openxmlformats.org/drawingml/2006/main">
                        <a:graphicData uri="http://schemas.microsoft.com/office/word/2010/wordprocessingShape">
                          <wps:wsp>
                            <wps:cNvSpPr txBox="1"/>
                            <wps:spPr>
                              <a:xfrm>
                                <a:off x="0" y="0"/>
                                <a:ext cx="136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438150" cy="175260"/>
                      <wp:effectExtent l="0" t="0" r="0" b="0"/>
                      <wp:wrapNone/>
                      <wp:docPr id="394" name="Frame394"/>
                      <a:graphic xmlns:a="http://schemas.openxmlformats.org/drawingml/2006/main">
                        <a:graphicData uri="http://schemas.microsoft.com/office/word/2010/wordprocessingShape">
                          <wps:wsp>
                            <wps:cNvSpPr txBox="1"/>
                            <wps:spPr>
                              <a:xfrm>
                                <a:off x="0" y="0"/>
                                <a:ext cx="438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207010" cy="175260"/>
                      <wp:effectExtent l="0" t="0" r="0" b="0"/>
                      <wp:wrapNone/>
                      <wp:docPr id="395" name="Frame39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207645" cy="175260"/>
                      <wp:effectExtent l="0" t="0" r="0" b="0"/>
                      <wp:wrapNone/>
                      <wp:docPr id="396" name="Frame396"/>
                      <a:graphic xmlns:a="http://schemas.openxmlformats.org/drawingml/2006/main">
                        <a:graphicData uri="http://schemas.microsoft.com/office/word/2010/wordprocessingShape">
                          <wps:wsp>
                            <wps:cNvSpPr txBox="1"/>
                            <wps:spPr>
                              <a:xfrm>
                                <a:off x="0" y="0"/>
                                <a:ext cx="2076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561975" cy="175260"/>
                      <wp:effectExtent l="0" t="0" r="0" b="0"/>
                      <wp:wrapNone/>
                      <wp:docPr id="397" name="Frame397"/>
                      <a:graphic xmlns:a="http://schemas.openxmlformats.org/drawingml/2006/main">
                        <a:graphicData uri="http://schemas.microsoft.com/office/word/2010/wordprocessingShape">
                          <wps:wsp>
                            <wps:cNvSpPr txBox="1"/>
                            <wps:spPr>
                              <a:xfrm>
                                <a:off x="0" y="0"/>
                                <a:ext cx="561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143510" cy="175260"/>
                      <wp:effectExtent l="0" t="0" r="0" b="0"/>
                      <wp:wrapNone/>
                      <wp:docPr id="398" name="Frame398"/>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459105" cy="175260"/>
                      <wp:effectExtent l="0" t="0" r="0" b="0"/>
                      <wp:wrapNone/>
                      <wp:docPr id="399" name="Frame399"/>
                      <a:graphic xmlns:a="http://schemas.openxmlformats.org/drawingml/2006/main">
                        <a:graphicData uri="http://schemas.microsoft.com/office/word/2010/wordprocessingShape">
                          <wps:wsp>
                            <wps:cNvSpPr txBox="1"/>
                            <wps:spPr>
                              <a:xfrm>
                                <a:off x="0" y="0"/>
                                <a:ext cx="4591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200660" cy="175260"/>
                      <wp:effectExtent l="0" t="0" r="0" b="0"/>
                      <wp:wrapNone/>
                      <wp:docPr id="400" name="Frame400"/>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43"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326"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w:t>
            </w:r>
          </w:p>
        </w:tc>
        <w:tc>
          <w:tcPr>
            <w:tcW w:w="885"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723"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w:t>
            </w:r>
          </w:p>
        </w:tc>
      </w:tr>
      <w:tr>
        <w:trPr/>
        <w:tc>
          <w:tcPr>
            <w:tcW w:w="19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4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26"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w:t>
            </w:r>
          </w:p>
        </w:tc>
        <w:tc>
          <w:tcPr>
            <w:tcW w:w="885"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723"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w:t>
            </w:r>
          </w:p>
        </w:tc>
      </w:tr>
      <w:tr>
        <w:trPr/>
        <w:tc>
          <w:tcPr>
            <w:tcW w:w="192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thousands)</w:t>
            </w:r>
          </w:p>
        </w:tc>
        <w:tc>
          <w:tcPr>
            <w:tcW w:w="326" w:type="dxa"/>
            <w:tcBorders/>
            <w:vAlign w:val="center"/>
          </w:tcPr>
          <w:p>
            <w:pPr>
              <w:pStyle w:val="TableContents"/>
              <w:bidi w:val="0"/>
              <w:spacing w:before="0" w:after="0"/>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33" w:type="dxa"/>
            <w:tcBorders/>
            <w:vAlign w:val="center"/>
          </w:tcPr>
          <w:p>
            <w:pPr>
              <w:pStyle w:val="TableContents"/>
              <w:bidi w:val="0"/>
              <w:spacing w:before="0" w:after="0"/>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2161"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Period-Over-Period Change</w:t>
            </w:r>
          </w:p>
        </w:tc>
        <w:tc>
          <w:tcPr>
            <w:tcW w:w="316" w:type="dxa"/>
            <w:tcBorders/>
            <w:vAlign w:val="center"/>
          </w:tcPr>
          <w:p>
            <w:pPr>
              <w:pStyle w:val="TableContents"/>
              <w:bidi w:val="0"/>
              <w:spacing w:before="0" w:after="0"/>
              <w:ind w:left="0" w:right="0" w:hanging="0"/>
              <w:jc w:val="center"/>
              <w:rPr/>
            </w:pPr>
            <w:r>
              <w:rPr/>
              <w:t>​</w:t>
            </w:r>
          </w:p>
        </w:tc>
      </w:tr>
      <w:tr>
        <w:trPr/>
        <w:tc>
          <w:tcPr>
            <w:tcW w:w="19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and marketing</w:t>
            </w:r>
          </w:p>
        </w:tc>
        <w:tc>
          <w:tcPr>
            <w:tcW w:w="32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48,155</w:t>
            </w:r>
          </w:p>
        </w:tc>
        <w:tc>
          <w:tcPr>
            <w:tcW w:w="333"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40,491</w:t>
            </w:r>
          </w:p>
        </w:tc>
        <w:tc>
          <w:tcPr>
            <w:tcW w:w="326" w:type="dxa"/>
            <w:tcBorders/>
            <w:shd w:fill="CCEEFF" w:val="clear"/>
            <w:vAlign w:val="center"/>
          </w:tcPr>
          <w:p>
            <w:pPr>
              <w:pStyle w:val="TableContents"/>
              <w:bidi w:val="0"/>
              <w:spacing w:before="0" w:after="0"/>
              <w:ind w:left="0" w:right="0" w:hanging="0"/>
              <w:jc w:val="left"/>
              <w:rPr/>
            </w:pPr>
            <w:r>
              <w:rPr/>
              <w:t>​</w:t>
            </w:r>
          </w:p>
        </w:tc>
        <w:tc>
          <w:tcPr>
            <w:tcW w:w="3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7,664</w:t>
            </w:r>
          </w:p>
        </w:tc>
        <w:tc>
          <w:tcPr>
            <w:tcW w:w="226" w:type="dxa"/>
            <w:tcBorders/>
            <w:shd w:fill="CCEEFF" w:val="clear"/>
            <w:vAlign w:val="center"/>
          </w:tcPr>
          <w:p>
            <w:pPr>
              <w:pStyle w:val="TableContents"/>
              <w:bidi w:val="0"/>
              <w:spacing w:before="0" w:after="0"/>
              <w:ind w:left="0" w:right="0" w:hanging="0"/>
              <w:jc w:val="left"/>
              <w:rPr/>
            </w:pPr>
            <w:r>
              <w:rPr/>
              <w:t> </w:t>
            </w:r>
          </w:p>
        </w:tc>
        <w:tc>
          <w:tcPr>
            <w:tcW w:w="7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Selling and marketing expenses increased $7.7 million, or 18.9%, to $48.2 million for the three months ended March 31, 2025 compared to $40.5 million for the same period in 2024. This increase was primarily driven by a $4.6 million increase in payroll and related expenses associated with the growth in period-over-period subscription sales and services revenues and expansion of our partner and channel management programs. Additionally, there was an increase of $3.1 million in advertising and promotional spending related to expanded brand awareness efforts.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b/>
          <w:sz w:val="20"/>
        </w:rPr>
      </w:pPr>
      <w:r>
        <w:rPr>
          <w:rFonts w:ascii="Times New Roman;Times;serif" w:hAnsi="Times New Roman;Times;serif"/>
          <w:b/>
          <w:sz w:val="20"/>
        </w:rPr>
        <w:t>General and Administrative</w:t>
      </w:r>
    </w:p>
    <w:tbl>
      <w:tblPr>
        <w:tblW w:w="7583" w:type="dxa"/>
        <w:jc w:val="left"/>
        <w:tblInd w:w="0" w:type="dxa"/>
        <w:tblLayout w:type="fixed"/>
        <w:tblCellMar>
          <w:top w:w="0" w:type="dxa"/>
          <w:left w:w="0" w:type="dxa"/>
          <w:bottom w:w="0" w:type="dxa"/>
          <w:right w:w="0" w:type="dxa"/>
        </w:tblCellMar>
      </w:tblPr>
      <w:tblGrid>
        <w:gridCol w:w="2311"/>
        <w:gridCol w:w="326"/>
        <w:gridCol w:w="215"/>
        <w:gridCol w:w="690"/>
        <w:gridCol w:w="333"/>
        <w:gridCol w:w="215"/>
        <w:gridCol w:w="690"/>
        <w:gridCol w:w="326"/>
        <w:gridCol w:w="327"/>
        <w:gridCol w:w="885"/>
        <w:gridCol w:w="226"/>
        <w:gridCol w:w="723"/>
        <w:gridCol w:w="316"/>
      </w:tblGrid>
      <w:tr>
        <w:trPr/>
        <w:tc>
          <w:tcPr>
            <w:tcW w:w="2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1467485" cy="175260"/>
                      <wp:effectExtent l="0" t="0" r="0" b="0"/>
                      <wp:wrapNone/>
                      <wp:docPr id="401" name="Frame401"/>
                      <a:graphic xmlns:a="http://schemas.openxmlformats.org/drawingml/2006/main">
                        <a:graphicData uri="http://schemas.microsoft.com/office/word/2010/wordprocessingShape">
                          <wps:wsp>
                            <wps:cNvSpPr txBox="1"/>
                            <wps:spPr>
                              <a:xfrm>
                                <a:off x="0" y="0"/>
                                <a:ext cx="1467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207010" cy="175260"/>
                      <wp:effectExtent l="0" t="0" r="0" b="0"/>
                      <wp:wrapNone/>
                      <wp:docPr id="402" name="Frame40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136525" cy="175260"/>
                      <wp:effectExtent l="0" t="0" r="0" b="0"/>
                      <wp:wrapNone/>
                      <wp:docPr id="403" name="Frame403"/>
                      <a:graphic xmlns:a="http://schemas.openxmlformats.org/drawingml/2006/main">
                        <a:graphicData uri="http://schemas.microsoft.com/office/word/2010/wordprocessingShape">
                          <wps:wsp>
                            <wps:cNvSpPr txBox="1"/>
                            <wps:spPr>
                              <a:xfrm>
                                <a:off x="0" y="0"/>
                                <a:ext cx="136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438150" cy="175260"/>
                      <wp:effectExtent l="0" t="0" r="0" b="0"/>
                      <wp:wrapNone/>
                      <wp:docPr id="404" name="Frame404"/>
                      <a:graphic xmlns:a="http://schemas.openxmlformats.org/drawingml/2006/main">
                        <a:graphicData uri="http://schemas.microsoft.com/office/word/2010/wordprocessingShape">
                          <wps:wsp>
                            <wps:cNvSpPr txBox="1"/>
                            <wps:spPr>
                              <a:xfrm>
                                <a:off x="0" y="0"/>
                                <a:ext cx="438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211455" cy="175260"/>
                      <wp:effectExtent l="0" t="0" r="0" b="0"/>
                      <wp:wrapNone/>
                      <wp:docPr id="405" name="Frame405"/>
                      <a:graphic xmlns:a="http://schemas.openxmlformats.org/drawingml/2006/main">
                        <a:graphicData uri="http://schemas.microsoft.com/office/word/2010/wordprocessingShape">
                          <wps:wsp>
                            <wps:cNvSpPr txBox="1"/>
                            <wps:spPr>
                              <a:xfrm>
                                <a:off x="0" y="0"/>
                                <a:ext cx="211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136525" cy="175260"/>
                      <wp:effectExtent l="0" t="0" r="0" b="0"/>
                      <wp:wrapNone/>
                      <wp:docPr id="406" name="Frame406"/>
                      <a:graphic xmlns:a="http://schemas.openxmlformats.org/drawingml/2006/main">
                        <a:graphicData uri="http://schemas.microsoft.com/office/word/2010/wordprocessingShape">
                          <wps:wsp>
                            <wps:cNvSpPr txBox="1"/>
                            <wps:spPr>
                              <a:xfrm>
                                <a:off x="0" y="0"/>
                                <a:ext cx="136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438150" cy="175260"/>
                      <wp:effectExtent l="0" t="0" r="0" b="0"/>
                      <wp:wrapNone/>
                      <wp:docPr id="407" name="Frame407"/>
                      <a:graphic xmlns:a="http://schemas.openxmlformats.org/drawingml/2006/main">
                        <a:graphicData uri="http://schemas.microsoft.com/office/word/2010/wordprocessingShape">
                          <wps:wsp>
                            <wps:cNvSpPr txBox="1"/>
                            <wps:spPr>
                              <a:xfrm>
                                <a:off x="0" y="0"/>
                                <a:ext cx="438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207010" cy="175260"/>
                      <wp:effectExtent l="0" t="0" r="0" b="0"/>
                      <wp:wrapNone/>
                      <wp:docPr id="408" name="Frame40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207645" cy="175260"/>
                      <wp:effectExtent l="0" t="0" r="0" b="0"/>
                      <wp:wrapNone/>
                      <wp:docPr id="409" name="Frame409"/>
                      <a:graphic xmlns:a="http://schemas.openxmlformats.org/drawingml/2006/main">
                        <a:graphicData uri="http://schemas.microsoft.com/office/word/2010/wordprocessingShape">
                          <wps:wsp>
                            <wps:cNvSpPr txBox="1"/>
                            <wps:spPr>
                              <a:xfrm>
                                <a:off x="0" y="0"/>
                                <a:ext cx="2076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561975" cy="175260"/>
                      <wp:effectExtent l="0" t="0" r="0" b="0"/>
                      <wp:wrapNone/>
                      <wp:docPr id="410" name="Frame410"/>
                      <a:graphic xmlns:a="http://schemas.openxmlformats.org/drawingml/2006/main">
                        <a:graphicData uri="http://schemas.microsoft.com/office/word/2010/wordprocessingShape">
                          <wps:wsp>
                            <wps:cNvSpPr txBox="1"/>
                            <wps:spPr>
                              <a:xfrm>
                                <a:off x="0" y="0"/>
                                <a:ext cx="561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143510" cy="175260"/>
                      <wp:effectExtent l="0" t="0" r="0" b="0"/>
                      <wp:wrapNone/>
                      <wp:docPr id="411" name="Frame411"/>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459105" cy="175260"/>
                      <wp:effectExtent l="0" t="0" r="0" b="0"/>
                      <wp:wrapNone/>
                      <wp:docPr id="412" name="Frame412"/>
                      <a:graphic xmlns:a="http://schemas.openxmlformats.org/drawingml/2006/main">
                        <a:graphicData uri="http://schemas.microsoft.com/office/word/2010/wordprocessingShape">
                          <wps:wsp>
                            <wps:cNvSpPr txBox="1"/>
                            <wps:spPr>
                              <a:xfrm>
                                <a:off x="0" y="0"/>
                                <a:ext cx="4591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200660" cy="175260"/>
                      <wp:effectExtent l="0" t="0" r="0" b="0"/>
                      <wp:wrapNone/>
                      <wp:docPr id="413" name="Frame413"/>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43"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326"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w:t>
            </w:r>
          </w:p>
        </w:tc>
        <w:tc>
          <w:tcPr>
            <w:tcW w:w="885"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723"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w:t>
            </w:r>
          </w:p>
        </w:tc>
      </w:tr>
      <w:tr>
        <w:trPr/>
        <w:tc>
          <w:tcPr>
            <w:tcW w:w="23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4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26"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w:t>
            </w:r>
          </w:p>
        </w:tc>
        <w:tc>
          <w:tcPr>
            <w:tcW w:w="885"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723"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w:t>
            </w:r>
          </w:p>
        </w:tc>
      </w:tr>
      <w:tr>
        <w:trPr/>
        <w:tc>
          <w:tcPr>
            <w:tcW w:w="231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thousands)</w:t>
            </w:r>
          </w:p>
        </w:tc>
        <w:tc>
          <w:tcPr>
            <w:tcW w:w="326" w:type="dxa"/>
            <w:tcBorders/>
            <w:vAlign w:val="center"/>
          </w:tcPr>
          <w:p>
            <w:pPr>
              <w:pStyle w:val="TableContents"/>
              <w:bidi w:val="0"/>
              <w:spacing w:before="0" w:after="0"/>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33" w:type="dxa"/>
            <w:tcBorders/>
            <w:vAlign w:val="center"/>
          </w:tcPr>
          <w:p>
            <w:pPr>
              <w:pStyle w:val="TableContents"/>
              <w:bidi w:val="0"/>
              <w:spacing w:before="0" w:after="0"/>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2161"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Period-Over-Period Change</w:t>
            </w:r>
          </w:p>
        </w:tc>
        <w:tc>
          <w:tcPr>
            <w:tcW w:w="316" w:type="dxa"/>
            <w:tcBorders/>
            <w:vAlign w:val="center"/>
          </w:tcPr>
          <w:p>
            <w:pPr>
              <w:pStyle w:val="TableContents"/>
              <w:bidi w:val="0"/>
              <w:spacing w:before="0" w:after="0"/>
              <w:ind w:left="0" w:right="0" w:hanging="0"/>
              <w:jc w:val="center"/>
              <w:rPr/>
            </w:pPr>
            <w:r>
              <w:rPr/>
              <w:t>​</w:t>
            </w:r>
          </w:p>
        </w:tc>
      </w:tr>
      <w:tr>
        <w:trPr/>
        <w:tc>
          <w:tcPr>
            <w:tcW w:w="2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2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45,028</w:t>
            </w:r>
          </w:p>
        </w:tc>
        <w:tc>
          <w:tcPr>
            <w:tcW w:w="333"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35,542</w:t>
            </w:r>
          </w:p>
        </w:tc>
        <w:tc>
          <w:tcPr>
            <w:tcW w:w="326" w:type="dxa"/>
            <w:tcBorders/>
            <w:shd w:fill="CCEEFF" w:val="clear"/>
            <w:vAlign w:val="center"/>
          </w:tcPr>
          <w:p>
            <w:pPr>
              <w:pStyle w:val="TableContents"/>
              <w:bidi w:val="0"/>
              <w:spacing w:before="0" w:after="0"/>
              <w:ind w:left="0" w:right="0" w:hanging="0"/>
              <w:jc w:val="left"/>
              <w:rPr/>
            </w:pPr>
            <w:r>
              <w:rPr/>
              <w:t>​</w:t>
            </w:r>
          </w:p>
        </w:tc>
        <w:tc>
          <w:tcPr>
            <w:tcW w:w="3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9,486</w:t>
            </w:r>
          </w:p>
        </w:tc>
        <w:tc>
          <w:tcPr>
            <w:tcW w:w="226" w:type="dxa"/>
            <w:tcBorders/>
            <w:shd w:fill="CCEEFF" w:val="clear"/>
            <w:vAlign w:val="center"/>
          </w:tcPr>
          <w:p>
            <w:pPr>
              <w:pStyle w:val="TableContents"/>
              <w:bidi w:val="0"/>
              <w:spacing w:before="0" w:after="0"/>
              <w:ind w:left="0" w:right="0" w:hanging="0"/>
              <w:jc w:val="left"/>
              <w:rPr/>
            </w:pPr>
            <w:r>
              <w:rPr/>
              <w:t> </w:t>
            </w:r>
          </w:p>
        </w:tc>
        <w:tc>
          <w:tcPr>
            <w:tcW w:w="7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General and administrative expenses increased $9.5 million, or 26.7%, to $45.0 million for the three months ended March 31, 2025 compared to $35.5 million for the same period in 2024, primarily driven by planned strategic investments in information technology infrastructure, business process re-engineering and other initiatives to drive future operating leverage, as well as investments in employees, systems and other resources in support of our growth.</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b/>
          <w:sz w:val="20"/>
        </w:rPr>
      </w:pPr>
      <w:r>
        <w:rPr>
          <w:rFonts w:ascii="Times New Roman;Times;serif" w:hAnsi="Times New Roman;Times;serif"/>
          <w:b/>
          <w:sz w:val="20"/>
        </w:rPr>
        <w:t>Depreciation and Amortization</w:t>
      </w:r>
    </w:p>
    <w:tbl>
      <w:tblPr>
        <w:tblW w:w="7869" w:type="dxa"/>
        <w:jc w:val="left"/>
        <w:tblInd w:w="0" w:type="dxa"/>
        <w:tblLayout w:type="fixed"/>
        <w:tblCellMar>
          <w:top w:w="0" w:type="dxa"/>
          <w:left w:w="0" w:type="dxa"/>
          <w:bottom w:w="0" w:type="dxa"/>
          <w:right w:w="0" w:type="dxa"/>
        </w:tblCellMar>
      </w:tblPr>
      <w:tblGrid>
        <w:gridCol w:w="2596"/>
        <w:gridCol w:w="326"/>
        <w:gridCol w:w="239"/>
        <w:gridCol w:w="648"/>
        <w:gridCol w:w="370"/>
        <w:gridCol w:w="239"/>
        <w:gridCol w:w="648"/>
        <w:gridCol w:w="326"/>
        <w:gridCol w:w="320"/>
        <w:gridCol w:w="638"/>
        <w:gridCol w:w="494"/>
        <w:gridCol w:w="709"/>
        <w:gridCol w:w="316"/>
      </w:tblGrid>
      <w:tr>
        <w:trPr/>
        <w:tc>
          <w:tcPr>
            <w:tcW w:w="2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1648460" cy="175260"/>
                      <wp:effectExtent l="0" t="0" r="0" b="0"/>
                      <wp:wrapNone/>
                      <wp:docPr id="414" name="Frame414"/>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207010" cy="175260"/>
                      <wp:effectExtent l="0" t="0" r="0" b="0"/>
                      <wp:wrapNone/>
                      <wp:docPr id="415" name="Frame4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151765" cy="175260"/>
                      <wp:effectExtent l="0" t="0" r="0" b="0"/>
                      <wp:wrapNone/>
                      <wp:docPr id="416" name="Frame416"/>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411480" cy="175260"/>
                      <wp:effectExtent l="0" t="0" r="0" b="0"/>
                      <wp:wrapNone/>
                      <wp:docPr id="417" name="Frame417"/>
                      <a:graphic xmlns:a="http://schemas.openxmlformats.org/drawingml/2006/main">
                        <a:graphicData uri="http://schemas.microsoft.com/office/word/2010/wordprocessingShape">
                          <wps:wsp>
                            <wps:cNvSpPr txBox="1"/>
                            <wps:spPr>
                              <a:xfrm>
                                <a:off x="0" y="0"/>
                                <a:ext cx="411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234950" cy="175260"/>
                      <wp:effectExtent l="0" t="0" r="0" b="0"/>
                      <wp:wrapNone/>
                      <wp:docPr id="418" name="Frame418"/>
                      <a:graphic xmlns:a="http://schemas.openxmlformats.org/drawingml/2006/main">
                        <a:graphicData uri="http://schemas.microsoft.com/office/word/2010/wordprocessingShape">
                          <wps:wsp>
                            <wps:cNvSpPr txBox="1"/>
                            <wps:spPr>
                              <a:xfrm>
                                <a:off x="0" y="0"/>
                                <a:ext cx="2349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151765" cy="175260"/>
                      <wp:effectExtent l="0" t="0" r="0" b="0"/>
                      <wp:wrapNone/>
                      <wp:docPr id="419" name="Frame419"/>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411480" cy="175260"/>
                      <wp:effectExtent l="0" t="0" r="0" b="0"/>
                      <wp:wrapNone/>
                      <wp:docPr id="420" name="Frame420"/>
                      <a:graphic xmlns:a="http://schemas.openxmlformats.org/drawingml/2006/main">
                        <a:graphicData uri="http://schemas.microsoft.com/office/word/2010/wordprocessingShape">
                          <wps:wsp>
                            <wps:cNvSpPr txBox="1"/>
                            <wps:spPr>
                              <a:xfrm>
                                <a:off x="0" y="0"/>
                                <a:ext cx="411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207010" cy="175260"/>
                      <wp:effectExtent l="0" t="0" r="0" b="0"/>
                      <wp:wrapNone/>
                      <wp:docPr id="421" name="Frame4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203200" cy="175260"/>
                      <wp:effectExtent l="0" t="0" r="0" b="0"/>
                      <wp:wrapNone/>
                      <wp:docPr id="422" name="Frame422"/>
                      <a:graphic xmlns:a="http://schemas.openxmlformats.org/drawingml/2006/main">
                        <a:graphicData uri="http://schemas.microsoft.com/office/word/2010/wordprocessingShape">
                          <wps:wsp>
                            <wps:cNvSpPr txBox="1"/>
                            <wps:spPr>
                              <a:xfrm>
                                <a:off x="0" y="0"/>
                                <a:ext cx="203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405130" cy="175260"/>
                      <wp:effectExtent l="0" t="0" r="0" b="0"/>
                      <wp:wrapNone/>
                      <wp:docPr id="423" name="Frame423"/>
                      <a:graphic xmlns:a="http://schemas.openxmlformats.org/drawingml/2006/main">
                        <a:graphicData uri="http://schemas.microsoft.com/office/word/2010/wordprocessingShape">
                          <wps:wsp>
                            <wps:cNvSpPr txBox="1"/>
                            <wps:spPr>
                              <a:xfrm>
                                <a:off x="0" y="0"/>
                                <a:ext cx="4051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313690" cy="175260"/>
                      <wp:effectExtent l="0" t="0" r="0" b="0"/>
                      <wp:wrapNone/>
                      <wp:docPr id="424" name="Frame424"/>
                      <a:graphic xmlns:a="http://schemas.openxmlformats.org/drawingml/2006/main">
                        <a:graphicData uri="http://schemas.microsoft.com/office/word/2010/wordprocessingShape">
                          <wps:wsp>
                            <wps:cNvSpPr txBox="1"/>
                            <wps:spPr>
                              <a:xfrm>
                                <a:off x="0" y="0"/>
                                <a:ext cx="3136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450215" cy="175260"/>
                      <wp:effectExtent l="0" t="0" r="0" b="0"/>
                      <wp:wrapNone/>
                      <wp:docPr id="425" name="Frame425"/>
                      <a:graphic xmlns:a="http://schemas.openxmlformats.org/drawingml/2006/main">
                        <a:graphicData uri="http://schemas.microsoft.com/office/word/2010/wordprocessingShape">
                          <wps:wsp>
                            <wps:cNvSpPr txBox="1"/>
                            <wps:spPr>
                              <a:xfrm>
                                <a:off x="0" y="0"/>
                                <a:ext cx="450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200660" cy="175260"/>
                      <wp:effectExtent l="0" t="0" r="0" b="0"/>
                      <wp:wrapNone/>
                      <wp:docPr id="426" name="Frame426"/>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44"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326" w:type="dxa"/>
            <w:tcBorders/>
            <w:vAlign w:val="center"/>
          </w:tcPr>
          <w:p>
            <w:pPr>
              <w:pStyle w:val="TableContents"/>
              <w:bidi w:val="0"/>
              <w:spacing w:before="0" w:after="0"/>
              <w:ind w:left="0" w:right="0" w:hanging="0"/>
              <w:jc w:val="left"/>
              <w:rPr/>
            </w:pPr>
            <w:r>
              <w:rPr/>
              <w:t>​</w:t>
            </w:r>
          </w:p>
        </w:tc>
        <w:tc>
          <w:tcPr>
            <w:tcW w:w="320" w:type="dxa"/>
            <w:tcBorders/>
            <w:vAlign w:val="center"/>
          </w:tcPr>
          <w:p>
            <w:pPr>
              <w:pStyle w:val="TableContents"/>
              <w:bidi w:val="0"/>
              <w:spacing w:before="0" w:after="0"/>
              <w:ind w:left="0" w:right="0" w:hanging="0"/>
              <w:jc w:val="left"/>
              <w:rPr/>
            </w:pPr>
            <w:r>
              <w:rPr/>
              <w:t>​</w:t>
            </w:r>
          </w:p>
        </w:tc>
        <w:tc>
          <w:tcPr>
            <w:tcW w:w="638" w:type="dxa"/>
            <w:tcBorders/>
            <w:vAlign w:val="center"/>
          </w:tcPr>
          <w:p>
            <w:pPr>
              <w:pStyle w:val="TableContents"/>
              <w:bidi w:val="0"/>
              <w:spacing w:before="0" w:after="0"/>
              <w:ind w:left="0" w:right="0" w:hanging="0"/>
              <w:jc w:val="center"/>
              <w:rPr/>
            </w:pPr>
            <w:r>
              <w:rPr/>
              <w:t>​</w:t>
            </w:r>
          </w:p>
        </w:tc>
        <w:tc>
          <w:tcPr>
            <w:tcW w:w="494" w:type="dxa"/>
            <w:tcBorders/>
            <w:vAlign w:val="center"/>
          </w:tcPr>
          <w:p>
            <w:pPr>
              <w:pStyle w:val="TableContents"/>
              <w:bidi w:val="0"/>
              <w:spacing w:before="0" w:after="0"/>
              <w:ind w:left="0" w:right="0" w:hanging="0"/>
              <w:jc w:val="left"/>
              <w:rPr/>
            </w:pPr>
            <w:r>
              <w:rPr/>
              <w:t>​</w:t>
            </w:r>
          </w:p>
        </w:tc>
        <w:tc>
          <w:tcPr>
            <w:tcW w:w="709"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w:t>
            </w:r>
          </w:p>
        </w:tc>
      </w:tr>
      <w:tr>
        <w:trPr/>
        <w:tc>
          <w:tcPr>
            <w:tcW w:w="25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4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26" w:type="dxa"/>
            <w:tcBorders/>
            <w:vAlign w:val="center"/>
          </w:tcPr>
          <w:p>
            <w:pPr>
              <w:pStyle w:val="TableContents"/>
              <w:bidi w:val="0"/>
              <w:spacing w:before="0" w:after="0"/>
              <w:ind w:left="0" w:right="0" w:hanging="0"/>
              <w:jc w:val="left"/>
              <w:rPr/>
            </w:pPr>
            <w:r>
              <w:rPr/>
              <w:t>​</w:t>
            </w:r>
          </w:p>
        </w:tc>
        <w:tc>
          <w:tcPr>
            <w:tcW w:w="320" w:type="dxa"/>
            <w:tcBorders/>
            <w:vAlign w:val="center"/>
          </w:tcPr>
          <w:p>
            <w:pPr>
              <w:pStyle w:val="TableContents"/>
              <w:bidi w:val="0"/>
              <w:spacing w:before="0" w:after="0"/>
              <w:ind w:left="0" w:right="0" w:hanging="0"/>
              <w:jc w:val="left"/>
              <w:rPr/>
            </w:pPr>
            <w:r>
              <w:rPr/>
              <w:t>​</w:t>
            </w:r>
          </w:p>
        </w:tc>
        <w:tc>
          <w:tcPr>
            <w:tcW w:w="638" w:type="dxa"/>
            <w:tcBorders/>
            <w:vAlign w:val="center"/>
          </w:tcPr>
          <w:p>
            <w:pPr>
              <w:pStyle w:val="TableContents"/>
              <w:bidi w:val="0"/>
              <w:spacing w:before="0" w:after="0"/>
              <w:ind w:left="0" w:right="0" w:hanging="0"/>
              <w:jc w:val="center"/>
              <w:rPr/>
            </w:pPr>
            <w:r>
              <w:rPr/>
              <w:t>​</w:t>
            </w:r>
          </w:p>
        </w:tc>
        <w:tc>
          <w:tcPr>
            <w:tcW w:w="494" w:type="dxa"/>
            <w:tcBorders/>
            <w:vAlign w:val="center"/>
          </w:tcPr>
          <w:p>
            <w:pPr>
              <w:pStyle w:val="TableContents"/>
              <w:bidi w:val="0"/>
              <w:spacing w:before="0" w:after="0"/>
              <w:ind w:left="0" w:right="0" w:hanging="0"/>
              <w:jc w:val="left"/>
              <w:rPr/>
            </w:pPr>
            <w:r>
              <w:rPr/>
              <w:t>​</w:t>
            </w:r>
          </w:p>
        </w:tc>
        <w:tc>
          <w:tcPr>
            <w:tcW w:w="709"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thousands)</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70"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2161"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Period-Over-Period Change</w:t>
            </w:r>
          </w:p>
        </w:tc>
        <w:tc>
          <w:tcPr>
            <w:tcW w:w="316" w:type="dxa"/>
            <w:tcBorders/>
            <w:vAlign w:val="center"/>
          </w:tcPr>
          <w:p>
            <w:pPr>
              <w:pStyle w:val="TableContents"/>
              <w:bidi w:val="0"/>
              <w:spacing w:before="0" w:after="0"/>
              <w:ind w:left="0" w:right="0" w:hanging="0"/>
              <w:jc w:val="center"/>
              <w:rPr/>
            </w:pPr>
            <w:r>
              <w:rPr/>
              <w:t>​</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shd w:fill="CCEEFF" w:val="clear"/>
            <w:vAlign w:val="center"/>
          </w:tcPr>
          <w:p>
            <w:pPr>
              <w:pStyle w:val="TableContents"/>
              <w:bidi w:val="0"/>
              <w:spacing w:before="0" w:after="0"/>
              <w:ind w:left="0" w:right="0" w:hanging="0"/>
              <w:jc w:val="left"/>
              <w:rPr/>
            </w:pPr>
            <w:r>
              <w:rPr/>
              <w:t>    </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5,880</w:t>
            </w:r>
          </w:p>
        </w:tc>
        <w:tc>
          <w:tcPr>
            <w:tcW w:w="370" w:type="dxa"/>
            <w:tcBorders/>
            <w:shd w:fill="CCEEFF" w:val="clear"/>
            <w:vAlign w:val="center"/>
          </w:tcPr>
          <w:p>
            <w:pPr>
              <w:pStyle w:val="TableContents"/>
              <w:bidi w:val="0"/>
              <w:spacing w:before="0" w:after="0"/>
              <w:ind w:left="0" w:right="0" w:hanging="0"/>
              <w:jc w:val="left"/>
              <w:rPr/>
            </w:pPr>
            <w:r>
              <w:rPr/>
              <w:t>    </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5,006</w:t>
            </w:r>
          </w:p>
        </w:tc>
        <w:tc>
          <w:tcPr>
            <w:tcW w:w="326" w:type="dxa"/>
            <w:tcBorders/>
            <w:shd w:fill="CCEEFF" w:val="clear"/>
            <w:vAlign w:val="center"/>
          </w:tcPr>
          <w:p>
            <w:pPr>
              <w:pStyle w:val="TableContents"/>
              <w:bidi w:val="0"/>
              <w:spacing w:before="0" w:after="0"/>
              <w:ind w:left="0" w:right="0" w:hanging="0"/>
              <w:jc w:val="left"/>
              <w:rPr/>
            </w:pPr>
            <w:r>
              <w:rPr/>
              <w:t>    </w:t>
            </w:r>
          </w:p>
        </w:tc>
        <w:tc>
          <w:tcPr>
            <w:tcW w:w="3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874</w:t>
            </w:r>
          </w:p>
        </w:tc>
        <w:tc>
          <w:tcPr>
            <w:tcW w:w="494" w:type="dxa"/>
            <w:tcBorders/>
            <w:shd w:fill="CCEEFF" w:val="clear"/>
            <w:vAlign w:val="center"/>
          </w:tcPr>
          <w:p>
            <w:pPr>
              <w:pStyle w:val="TableContents"/>
              <w:bidi w:val="0"/>
              <w:spacing w:before="0" w:after="0"/>
              <w:ind w:left="0" w:right="0" w:hanging="0"/>
              <w:jc w:val="left"/>
              <w:rPr/>
            </w:pPr>
            <w:r>
              <w:rPr/>
              <w:t>    </w:t>
            </w:r>
          </w:p>
        </w:tc>
        <w:tc>
          <w:tcPr>
            <w:tcW w:w="7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Depreciation and amortization increased $0.9 million, or 17.5%, to $5.9 million for the three months ended March 31, 2025 compared to $5.0 million for the same period in 2024. The increase was primarily due to the impact of infrastructure and technology purchases and other capitalized costs to support our growth.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b/>
          <w:sz w:val="20"/>
        </w:rPr>
      </w:pPr>
      <w:r>
        <w:rPr>
          <w:rFonts w:ascii="Times New Roman;Times;serif" w:hAnsi="Times New Roman;Times;serif"/>
          <w:b/>
          <w:sz w:val="20"/>
        </w:rPr>
        <w:t>Change in Fair Value of Acquisition Contingent Earn-outs</w:t>
      </w:r>
    </w:p>
    <w:p>
      <w:pPr>
        <w:pStyle w:val="TextBody"/>
        <w:bidi w:val="0"/>
        <w:spacing w:before="0" w:after="0"/>
        <w:ind w:left="0" w:right="0" w:firstLine="360"/>
        <w:jc w:val="both"/>
        <w:rPr/>
      </w:pPr>
      <w:r>
        <w:rPr/>
        <w:t>​</w:t>
      </w:r>
    </w:p>
    <w:tbl>
      <w:tblPr>
        <w:tblW w:w="9667" w:type="dxa"/>
        <w:jc w:val="left"/>
        <w:tblInd w:w="0" w:type="dxa"/>
        <w:tblLayout w:type="fixed"/>
        <w:tblCellMar>
          <w:top w:w="0" w:type="dxa"/>
          <w:left w:w="0" w:type="dxa"/>
          <w:bottom w:w="0" w:type="dxa"/>
          <w:right w:w="0" w:type="dxa"/>
        </w:tblCellMar>
      </w:tblPr>
      <w:tblGrid>
        <w:gridCol w:w="4666"/>
        <w:gridCol w:w="326"/>
        <w:gridCol w:w="252"/>
        <w:gridCol w:w="952"/>
        <w:gridCol w:w="130"/>
        <w:gridCol w:w="252"/>
        <w:gridCol w:w="557"/>
        <w:gridCol w:w="326"/>
        <w:gridCol w:w="304"/>
        <w:gridCol w:w="1061"/>
        <w:gridCol w:w="470"/>
        <w:gridCol w:w="371"/>
      </w:tblGrid>
      <w:tr>
        <w:trPr/>
        <w:tc>
          <w:tcPr>
            <w:tcW w:w="46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2962910" cy="175260"/>
                      <wp:effectExtent l="0" t="0" r="0" b="0"/>
                      <wp:wrapNone/>
                      <wp:docPr id="427" name="Frame427"/>
                      <a:graphic xmlns:a="http://schemas.openxmlformats.org/drawingml/2006/main">
                        <a:graphicData uri="http://schemas.microsoft.com/office/word/2010/wordprocessingShape">
                          <wps:wsp>
                            <wps:cNvSpPr txBox="1"/>
                            <wps:spPr>
                              <a:xfrm>
                                <a:off x="0" y="0"/>
                                <a:ext cx="2962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207010" cy="175260"/>
                      <wp:effectExtent l="0" t="0" r="0" b="0"/>
                      <wp:wrapNone/>
                      <wp:docPr id="428" name="Frame4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160020" cy="175260"/>
                      <wp:effectExtent l="0" t="0" r="0" b="0"/>
                      <wp:wrapNone/>
                      <wp:docPr id="429" name="Frame429"/>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604520" cy="175260"/>
                      <wp:effectExtent l="0" t="0" r="0" b="0"/>
                      <wp:wrapNone/>
                      <wp:docPr id="430" name="Frame430"/>
                      <a:graphic xmlns:a="http://schemas.openxmlformats.org/drawingml/2006/main">
                        <a:graphicData uri="http://schemas.microsoft.com/office/word/2010/wordprocessingShape">
                          <wps:wsp>
                            <wps:cNvSpPr txBox="1"/>
                            <wps:spPr>
                              <a:xfrm>
                                <a:off x="0" y="0"/>
                                <a:ext cx="604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82550" cy="175260"/>
                      <wp:effectExtent l="0" t="0" r="0" b="0"/>
                      <wp:wrapNone/>
                      <wp:docPr id="431" name="Frame431"/>
                      <a:graphic xmlns:a="http://schemas.openxmlformats.org/drawingml/2006/main">
                        <a:graphicData uri="http://schemas.microsoft.com/office/word/2010/wordprocessingShape">
                          <wps:wsp>
                            <wps:cNvSpPr txBox="1"/>
                            <wps:spPr>
                              <a:xfrm>
                                <a:off x="0" y="0"/>
                                <a:ext cx="825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160020" cy="175260"/>
                      <wp:effectExtent l="0" t="0" r="0" b="0"/>
                      <wp:wrapNone/>
                      <wp:docPr id="432" name="Frame432"/>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353695" cy="175260"/>
                      <wp:effectExtent l="0" t="0" r="0" b="0"/>
                      <wp:wrapNone/>
                      <wp:docPr id="433" name="Frame433"/>
                      <a:graphic xmlns:a="http://schemas.openxmlformats.org/drawingml/2006/main">
                        <a:graphicData uri="http://schemas.microsoft.com/office/word/2010/wordprocessingShape">
                          <wps:wsp>
                            <wps:cNvSpPr txBox="1"/>
                            <wps:spPr>
                              <a:xfrm>
                                <a:off x="0" y="0"/>
                                <a:ext cx="353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207010" cy="175260"/>
                      <wp:effectExtent l="0" t="0" r="0" b="0"/>
                      <wp:wrapNone/>
                      <wp:docPr id="434" name="Frame4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193040" cy="175260"/>
                      <wp:effectExtent l="0" t="0" r="0" b="0"/>
                      <wp:wrapNone/>
                      <wp:docPr id="435" name="Frame435"/>
                      <a:graphic xmlns:a="http://schemas.openxmlformats.org/drawingml/2006/main">
                        <a:graphicData uri="http://schemas.microsoft.com/office/word/2010/wordprocessingShape">
                          <wps:wsp>
                            <wps:cNvSpPr txBox="1"/>
                            <wps:spPr>
                              <a:xfrm>
                                <a:off x="0" y="0"/>
                                <a:ext cx="193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673735" cy="175260"/>
                      <wp:effectExtent l="0" t="0" r="0" b="0"/>
                      <wp:wrapNone/>
                      <wp:docPr id="436" name="Frame436"/>
                      <a:graphic xmlns:a="http://schemas.openxmlformats.org/drawingml/2006/main">
                        <a:graphicData uri="http://schemas.microsoft.com/office/word/2010/wordprocessingShape">
                          <wps:wsp>
                            <wps:cNvSpPr txBox="1"/>
                            <wps:spPr>
                              <a:xfrm>
                                <a:off x="0" y="0"/>
                                <a:ext cx="673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298450" cy="175260"/>
                      <wp:effectExtent l="0" t="0" r="0" b="0"/>
                      <wp:wrapNone/>
                      <wp:docPr id="437" name="Frame437"/>
                      <a:graphic xmlns:a="http://schemas.openxmlformats.org/drawingml/2006/main">
                        <a:graphicData uri="http://schemas.microsoft.com/office/word/2010/wordprocessingShape">
                          <wps:wsp>
                            <wps:cNvSpPr txBox="1"/>
                            <wps:spPr>
                              <a:xfrm>
                                <a:off x="0" y="0"/>
                                <a:ext cx="2984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235585" cy="175260"/>
                      <wp:effectExtent l="0" t="0" r="0" b="0"/>
                      <wp:wrapNone/>
                      <wp:docPr id="438" name="Frame438"/>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6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43"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326"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left"/>
              <w:rPr/>
            </w:pPr>
            <w:r>
              <w:rPr/>
              <w:t>​</w:t>
            </w:r>
          </w:p>
        </w:tc>
        <w:tc>
          <w:tcPr>
            <w:tcW w:w="1061" w:type="dxa"/>
            <w:tcBorders/>
            <w:vAlign w:val="center"/>
          </w:tcPr>
          <w:p>
            <w:pPr>
              <w:pStyle w:val="TableContents"/>
              <w:bidi w:val="0"/>
              <w:spacing w:before="0" w:after="0"/>
              <w:ind w:left="0" w:right="0" w:hanging="0"/>
              <w:jc w:val="center"/>
              <w:rPr/>
            </w:pPr>
            <w:r>
              <w:rPr/>
              <w:t>​</w:t>
            </w:r>
          </w:p>
        </w:tc>
        <w:tc>
          <w:tcPr>
            <w:tcW w:w="470" w:type="dxa"/>
            <w:tcBorders/>
            <w:vAlign w:val="center"/>
          </w:tcPr>
          <w:p>
            <w:pPr>
              <w:pStyle w:val="TableContents"/>
              <w:bidi w:val="0"/>
              <w:spacing w:before="0" w:after="0"/>
              <w:ind w:left="0" w:right="0" w:hanging="0"/>
              <w:jc w:val="left"/>
              <w:rPr/>
            </w:pPr>
            <w:r>
              <w:rPr/>
              <w:t>​</w:t>
            </w:r>
          </w:p>
        </w:tc>
        <w:tc>
          <w:tcPr>
            <w:tcW w:w="371" w:type="dxa"/>
            <w:tcBorders/>
            <w:vAlign w:val="center"/>
          </w:tcPr>
          <w:p>
            <w:pPr>
              <w:pStyle w:val="TableContents"/>
              <w:bidi w:val="0"/>
              <w:spacing w:before="0" w:after="0"/>
              <w:ind w:left="0" w:right="0" w:hanging="0"/>
              <w:jc w:val="center"/>
              <w:rPr/>
            </w:pPr>
            <w:r>
              <w:rPr/>
              <w:t>​</w:t>
            </w:r>
          </w:p>
        </w:tc>
      </w:tr>
      <w:tr>
        <w:trPr/>
        <w:tc>
          <w:tcPr>
            <w:tcW w:w="46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4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26"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left"/>
              <w:rPr/>
            </w:pPr>
            <w:r>
              <w:rPr/>
              <w:t>​</w:t>
            </w:r>
          </w:p>
        </w:tc>
        <w:tc>
          <w:tcPr>
            <w:tcW w:w="1061" w:type="dxa"/>
            <w:tcBorders/>
            <w:vAlign w:val="center"/>
          </w:tcPr>
          <w:p>
            <w:pPr>
              <w:pStyle w:val="TableContents"/>
              <w:bidi w:val="0"/>
              <w:spacing w:before="0" w:after="0"/>
              <w:ind w:left="0" w:right="0" w:hanging="0"/>
              <w:jc w:val="center"/>
              <w:rPr/>
            </w:pPr>
            <w:r>
              <w:rPr/>
              <w:t>​</w:t>
            </w:r>
          </w:p>
        </w:tc>
        <w:tc>
          <w:tcPr>
            <w:tcW w:w="470" w:type="dxa"/>
            <w:tcBorders/>
            <w:vAlign w:val="center"/>
          </w:tcPr>
          <w:p>
            <w:pPr>
              <w:pStyle w:val="TableContents"/>
              <w:bidi w:val="0"/>
              <w:spacing w:before="0" w:after="0"/>
              <w:ind w:left="0" w:right="0" w:hanging="0"/>
              <w:jc w:val="left"/>
              <w:rPr/>
            </w:pPr>
            <w:r>
              <w:rPr/>
              <w:t>​</w:t>
            </w:r>
          </w:p>
        </w:tc>
        <w:tc>
          <w:tcPr>
            <w:tcW w:w="371" w:type="dxa"/>
            <w:tcBorders/>
            <w:vAlign w:val="center"/>
          </w:tcPr>
          <w:p>
            <w:pPr>
              <w:pStyle w:val="TableContents"/>
              <w:bidi w:val="0"/>
              <w:spacing w:before="0" w:after="0"/>
              <w:ind w:left="0" w:right="0" w:hanging="0"/>
              <w:jc w:val="center"/>
              <w:rPr/>
            </w:pPr>
            <w:r>
              <w:rPr/>
              <w:t>​</w:t>
            </w:r>
          </w:p>
        </w:tc>
      </w:tr>
      <w:tr>
        <w:trPr/>
        <w:tc>
          <w:tcPr>
            <w:tcW w:w="466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thousands)</w:t>
            </w:r>
          </w:p>
        </w:tc>
        <w:tc>
          <w:tcPr>
            <w:tcW w:w="326" w:type="dxa"/>
            <w:tcBorders/>
            <w:vAlign w:val="center"/>
          </w:tcPr>
          <w:p>
            <w:pPr>
              <w:pStyle w:val="TableContents"/>
              <w:bidi w:val="0"/>
              <w:spacing w:before="0" w:after="0"/>
              <w:ind w:left="0" w:right="0" w:hanging="0"/>
              <w:jc w:val="left"/>
              <w:rPr/>
            </w:pPr>
            <w:r>
              <w:rPr/>
              <w:t>    </w:t>
            </w:r>
          </w:p>
        </w:tc>
        <w:tc>
          <w:tcPr>
            <w:tcW w:w="252"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95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30" w:type="dxa"/>
            <w:tcBorders/>
            <w:vAlign w:val="center"/>
          </w:tcPr>
          <w:p>
            <w:pPr>
              <w:pStyle w:val="TableContents"/>
              <w:bidi w:val="0"/>
              <w:spacing w:before="0" w:after="0"/>
              <w:ind w:left="0" w:right="0" w:hanging="0"/>
              <w:jc w:val="center"/>
              <w:rPr/>
            </w:pPr>
            <w:r>
              <w:rPr/>
              <w:t>​</w:t>
            </w:r>
          </w:p>
        </w:tc>
        <w:tc>
          <w:tcPr>
            <w:tcW w:w="252"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55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2206"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Period-Over-Period Change</w:t>
            </w:r>
          </w:p>
        </w:tc>
      </w:tr>
      <w:tr>
        <w:trPr/>
        <w:tc>
          <w:tcPr>
            <w:tcW w:w="46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acquisition contingent earn-outs</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(14,700)</w:t>
            </w:r>
          </w:p>
        </w:tc>
        <w:tc>
          <w:tcPr>
            <w:tcW w:w="130"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30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(14,700)</w:t>
            </w:r>
          </w:p>
        </w:tc>
        <w:tc>
          <w:tcPr>
            <w:tcW w:w="470" w:type="dxa"/>
            <w:tcBorders/>
            <w:shd w:fill="CCEEFF" w:val="clear"/>
            <w:vAlign w:val="center"/>
          </w:tcPr>
          <w:p>
            <w:pPr>
              <w:pStyle w:val="TableContents"/>
              <w:bidi w:val="0"/>
              <w:spacing w:before="0" w:after="0"/>
              <w:ind w:left="0" w:right="0" w:hanging="0"/>
              <w:jc w:val="left"/>
              <w:rPr/>
            </w:pPr>
            <w:r>
              <w:rPr/>
              <w:t>    </w:t>
            </w:r>
          </w:p>
        </w:tc>
        <w:tc>
          <w:tcPr>
            <w:tcW w:w="3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46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Percentage change not meaningful.</w:t>
            </w:r>
          </w:p>
        </w:tc>
        <w:tc>
          <w:tcPr>
            <w:tcW w:w="32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952" w:type="dxa"/>
            <w:tcBorders/>
            <w:vAlign w:val="center"/>
          </w:tcPr>
          <w:p>
            <w:pPr>
              <w:pStyle w:val="TableContents"/>
              <w:bidi w:val="0"/>
              <w:spacing w:before="0" w:after="0"/>
              <w:ind w:left="0" w:right="0" w:hanging="0"/>
              <w:jc w:val="left"/>
              <w:rPr/>
            </w:pPr>
            <w:r>
              <w:rPr/>
              <w:t>​</w:t>
            </w:r>
          </w:p>
        </w:tc>
        <w:tc>
          <w:tcPr>
            <w:tcW w:w="130"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55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left"/>
              <w:rPr/>
            </w:pPr>
            <w:r>
              <w:rPr/>
              <w:t>​</w:t>
            </w:r>
          </w:p>
        </w:tc>
        <w:tc>
          <w:tcPr>
            <w:tcW w:w="1061" w:type="dxa"/>
            <w:tcBorders/>
            <w:vAlign w:val="center"/>
          </w:tcPr>
          <w:p>
            <w:pPr>
              <w:pStyle w:val="TableContents"/>
              <w:bidi w:val="0"/>
              <w:spacing w:before="0" w:after="0"/>
              <w:ind w:left="0" w:right="0" w:hanging="0"/>
              <w:jc w:val="left"/>
              <w:rPr/>
            </w:pPr>
            <w:r>
              <w:rPr/>
              <w:t>​</w:t>
            </w:r>
          </w:p>
        </w:tc>
        <w:tc>
          <w:tcPr>
            <w:tcW w:w="470" w:type="dxa"/>
            <w:tcBorders/>
            <w:vAlign w:val="center"/>
          </w:tcPr>
          <w:p>
            <w:pPr>
              <w:pStyle w:val="TableContents"/>
              <w:bidi w:val="0"/>
              <w:spacing w:before="0" w:after="0"/>
              <w:ind w:left="0" w:right="0" w:hanging="0"/>
              <w:jc w:val="left"/>
              <w:rPr/>
            </w:pPr>
            <w:r>
              <w:rPr/>
              <w:t>​</w:t>
            </w:r>
          </w:p>
        </w:tc>
        <w:tc>
          <w:tcPr>
            <w:tcW w:w="371" w:type="dxa"/>
            <w:tcBorders/>
            <w:vAlign w:val="center"/>
          </w:tcPr>
          <w:p>
            <w:pPr>
              <w:pStyle w:val="TableContents"/>
              <w:bidi w:val="0"/>
              <w:spacing w:before="0" w:after="0"/>
              <w:ind w:left="0" w:right="0" w:hanging="0"/>
              <w:jc w:val="left"/>
              <w:rPr/>
            </w:pPr>
            <w:r>
              <w:rPr/>
              <w:t>​</w:t>
            </w:r>
          </w:p>
        </w:tc>
      </w:tr>
    </w:tbl>
    <w:p>
      <w:pPr>
        <w:pStyle w:val="TextBody"/>
        <w:bidi w:val="0"/>
        <w:spacing w:before="0" w:after="24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Change in fair value of acquisition contingent earn-outs changed $14.7 million from the prior year due entirely to adjustments to the fair values of our ecosio acquisition contingent Cash Earn-outs and Stock Earn-outs of $1.7 million and $(16.4) million, respectively, recorded during the three months ended March 31, 2025. For further information, refer to Note 3, “Financial Instruments and Fair Value Measurements” to the condensed consolidated financial statements included in this Quarterly Report on Form 10-Q.</w:t>
      </w:r>
    </w:p>
    <w:p>
      <w:pPr>
        <w:pStyle w:val="TextBody"/>
        <w:bidi w:val="0"/>
        <w:spacing w:before="0" w:after="0"/>
        <w:ind w:left="0" w:right="0" w:firstLine="360"/>
        <w:jc w:val="left"/>
        <w:rPr>
          <w:rFonts w:ascii="Times New Roman;Times;serif" w:hAnsi="Times New Roman;Times;serif"/>
          <w:b/>
          <w:sz w:val="20"/>
        </w:rPr>
      </w:pPr>
      <w:r>
        <w:rPr>
          <w:rFonts w:ascii="Times New Roman;Times;serif" w:hAnsi="Times New Roman;Times;serif"/>
          <w:b/>
          <w:sz w:val="20"/>
        </w:rPr>
        <w:t>Other Operating Expense (Income), Net</w:t>
      </w:r>
    </w:p>
    <w:tbl>
      <w:tblPr>
        <w:tblW w:w="8593" w:type="dxa"/>
        <w:jc w:val="left"/>
        <w:tblInd w:w="0" w:type="dxa"/>
        <w:tblLayout w:type="fixed"/>
        <w:tblCellMar>
          <w:top w:w="0" w:type="dxa"/>
          <w:left w:w="0" w:type="dxa"/>
          <w:bottom w:w="0" w:type="dxa"/>
          <w:right w:w="0" w:type="dxa"/>
        </w:tblCellMar>
      </w:tblPr>
      <w:tblGrid>
        <w:gridCol w:w="3211"/>
        <w:gridCol w:w="326"/>
        <w:gridCol w:w="243"/>
        <w:gridCol w:w="658"/>
        <w:gridCol w:w="376"/>
        <w:gridCol w:w="243"/>
        <w:gridCol w:w="624"/>
        <w:gridCol w:w="326"/>
        <w:gridCol w:w="262"/>
        <w:gridCol w:w="709"/>
        <w:gridCol w:w="405"/>
        <w:gridCol w:w="785"/>
        <w:gridCol w:w="271"/>
        <w:gridCol w:w="154"/>
      </w:tblGrid>
      <w:tr>
        <w:trPr/>
        <w:tc>
          <w:tcPr>
            <w:tcW w:w="3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2038985" cy="175260"/>
                      <wp:effectExtent l="0" t="0" r="0" b="0"/>
                      <wp:wrapNone/>
                      <wp:docPr id="439" name="Frame439"/>
                      <a:graphic xmlns:a="http://schemas.openxmlformats.org/drawingml/2006/main">
                        <a:graphicData uri="http://schemas.microsoft.com/office/word/2010/wordprocessingShape">
                          <wps:wsp>
                            <wps:cNvSpPr txBox="1"/>
                            <wps:spPr>
                              <a:xfrm>
                                <a:off x="0" y="0"/>
                                <a:ext cx="2038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207010" cy="175260"/>
                      <wp:effectExtent l="0" t="0" r="0" b="0"/>
                      <wp:wrapNone/>
                      <wp:docPr id="440" name="Frame4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154305" cy="175260"/>
                      <wp:effectExtent l="0" t="0" r="0" b="0"/>
                      <wp:wrapNone/>
                      <wp:docPr id="441" name="Frame441"/>
                      <a:graphic xmlns:a="http://schemas.openxmlformats.org/drawingml/2006/main">
                        <a:graphicData uri="http://schemas.microsoft.com/office/word/2010/wordprocessingShape">
                          <wps:wsp>
                            <wps:cNvSpPr txBox="1"/>
                            <wps:spPr>
                              <a:xfrm>
                                <a:off x="0" y="0"/>
                                <a:ext cx="1543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417830" cy="175260"/>
                      <wp:effectExtent l="0" t="0" r="0" b="0"/>
                      <wp:wrapNone/>
                      <wp:docPr id="442" name="Frame442"/>
                      <a:graphic xmlns:a="http://schemas.openxmlformats.org/drawingml/2006/main">
                        <a:graphicData uri="http://schemas.microsoft.com/office/word/2010/wordprocessingShape">
                          <wps:wsp>
                            <wps:cNvSpPr txBox="1"/>
                            <wps:spPr>
                              <a:xfrm>
                                <a:off x="0" y="0"/>
                                <a:ext cx="417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238760" cy="175260"/>
                      <wp:effectExtent l="0" t="0" r="0" b="0"/>
                      <wp:wrapNone/>
                      <wp:docPr id="443" name="Frame443"/>
                      <a:graphic xmlns:a="http://schemas.openxmlformats.org/drawingml/2006/main">
                        <a:graphicData uri="http://schemas.microsoft.com/office/word/2010/wordprocessingShape">
                          <wps:wsp>
                            <wps:cNvSpPr txBox="1"/>
                            <wps:spPr>
                              <a:xfrm>
                                <a:off x="0" y="0"/>
                                <a:ext cx="238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154305" cy="175260"/>
                      <wp:effectExtent l="0" t="0" r="0" b="0"/>
                      <wp:wrapNone/>
                      <wp:docPr id="444" name="Frame444"/>
                      <a:graphic xmlns:a="http://schemas.openxmlformats.org/drawingml/2006/main">
                        <a:graphicData uri="http://schemas.microsoft.com/office/word/2010/wordprocessingShape">
                          <wps:wsp>
                            <wps:cNvSpPr txBox="1"/>
                            <wps:spPr>
                              <a:xfrm>
                                <a:off x="0" y="0"/>
                                <a:ext cx="1543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396240" cy="175260"/>
                      <wp:effectExtent l="0" t="0" r="0" b="0"/>
                      <wp:wrapNone/>
                      <wp:docPr id="445" name="Frame445"/>
                      <a:graphic xmlns:a="http://schemas.openxmlformats.org/drawingml/2006/main">
                        <a:graphicData uri="http://schemas.microsoft.com/office/word/2010/wordprocessingShape">
                          <wps:wsp>
                            <wps:cNvSpPr txBox="1"/>
                            <wps:spPr>
                              <a:xfrm>
                                <a:off x="0" y="0"/>
                                <a:ext cx="3962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207010" cy="175260"/>
                      <wp:effectExtent l="0" t="0" r="0" b="0"/>
                      <wp:wrapNone/>
                      <wp:docPr id="446" name="Frame4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166370" cy="175260"/>
                      <wp:effectExtent l="0" t="0" r="0" b="0"/>
                      <wp:wrapNone/>
                      <wp:docPr id="447" name="Frame447"/>
                      <a:graphic xmlns:a="http://schemas.openxmlformats.org/drawingml/2006/main">
                        <a:graphicData uri="http://schemas.microsoft.com/office/word/2010/wordprocessingShape">
                          <wps:wsp>
                            <wps:cNvSpPr txBox="1"/>
                            <wps:spPr>
                              <a:xfrm>
                                <a:off x="0" y="0"/>
                                <a:ext cx="166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450215" cy="175260"/>
                      <wp:effectExtent l="0" t="0" r="0" b="0"/>
                      <wp:wrapNone/>
                      <wp:docPr id="448" name="Frame448"/>
                      <a:graphic xmlns:a="http://schemas.openxmlformats.org/drawingml/2006/main">
                        <a:graphicData uri="http://schemas.microsoft.com/office/word/2010/wordprocessingShape">
                          <wps:wsp>
                            <wps:cNvSpPr txBox="1"/>
                            <wps:spPr>
                              <a:xfrm>
                                <a:off x="0" y="0"/>
                                <a:ext cx="450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257175" cy="175260"/>
                      <wp:effectExtent l="0" t="0" r="0" b="0"/>
                      <wp:wrapNone/>
                      <wp:docPr id="449" name="Frame449"/>
                      <a:graphic xmlns:a="http://schemas.openxmlformats.org/drawingml/2006/main">
                        <a:graphicData uri="http://schemas.microsoft.com/office/word/2010/wordprocessingShape">
                          <wps:wsp>
                            <wps:cNvSpPr txBox="1"/>
                            <wps:spPr>
                              <a:xfrm>
                                <a:off x="0" y="0"/>
                                <a:ext cx="257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498475" cy="175260"/>
                      <wp:effectExtent l="0" t="0" r="0" b="0"/>
                      <wp:wrapNone/>
                      <wp:docPr id="450" name="Frame450"/>
                      <a:graphic xmlns:a="http://schemas.openxmlformats.org/drawingml/2006/main">
                        <a:graphicData uri="http://schemas.microsoft.com/office/word/2010/wordprocessingShape">
                          <wps:wsp>
                            <wps:cNvSpPr txBox="1"/>
                            <wps:spPr>
                              <a:xfrm>
                                <a:off x="0" y="0"/>
                                <a:ext cx="4984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172085" cy="175260"/>
                      <wp:effectExtent l="0" t="0" r="0" b="0"/>
                      <wp:wrapNone/>
                      <wp:docPr id="451" name="Frame451"/>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97790" cy="175260"/>
                      <wp:effectExtent l="0" t="0" r="0" b="0"/>
                      <wp:wrapNone/>
                      <wp:docPr id="452" name="Frame452"/>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44"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326"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w:t>
            </w:r>
          </w:p>
        </w:tc>
        <w:tc>
          <w:tcPr>
            <w:tcW w:w="709" w:type="dxa"/>
            <w:tcBorders/>
            <w:vAlign w:val="center"/>
          </w:tcPr>
          <w:p>
            <w:pPr>
              <w:pStyle w:val="TableContents"/>
              <w:bidi w:val="0"/>
              <w:spacing w:before="0" w:after="0"/>
              <w:ind w:left="0" w:right="0" w:hanging="0"/>
              <w:jc w:val="center"/>
              <w:rPr/>
            </w:pPr>
            <w:r>
              <w:rPr/>
              <w:t>​</w:t>
            </w:r>
          </w:p>
        </w:tc>
        <w:tc>
          <w:tcPr>
            <w:tcW w:w="405" w:type="dxa"/>
            <w:tcBorders/>
            <w:vAlign w:val="center"/>
          </w:tcPr>
          <w:p>
            <w:pPr>
              <w:pStyle w:val="TableContents"/>
              <w:bidi w:val="0"/>
              <w:spacing w:before="0" w:after="0"/>
              <w:ind w:left="0" w:right="0" w:hanging="0"/>
              <w:jc w:val="left"/>
              <w:rPr/>
            </w:pPr>
            <w:r>
              <w:rPr/>
              <w:t>​</w:t>
            </w:r>
          </w:p>
        </w:tc>
        <w:tc>
          <w:tcPr>
            <w:tcW w:w="785" w:type="dxa"/>
            <w:tcBorders/>
            <w:vAlign w:val="center"/>
          </w:tcPr>
          <w:p>
            <w:pPr>
              <w:pStyle w:val="TableContents"/>
              <w:bidi w:val="0"/>
              <w:spacing w:before="0" w:after="0"/>
              <w:ind w:left="0" w:right="0" w:hanging="0"/>
              <w:jc w:val="center"/>
              <w:rPr/>
            </w:pPr>
            <w:r>
              <w:rPr/>
              <w:t>​</w:t>
            </w:r>
          </w:p>
        </w:tc>
        <w:tc>
          <w:tcPr>
            <w:tcW w:w="271"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before="0" w:after="0"/>
              <w:ind w:left="0" w:right="0" w:hanging="0"/>
              <w:jc w:val="center"/>
              <w:rPr/>
            </w:pPr>
            <w:r>
              <w:rPr/>
              <w:t>​</w:t>
            </w:r>
          </w:p>
        </w:tc>
      </w:tr>
      <w:tr>
        <w:trPr/>
        <w:tc>
          <w:tcPr>
            <w:tcW w:w="32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4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26"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w:t>
            </w:r>
          </w:p>
        </w:tc>
        <w:tc>
          <w:tcPr>
            <w:tcW w:w="709" w:type="dxa"/>
            <w:tcBorders/>
            <w:vAlign w:val="center"/>
          </w:tcPr>
          <w:p>
            <w:pPr>
              <w:pStyle w:val="TableContents"/>
              <w:bidi w:val="0"/>
              <w:spacing w:before="0" w:after="0"/>
              <w:ind w:left="0" w:right="0" w:hanging="0"/>
              <w:jc w:val="center"/>
              <w:rPr/>
            </w:pPr>
            <w:r>
              <w:rPr/>
              <w:t>​</w:t>
            </w:r>
          </w:p>
        </w:tc>
        <w:tc>
          <w:tcPr>
            <w:tcW w:w="405" w:type="dxa"/>
            <w:tcBorders/>
            <w:vAlign w:val="center"/>
          </w:tcPr>
          <w:p>
            <w:pPr>
              <w:pStyle w:val="TableContents"/>
              <w:bidi w:val="0"/>
              <w:spacing w:before="0" w:after="0"/>
              <w:ind w:left="0" w:right="0" w:hanging="0"/>
              <w:jc w:val="left"/>
              <w:rPr/>
            </w:pPr>
            <w:r>
              <w:rPr/>
              <w:t>​</w:t>
            </w:r>
          </w:p>
        </w:tc>
        <w:tc>
          <w:tcPr>
            <w:tcW w:w="785" w:type="dxa"/>
            <w:tcBorders/>
            <w:vAlign w:val="center"/>
          </w:tcPr>
          <w:p>
            <w:pPr>
              <w:pStyle w:val="TableContents"/>
              <w:bidi w:val="0"/>
              <w:spacing w:before="0" w:after="0"/>
              <w:ind w:left="0" w:right="0" w:hanging="0"/>
              <w:jc w:val="center"/>
              <w:rPr/>
            </w:pPr>
            <w:r>
              <w:rPr/>
              <w:t>​</w:t>
            </w:r>
          </w:p>
        </w:tc>
        <w:tc>
          <w:tcPr>
            <w:tcW w:w="271"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before="0" w:after="0"/>
              <w:ind w:left="0" w:right="0" w:hanging="0"/>
              <w:jc w:val="center"/>
              <w:rPr/>
            </w:pPr>
            <w:r>
              <w:rPr/>
              <w:t>​</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thousands)</w:t>
            </w:r>
          </w:p>
        </w:tc>
        <w:tc>
          <w:tcPr>
            <w:tcW w:w="326" w:type="dxa"/>
            <w:tcBorders/>
            <w:vAlign w:val="center"/>
          </w:tcPr>
          <w:p>
            <w:pPr>
              <w:pStyle w:val="TableContents"/>
              <w:bidi w:val="0"/>
              <w:spacing w:before="0" w:after="0"/>
              <w:ind w:left="0" w:right="0" w:hanging="0"/>
              <w:jc w:val="left"/>
              <w:rPr/>
            </w:pPr>
            <w:r>
              <w:rPr/>
              <w:t>    </w:t>
            </w:r>
          </w:p>
        </w:tc>
        <w:tc>
          <w:tcPr>
            <w:tcW w:w="9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76" w:type="dxa"/>
            <w:tcBorders/>
            <w:vAlign w:val="center"/>
          </w:tcPr>
          <w:p>
            <w:pPr>
              <w:pStyle w:val="TableContents"/>
              <w:bidi w:val="0"/>
              <w:spacing w:before="0" w:after="0"/>
              <w:ind w:left="0" w:right="0" w:hanging="0"/>
              <w:jc w:val="left"/>
              <w:rPr/>
            </w:pPr>
            <w:r>
              <w:rPr/>
              <w:t>    </w:t>
            </w:r>
          </w:p>
        </w:tc>
        <w:tc>
          <w:tcPr>
            <w:tcW w:w="8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2161"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Period-Over-Period Change</w:t>
            </w:r>
          </w:p>
        </w:tc>
        <w:tc>
          <w:tcPr>
            <w:tcW w:w="271"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before="0" w:after="0"/>
              <w:ind w:left="0" w:right="0" w:hanging="0"/>
              <w:jc w:val="center"/>
              <w:rPr/>
            </w:pPr>
            <w:r>
              <w:rPr/>
              <w:t>​</w:t>
            </w:r>
          </w:p>
        </w:tc>
      </w:tr>
      <w:tr>
        <w:trPr/>
        <w:tc>
          <w:tcPr>
            <w:tcW w:w="3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operating expense (income), net</w:t>
            </w:r>
          </w:p>
        </w:tc>
        <w:tc>
          <w:tcPr>
            <w:tcW w:w="326" w:type="dxa"/>
            <w:tcBorders/>
            <w:shd w:fill="CCEEFF" w:val="clear"/>
            <w:vAlign w:val="center"/>
          </w:tcPr>
          <w:p>
            <w:pPr>
              <w:pStyle w:val="TableContents"/>
              <w:bidi w:val="0"/>
              <w:spacing w:before="0" w:after="0"/>
              <w:ind w:left="0" w:right="0" w:hanging="0"/>
              <w:jc w:val="left"/>
              <w:rPr/>
            </w:pPr>
            <w:r>
              <w:rPr/>
              <w:t>    </w:t>
            </w:r>
          </w:p>
        </w:tc>
        <w:tc>
          <w:tcPr>
            <w:tcW w:w="24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3,259</w:t>
            </w:r>
          </w:p>
        </w:tc>
        <w:tc>
          <w:tcPr>
            <w:tcW w:w="376" w:type="dxa"/>
            <w:tcBorders/>
            <w:shd w:fill="CCEEFF" w:val="clear"/>
            <w:vAlign w:val="center"/>
          </w:tcPr>
          <w:p>
            <w:pPr>
              <w:pStyle w:val="TableContents"/>
              <w:bidi w:val="0"/>
              <w:spacing w:before="0" w:after="0"/>
              <w:ind w:left="0" w:right="0" w:hanging="0"/>
              <w:jc w:val="left"/>
              <w:rPr/>
            </w:pPr>
            <w:r>
              <w:rPr/>
              <w:t>    </w:t>
            </w:r>
          </w:p>
        </w:tc>
        <w:tc>
          <w:tcPr>
            <w:tcW w:w="24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(527)</w:t>
            </w:r>
          </w:p>
        </w:tc>
        <w:tc>
          <w:tcPr>
            <w:tcW w:w="326" w:type="dxa"/>
            <w:tcBorders/>
            <w:shd w:fill="CCEEFF" w:val="clear"/>
            <w:vAlign w:val="center"/>
          </w:tcPr>
          <w:p>
            <w:pPr>
              <w:pStyle w:val="TableContents"/>
              <w:bidi w:val="0"/>
              <w:spacing w:before="0" w:after="0"/>
              <w:ind w:left="0" w:right="0" w:hanging="0"/>
              <w:jc w:val="left"/>
              <w:rPr/>
            </w:pPr>
            <w:r>
              <w:rPr/>
              <w:t>    </w:t>
            </w:r>
          </w:p>
        </w:tc>
        <w:tc>
          <w:tcPr>
            <w:tcW w:w="2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3,786</w:t>
            </w:r>
          </w:p>
        </w:tc>
        <w:tc>
          <w:tcPr>
            <w:tcW w:w="405" w:type="dxa"/>
            <w:tcBorders/>
            <w:shd w:fill="CCEEFF" w:val="clear"/>
            <w:vAlign w:val="center"/>
          </w:tcPr>
          <w:p>
            <w:pPr>
              <w:pStyle w:val="TableContents"/>
              <w:bidi w:val="0"/>
              <w:spacing w:before="0" w:after="0"/>
              <w:ind w:left="0" w:right="0" w:hanging="0"/>
              <w:jc w:val="left"/>
              <w:rPr/>
            </w:pPr>
            <w:r>
              <w:rPr/>
              <w:t>    </w:t>
            </w:r>
          </w:p>
        </w:tc>
        <w:tc>
          <w:tcPr>
            <w:tcW w:w="7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(718.4)</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shd w:fill="CCEEFF" w:val="clear"/>
            <w:vAlign w:val="center"/>
          </w:tcPr>
          <w:p>
            <w:pPr>
              <w:pStyle w:val="TableContents"/>
              <w:bidi w:val="0"/>
              <w:spacing w:before="0" w:after="0"/>
              <w:ind w:left="0" w:right="0" w:hanging="0"/>
              <w:jc w:val="right"/>
              <w:rPr/>
            </w:pPr>
            <w:r>
              <w:rPr/>
              <w:t>​</w:t>
            </w:r>
          </w:p>
        </w:tc>
      </w:tr>
    </w:tbl>
    <w:p>
      <w:pPr>
        <w:pStyle w:val="TextBody"/>
        <w:bidi w:val="0"/>
        <w:spacing w:before="0" w:after="0"/>
        <w:ind w:left="0" w:right="0" w:firstLine="36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Other operating expense (income), net increased to expense of $3.3 million, net for the three months ended March 31, 2025 compared to income of $0.5 million, net for the same period in 2024. The increase in expense was primarily driven by $2.4 million related to legal costs associated with a pending legal claim and foreign currency transaction losses incurred. For further information regarding the referenced pending legal claim, refer to Note 11, “Commitments and Contingencies” to the condensed consolidated financial statements included in this Quarterly Report on Form 10-Q.</w:t>
      </w:r>
    </w:p>
    <w:p>
      <w:pPr>
        <w:pStyle w:val="TextBody"/>
        <w:bidi w:val="0"/>
        <w:spacing w:before="0" w:after="0"/>
        <w:ind w:left="0" w:right="0" w:firstLine="360"/>
        <w:jc w:val="left"/>
        <w:rPr/>
      </w:pPr>
      <w:r>
        <w:rPr/>
        <w:t>​</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b/>
          <w:sz w:val="20"/>
        </w:rPr>
        <w:t>Interest Expense (Income), Net</w:t>
      </w:r>
      <w:r>
        <w:rPr>
          <w:rFonts w:ascii="Times New Roman;Times;serif" w:hAnsi="Times New Roman;Times;serif"/>
          <w:color w:val="FF0000"/>
          <w:sz w:val="20"/>
        </w:rPr>
        <w:t xml:space="preserve"> </w:t>
      </w:r>
    </w:p>
    <w:tbl>
      <w:tblPr>
        <w:tblW w:w="7809" w:type="dxa"/>
        <w:jc w:val="left"/>
        <w:tblInd w:w="0" w:type="dxa"/>
        <w:tblLayout w:type="fixed"/>
        <w:tblCellMar>
          <w:top w:w="0" w:type="dxa"/>
          <w:left w:w="0" w:type="dxa"/>
          <w:bottom w:w="0" w:type="dxa"/>
          <w:right w:w="0" w:type="dxa"/>
        </w:tblCellMar>
      </w:tblPr>
      <w:tblGrid>
        <w:gridCol w:w="2536"/>
        <w:gridCol w:w="326"/>
        <w:gridCol w:w="243"/>
        <w:gridCol w:w="797"/>
        <w:gridCol w:w="376"/>
        <w:gridCol w:w="243"/>
        <w:gridCol w:w="485"/>
        <w:gridCol w:w="326"/>
        <w:gridCol w:w="253"/>
        <w:gridCol w:w="757"/>
        <w:gridCol w:w="391"/>
        <w:gridCol w:w="760"/>
        <w:gridCol w:w="316"/>
      </w:tblGrid>
      <w:tr>
        <w:trPr/>
        <w:tc>
          <w:tcPr>
            <w:tcW w:w="25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1610360" cy="175260"/>
                      <wp:effectExtent l="0" t="0" r="0" b="0"/>
                      <wp:wrapNone/>
                      <wp:docPr id="453" name="Frame453"/>
                      <a:graphic xmlns:a="http://schemas.openxmlformats.org/drawingml/2006/main">
                        <a:graphicData uri="http://schemas.microsoft.com/office/word/2010/wordprocessingShape">
                          <wps:wsp>
                            <wps:cNvSpPr txBox="1"/>
                            <wps:spPr>
                              <a:xfrm>
                                <a:off x="0" y="0"/>
                                <a:ext cx="1610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207010" cy="175260"/>
                      <wp:effectExtent l="0" t="0" r="0" b="0"/>
                      <wp:wrapNone/>
                      <wp:docPr id="454" name="Frame4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154305" cy="175260"/>
                      <wp:effectExtent l="0" t="0" r="0" b="0"/>
                      <wp:wrapNone/>
                      <wp:docPr id="455" name="Frame455"/>
                      <a:graphic xmlns:a="http://schemas.openxmlformats.org/drawingml/2006/main">
                        <a:graphicData uri="http://schemas.microsoft.com/office/word/2010/wordprocessingShape">
                          <wps:wsp>
                            <wps:cNvSpPr txBox="1"/>
                            <wps:spPr>
                              <a:xfrm>
                                <a:off x="0" y="0"/>
                                <a:ext cx="1543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506095" cy="175260"/>
                      <wp:effectExtent l="0" t="0" r="0" b="0"/>
                      <wp:wrapNone/>
                      <wp:docPr id="456" name="Frame456"/>
                      <a:graphic xmlns:a="http://schemas.openxmlformats.org/drawingml/2006/main">
                        <a:graphicData uri="http://schemas.microsoft.com/office/word/2010/wordprocessingShape">
                          <wps:wsp>
                            <wps:cNvSpPr txBox="1"/>
                            <wps:spPr>
                              <a:xfrm>
                                <a:off x="0" y="0"/>
                                <a:ext cx="5060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238760" cy="175260"/>
                      <wp:effectExtent l="0" t="0" r="0" b="0"/>
                      <wp:wrapNone/>
                      <wp:docPr id="457" name="Frame457"/>
                      <a:graphic xmlns:a="http://schemas.openxmlformats.org/drawingml/2006/main">
                        <a:graphicData uri="http://schemas.microsoft.com/office/word/2010/wordprocessingShape">
                          <wps:wsp>
                            <wps:cNvSpPr txBox="1"/>
                            <wps:spPr>
                              <a:xfrm>
                                <a:off x="0" y="0"/>
                                <a:ext cx="238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154305" cy="175260"/>
                      <wp:effectExtent l="0" t="0" r="0" b="0"/>
                      <wp:wrapNone/>
                      <wp:docPr id="458" name="Frame458"/>
                      <a:graphic xmlns:a="http://schemas.openxmlformats.org/drawingml/2006/main">
                        <a:graphicData uri="http://schemas.microsoft.com/office/word/2010/wordprocessingShape">
                          <wps:wsp>
                            <wps:cNvSpPr txBox="1"/>
                            <wps:spPr>
                              <a:xfrm>
                                <a:off x="0" y="0"/>
                                <a:ext cx="1543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307975" cy="175260"/>
                      <wp:effectExtent l="0" t="0" r="0" b="0"/>
                      <wp:wrapNone/>
                      <wp:docPr id="459" name="Frame459"/>
                      <a:graphic xmlns:a="http://schemas.openxmlformats.org/drawingml/2006/main">
                        <a:graphicData uri="http://schemas.microsoft.com/office/word/2010/wordprocessingShape">
                          <wps:wsp>
                            <wps:cNvSpPr txBox="1"/>
                            <wps:spPr>
                              <a:xfrm>
                                <a:off x="0" y="0"/>
                                <a:ext cx="307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207010" cy="175260"/>
                      <wp:effectExtent l="0" t="0" r="0" b="0"/>
                      <wp:wrapNone/>
                      <wp:docPr id="460" name="Frame4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160655" cy="175260"/>
                      <wp:effectExtent l="0" t="0" r="0" b="0"/>
                      <wp:wrapNone/>
                      <wp:docPr id="461" name="Frame461"/>
                      <a:graphic xmlns:a="http://schemas.openxmlformats.org/drawingml/2006/main">
                        <a:graphicData uri="http://schemas.microsoft.com/office/word/2010/wordprocessingShape">
                          <wps:wsp>
                            <wps:cNvSpPr txBox="1"/>
                            <wps:spPr>
                              <a:xfrm>
                                <a:off x="0" y="0"/>
                                <a:ext cx="1606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480695" cy="175260"/>
                      <wp:effectExtent l="0" t="0" r="0" b="0"/>
                      <wp:wrapNone/>
                      <wp:docPr id="462" name="Frame462"/>
                      <a:graphic xmlns:a="http://schemas.openxmlformats.org/drawingml/2006/main">
                        <a:graphicData uri="http://schemas.microsoft.com/office/word/2010/wordprocessingShape">
                          <wps:wsp>
                            <wps:cNvSpPr txBox="1"/>
                            <wps:spPr>
                              <a:xfrm>
                                <a:off x="0" y="0"/>
                                <a:ext cx="480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248285" cy="175260"/>
                      <wp:effectExtent l="0" t="0" r="0" b="0"/>
                      <wp:wrapNone/>
                      <wp:docPr id="463" name="Frame463"/>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482600" cy="175260"/>
                      <wp:effectExtent l="0" t="0" r="0" b="0"/>
                      <wp:wrapNone/>
                      <wp:docPr id="464" name="Frame464"/>
                      <a:graphic xmlns:a="http://schemas.openxmlformats.org/drawingml/2006/main">
                        <a:graphicData uri="http://schemas.microsoft.com/office/word/2010/wordprocessingShape">
                          <wps:wsp>
                            <wps:cNvSpPr txBox="1"/>
                            <wps:spPr>
                              <a:xfrm>
                                <a:off x="0" y="0"/>
                                <a:ext cx="4826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200660" cy="175260"/>
                      <wp:effectExtent l="0" t="0" r="0" b="0"/>
                      <wp:wrapNone/>
                      <wp:docPr id="465" name="Frame465"/>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44"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32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757" w:type="dxa"/>
            <w:tcBorders/>
            <w:vAlign w:val="center"/>
          </w:tcPr>
          <w:p>
            <w:pPr>
              <w:pStyle w:val="TableContents"/>
              <w:bidi w:val="0"/>
              <w:spacing w:before="0" w:after="0"/>
              <w:ind w:left="0" w:right="0" w:hanging="0"/>
              <w:jc w:val="center"/>
              <w:rPr/>
            </w:pPr>
            <w:r>
              <w:rPr/>
              <w:t>​</w:t>
            </w:r>
          </w:p>
        </w:tc>
        <w:tc>
          <w:tcPr>
            <w:tcW w:w="391" w:type="dxa"/>
            <w:tcBorders/>
            <w:vAlign w:val="center"/>
          </w:tcPr>
          <w:p>
            <w:pPr>
              <w:pStyle w:val="TableContents"/>
              <w:bidi w:val="0"/>
              <w:spacing w:before="0" w:after="0"/>
              <w:ind w:left="0" w:right="0" w:hanging="0"/>
              <w:jc w:val="left"/>
              <w:rPr/>
            </w:pPr>
            <w:r>
              <w:rPr/>
              <w:t>​</w:t>
            </w:r>
          </w:p>
        </w:tc>
        <w:tc>
          <w:tcPr>
            <w:tcW w:w="760"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w:t>
            </w:r>
          </w:p>
        </w:tc>
      </w:tr>
      <w:tr>
        <w:trPr/>
        <w:tc>
          <w:tcPr>
            <w:tcW w:w="25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4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2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757" w:type="dxa"/>
            <w:tcBorders/>
            <w:vAlign w:val="center"/>
          </w:tcPr>
          <w:p>
            <w:pPr>
              <w:pStyle w:val="TableContents"/>
              <w:bidi w:val="0"/>
              <w:spacing w:before="0" w:after="0"/>
              <w:ind w:left="0" w:right="0" w:hanging="0"/>
              <w:jc w:val="center"/>
              <w:rPr/>
            </w:pPr>
            <w:r>
              <w:rPr/>
              <w:t>​</w:t>
            </w:r>
          </w:p>
        </w:tc>
        <w:tc>
          <w:tcPr>
            <w:tcW w:w="391" w:type="dxa"/>
            <w:tcBorders/>
            <w:vAlign w:val="center"/>
          </w:tcPr>
          <w:p>
            <w:pPr>
              <w:pStyle w:val="TableContents"/>
              <w:bidi w:val="0"/>
              <w:spacing w:before="0" w:after="0"/>
              <w:ind w:left="0" w:right="0" w:hanging="0"/>
              <w:jc w:val="left"/>
              <w:rPr/>
            </w:pPr>
            <w:r>
              <w:rPr/>
              <w:t>​</w:t>
            </w:r>
          </w:p>
        </w:tc>
        <w:tc>
          <w:tcPr>
            <w:tcW w:w="760"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w:t>
            </w:r>
          </w:p>
        </w:tc>
      </w:tr>
      <w:tr>
        <w:trPr/>
        <w:tc>
          <w:tcPr>
            <w:tcW w:w="253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thousands)</w:t>
            </w:r>
          </w:p>
        </w:tc>
        <w:tc>
          <w:tcPr>
            <w:tcW w:w="326" w:type="dxa"/>
            <w:tcBorders/>
            <w:vAlign w:val="center"/>
          </w:tcPr>
          <w:p>
            <w:pPr>
              <w:pStyle w:val="TableContents"/>
              <w:bidi w:val="0"/>
              <w:spacing w:before="0" w:after="0"/>
              <w:ind w:left="0" w:right="0" w:hanging="0"/>
              <w:jc w:val="left"/>
              <w:rPr/>
            </w:pPr>
            <w:r>
              <w:rPr/>
              <w:t>    </w:t>
            </w:r>
          </w:p>
        </w:tc>
        <w:tc>
          <w:tcPr>
            <w:tcW w:w="10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76" w:type="dxa"/>
            <w:tcBorders/>
            <w:vAlign w:val="center"/>
          </w:tcPr>
          <w:p>
            <w:pPr>
              <w:pStyle w:val="TableContents"/>
              <w:bidi w:val="0"/>
              <w:spacing w:before="0" w:after="0"/>
              <w:ind w:left="0" w:right="0" w:hanging="0"/>
              <w:jc w:val="left"/>
              <w:rPr/>
            </w:pPr>
            <w:r>
              <w:rPr/>
              <w:t>    </w:t>
            </w:r>
          </w:p>
        </w:tc>
        <w:tc>
          <w:tcPr>
            <w:tcW w:w="72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2161"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Period-Over-Period Change</w:t>
            </w:r>
          </w:p>
        </w:tc>
        <w:tc>
          <w:tcPr>
            <w:tcW w:w="316" w:type="dxa"/>
            <w:tcBorders/>
            <w:vAlign w:val="center"/>
          </w:tcPr>
          <w:p>
            <w:pPr>
              <w:pStyle w:val="TableContents"/>
              <w:bidi w:val="0"/>
              <w:spacing w:before="0" w:after="0"/>
              <w:ind w:left="0" w:right="0" w:hanging="0"/>
              <w:jc w:val="center"/>
              <w:rPr/>
            </w:pPr>
            <w:r>
              <w:rPr/>
              <w:t>​</w:t>
            </w:r>
          </w:p>
        </w:tc>
      </w:tr>
      <w:tr>
        <w:trPr/>
        <w:tc>
          <w:tcPr>
            <w:tcW w:w="25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 (income), net</w:t>
            </w:r>
          </w:p>
        </w:tc>
        <w:tc>
          <w:tcPr>
            <w:tcW w:w="326" w:type="dxa"/>
            <w:tcBorders/>
            <w:shd w:fill="CCEEFF" w:val="clear"/>
            <w:vAlign w:val="center"/>
          </w:tcPr>
          <w:p>
            <w:pPr>
              <w:pStyle w:val="TableContents"/>
              <w:bidi w:val="0"/>
              <w:spacing w:before="0" w:after="0"/>
              <w:ind w:left="0" w:right="0" w:hanging="0"/>
              <w:jc w:val="left"/>
              <w:rPr/>
            </w:pPr>
            <w:r>
              <w:rPr/>
              <w:t>    </w:t>
            </w:r>
          </w:p>
        </w:tc>
        <w:tc>
          <w:tcPr>
            <w:tcW w:w="24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(1,539)</w:t>
            </w:r>
          </w:p>
        </w:tc>
        <w:tc>
          <w:tcPr>
            <w:tcW w:w="376" w:type="dxa"/>
            <w:tcBorders/>
            <w:shd w:fill="CCEEFF" w:val="clear"/>
            <w:vAlign w:val="center"/>
          </w:tcPr>
          <w:p>
            <w:pPr>
              <w:pStyle w:val="TableContents"/>
              <w:bidi w:val="0"/>
              <w:spacing w:before="0" w:after="0"/>
              <w:ind w:left="0" w:right="0" w:hanging="0"/>
              <w:jc w:val="left"/>
              <w:rPr/>
            </w:pPr>
            <w:r>
              <w:rPr/>
              <w:t>    </w:t>
            </w:r>
          </w:p>
        </w:tc>
        <w:tc>
          <w:tcPr>
            <w:tcW w:w="24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w:t>
            </w:r>
          </w:p>
        </w:tc>
        <w:tc>
          <w:tcPr>
            <w:tcW w:w="326" w:type="dxa"/>
            <w:tcBorders/>
            <w:shd w:fill="CCEEFF" w:val="clear"/>
            <w:vAlign w:val="center"/>
          </w:tcPr>
          <w:p>
            <w:pPr>
              <w:pStyle w:val="TableContents"/>
              <w:bidi w:val="0"/>
              <w:spacing w:before="0" w:after="0"/>
              <w:ind w:left="0" w:right="0" w:hanging="0"/>
              <w:jc w:val="left"/>
              <w:rPr/>
            </w:pPr>
            <w:r>
              <w:rPr/>
              <w:t>    </w:t>
            </w:r>
          </w:p>
        </w:tc>
        <w:tc>
          <w:tcPr>
            <w:tcW w:w="25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(1,825)</w:t>
            </w:r>
          </w:p>
        </w:tc>
        <w:tc>
          <w:tcPr>
            <w:tcW w:w="391" w:type="dxa"/>
            <w:tcBorders/>
            <w:shd w:fill="CCEEFF" w:val="clear"/>
            <w:vAlign w:val="center"/>
          </w:tcPr>
          <w:p>
            <w:pPr>
              <w:pStyle w:val="TableContents"/>
              <w:bidi w:val="0"/>
              <w:spacing w:before="0" w:after="0"/>
              <w:ind w:left="0" w:right="0" w:hanging="0"/>
              <w:jc w:val="left"/>
              <w:rPr/>
            </w:pPr>
            <w:r>
              <w:rPr/>
              <w:t>    </w:t>
            </w:r>
          </w:p>
        </w:tc>
        <w:tc>
          <w:tcPr>
            <w:tcW w:w="7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(638.1)</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Interest expense (income), net increased to income of $1.5 million for the three months ended March 31, 2025, compared to an expense of $0.3 million for the same period in 2024. This change was mainly due to several factors: a $2.2 million increase in interest income primarily due to increased dollars invested during the period, a reduction of $0.2 million of interest expense related to the valuation of our prior year foreign currency forward contracts due to market fluctuations, and a $0.7 million decrease in interest costs related to the repayment of our term loan in the aggregate amount of $50,000 (the “Term Loan”), which was fully repaid in the second quarter of 2024. These interest income increases were partially offset by $0.6 million in interest expense and a $0.5 million increase in deferred financing costs related to our Notes (as defined below).  </w:t>
      </w:r>
    </w:p>
    <w:p>
      <w:pPr>
        <w:pStyle w:val="TextBody"/>
        <w:bidi w:val="0"/>
        <w:spacing w:before="0" w:after="0"/>
        <w:ind w:left="0" w:right="0" w:firstLine="36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b/>
          <w:sz w:val="20"/>
        </w:rPr>
        <w:t>Income Tax Benefit</w:t>
      </w:r>
      <w:r>
        <w:rPr>
          <w:rFonts w:ascii="Times New Roman;Times;serif" w:hAnsi="Times New Roman;Times;serif"/>
          <w:color w:val="FF0000"/>
          <w:sz w:val="20"/>
        </w:rPr>
        <w:t xml:space="preserve"> </w:t>
      </w:r>
    </w:p>
    <w:tbl>
      <w:tblPr>
        <w:tblW w:w="6984" w:type="dxa"/>
        <w:jc w:val="left"/>
        <w:tblInd w:w="0" w:type="dxa"/>
        <w:tblLayout w:type="fixed"/>
        <w:tblCellMar>
          <w:top w:w="0" w:type="dxa"/>
          <w:left w:w="0" w:type="dxa"/>
          <w:bottom w:w="0" w:type="dxa"/>
          <w:right w:w="0" w:type="dxa"/>
        </w:tblCellMar>
      </w:tblPr>
      <w:tblGrid>
        <w:gridCol w:w="1711"/>
        <w:gridCol w:w="326"/>
        <w:gridCol w:w="212"/>
        <w:gridCol w:w="696"/>
        <w:gridCol w:w="328"/>
        <w:gridCol w:w="212"/>
        <w:gridCol w:w="696"/>
        <w:gridCol w:w="326"/>
        <w:gridCol w:w="307"/>
        <w:gridCol w:w="700"/>
        <w:gridCol w:w="474"/>
        <w:gridCol w:w="680"/>
        <w:gridCol w:w="316"/>
      </w:tblGrid>
      <w:tr>
        <w:trPr/>
        <w:tc>
          <w:tcPr>
            <w:tcW w:w="17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1086485" cy="175260"/>
                      <wp:effectExtent l="0" t="0" r="0" b="0"/>
                      <wp:wrapNone/>
                      <wp:docPr id="466" name="Frame466"/>
                      <a:graphic xmlns:a="http://schemas.openxmlformats.org/drawingml/2006/main">
                        <a:graphicData uri="http://schemas.microsoft.com/office/word/2010/wordprocessingShape">
                          <wps:wsp>
                            <wps:cNvSpPr txBox="1"/>
                            <wps:spPr>
                              <a:xfrm>
                                <a:off x="0" y="0"/>
                                <a:ext cx="1086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207010" cy="175260"/>
                      <wp:effectExtent l="0" t="0" r="0" b="0"/>
                      <wp:wrapNone/>
                      <wp:docPr id="467" name="Frame46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134620" cy="175260"/>
                      <wp:effectExtent l="0" t="0" r="0" b="0"/>
                      <wp:wrapNone/>
                      <wp:docPr id="468" name="Frame468"/>
                      <a:graphic xmlns:a="http://schemas.openxmlformats.org/drawingml/2006/main">
                        <a:graphicData uri="http://schemas.microsoft.com/office/word/2010/wordprocessingShape">
                          <wps:wsp>
                            <wps:cNvSpPr txBox="1"/>
                            <wps:spPr>
                              <a:xfrm>
                                <a:off x="0" y="0"/>
                                <a:ext cx="134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441960" cy="175260"/>
                      <wp:effectExtent l="0" t="0" r="0" b="0"/>
                      <wp:wrapNone/>
                      <wp:docPr id="469" name="Frame469"/>
                      <a:graphic xmlns:a="http://schemas.openxmlformats.org/drawingml/2006/main">
                        <a:graphicData uri="http://schemas.microsoft.com/office/word/2010/wordprocessingShape">
                          <wps:wsp>
                            <wps:cNvSpPr txBox="1"/>
                            <wps:spPr>
                              <a:xfrm>
                                <a:off x="0" y="0"/>
                                <a:ext cx="441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208280" cy="175260"/>
                      <wp:effectExtent l="0" t="0" r="0" b="0"/>
                      <wp:wrapNone/>
                      <wp:docPr id="470" name="Frame470"/>
                      <a:graphic xmlns:a="http://schemas.openxmlformats.org/drawingml/2006/main">
                        <a:graphicData uri="http://schemas.microsoft.com/office/word/2010/wordprocessingShape">
                          <wps:wsp>
                            <wps:cNvSpPr txBox="1"/>
                            <wps:spPr>
                              <a:xfrm>
                                <a:off x="0" y="0"/>
                                <a:ext cx="2082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134620" cy="175260"/>
                      <wp:effectExtent l="0" t="0" r="0" b="0"/>
                      <wp:wrapNone/>
                      <wp:docPr id="471" name="Frame471"/>
                      <a:graphic xmlns:a="http://schemas.openxmlformats.org/drawingml/2006/main">
                        <a:graphicData uri="http://schemas.microsoft.com/office/word/2010/wordprocessingShape">
                          <wps:wsp>
                            <wps:cNvSpPr txBox="1"/>
                            <wps:spPr>
                              <a:xfrm>
                                <a:off x="0" y="0"/>
                                <a:ext cx="134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441960" cy="175260"/>
                      <wp:effectExtent l="0" t="0" r="0" b="0"/>
                      <wp:wrapNone/>
                      <wp:docPr id="472" name="Frame472"/>
                      <a:graphic xmlns:a="http://schemas.openxmlformats.org/drawingml/2006/main">
                        <a:graphicData uri="http://schemas.microsoft.com/office/word/2010/wordprocessingShape">
                          <wps:wsp>
                            <wps:cNvSpPr txBox="1"/>
                            <wps:spPr>
                              <a:xfrm>
                                <a:off x="0" y="0"/>
                                <a:ext cx="441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207010" cy="175260"/>
                      <wp:effectExtent l="0" t="0" r="0" b="0"/>
                      <wp:wrapNone/>
                      <wp:docPr id="473" name="Frame4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194945" cy="175260"/>
                      <wp:effectExtent l="0" t="0" r="0" b="0"/>
                      <wp:wrapNone/>
                      <wp:docPr id="474" name="Frame474"/>
                      <a:graphic xmlns:a="http://schemas.openxmlformats.org/drawingml/2006/main">
                        <a:graphicData uri="http://schemas.microsoft.com/office/word/2010/wordprocessingShape">
                          <wps:wsp>
                            <wps:cNvSpPr txBox="1"/>
                            <wps:spPr>
                              <a:xfrm>
                                <a:off x="0" y="0"/>
                                <a:ext cx="1949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444500" cy="175260"/>
                      <wp:effectExtent l="0" t="0" r="0" b="0"/>
                      <wp:wrapNone/>
                      <wp:docPr id="475" name="Frame475"/>
                      <a:graphic xmlns:a="http://schemas.openxmlformats.org/drawingml/2006/main">
                        <a:graphicData uri="http://schemas.microsoft.com/office/word/2010/wordprocessingShape">
                          <wps:wsp>
                            <wps:cNvSpPr txBox="1"/>
                            <wps:spPr>
                              <a:xfrm>
                                <a:off x="0" y="0"/>
                                <a:ext cx="4445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300990" cy="175260"/>
                      <wp:effectExtent l="0" t="0" r="0" b="0"/>
                      <wp:wrapNone/>
                      <wp:docPr id="476" name="Frame476"/>
                      <a:graphic xmlns:a="http://schemas.openxmlformats.org/drawingml/2006/main">
                        <a:graphicData uri="http://schemas.microsoft.com/office/word/2010/wordprocessingShape">
                          <wps:wsp>
                            <wps:cNvSpPr txBox="1"/>
                            <wps:spPr>
                              <a:xfrm>
                                <a:off x="0" y="0"/>
                                <a:ext cx="300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431800" cy="175260"/>
                      <wp:effectExtent l="0" t="0" r="0" b="0"/>
                      <wp:wrapNone/>
                      <wp:docPr id="477" name="Frame477"/>
                      <a:graphic xmlns:a="http://schemas.openxmlformats.org/drawingml/2006/main">
                        <a:graphicData uri="http://schemas.microsoft.com/office/word/2010/wordprocessingShape">
                          <wps:wsp>
                            <wps:cNvSpPr txBox="1"/>
                            <wps:spPr>
                              <a:xfrm>
                                <a:off x="0" y="0"/>
                                <a:ext cx="431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200660" cy="175260"/>
                      <wp:effectExtent l="0" t="0" r="0" b="0"/>
                      <wp:wrapNone/>
                      <wp:docPr id="478" name="Frame478"/>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44"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326" w:type="dxa"/>
            <w:tcBorders/>
            <w:vAlign w:val="center"/>
          </w:tcPr>
          <w:p>
            <w:pPr>
              <w:pStyle w:val="TableContents"/>
              <w:bidi w:val="0"/>
              <w:spacing w:before="0" w:after="0"/>
              <w:ind w:left="0" w:right="0" w:hanging="0"/>
              <w:jc w:val="left"/>
              <w:rPr/>
            </w:pPr>
            <w:r>
              <w:rPr/>
              <w:t>​</w:t>
            </w:r>
          </w:p>
        </w:tc>
        <w:tc>
          <w:tcPr>
            <w:tcW w:w="307" w:type="dxa"/>
            <w:tcBorders/>
            <w:vAlign w:val="center"/>
          </w:tcPr>
          <w:p>
            <w:pPr>
              <w:pStyle w:val="TableContents"/>
              <w:bidi w:val="0"/>
              <w:spacing w:before="0" w:after="0"/>
              <w:ind w:left="0" w:right="0" w:hanging="0"/>
              <w:jc w:val="left"/>
              <w:rPr/>
            </w:pPr>
            <w:r>
              <w:rPr/>
              <w:t>​</w:t>
            </w:r>
          </w:p>
        </w:tc>
        <w:tc>
          <w:tcPr>
            <w:tcW w:w="700" w:type="dxa"/>
            <w:tcBorders/>
            <w:vAlign w:val="center"/>
          </w:tcPr>
          <w:p>
            <w:pPr>
              <w:pStyle w:val="TableContents"/>
              <w:bidi w:val="0"/>
              <w:spacing w:before="0" w:after="0"/>
              <w:ind w:left="0" w:right="0" w:hanging="0"/>
              <w:jc w:val="center"/>
              <w:rPr/>
            </w:pPr>
            <w:r>
              <w:rPr/>
              <w:t>​</w:t>
            </w:r>
          </w:p>
        </w:tc>
        <w:tc>
          <w:tcPr>
            <w:tcW w:w="474" w:type="dxa"/>
            <w:tcBorders/>
            <w:vAlign w:val="center"/>
          </w:tcPr>
          <w:p>
            <w:pPr>
              <w:pStyle w:val="TableContents"/>
              <w:bidi w:val="0"/>
              <w:spacing w:before="0" w:after="0"/>
              <w:ind w:left="0" w:right="0" w:hanging="0"/>
              <w:jc w:val="left"/>
              <w:rPr/>
            </w:pPr>
            <w:r>
              <w:rPr/>
              <w:t>​</w:t>
            </w:r>
          </w:p>
        </w:tc>
        <w:tc>
          <w:tcPr>
            <w:tcW w:w="680"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w:t>
            </w:r>
          </w:p>
        </w:tc>
      </w:tr>
      <w:tr>
        <w:trPr/>
        <w:tc>
          <w:tcPr>
            <w:tcW w:w="17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4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26" w:type="dxa"/>
            <w:tcBorders/>
            <w:vAlign w:val="center"/>
          </w:tcPr>
          <w:p>
            <w:pPr>
              <w:pStyle w:val="TableContents"/>
              <w:bidi w:val="0"/>
              <w:spacing w:before="0" w:after="0"/>
              <w:ind w:left="0" w:right="0" w:hanging="0"/>
              <w:jc w:val="left"/>
              <w:rPr/>
            </w:pPr>
            <w:r>
              <w:rPr/>
              <w:t>​</w:t>
            </w:r>
          </w:p>
        </w:tc>
        <w:tc>
          <w:tcPr>
            <w:tcW w:w="307" w:type="dxa"/>
            <w:tcBorders/>
            <w:vAlign w:val="center"/>
          </w:tcPr>
          <w:p>
            <w:pPr>
              <w:pStyle w:val="TableContents"/>
              <w:bidi w:val="0"/>
              <w:spacing w:before="0" w:after="0"/>
              <w:ind w:left="0" w:right="0" w:hanging="0"/>
              <w:jc w:val="left"/>
              <w:rPr/>
            </w:pPr>
            <w:r>
              <w:rPr/>
              <w:t>​</w:t>
            </w:r>
          </w:p>
        </w:tc>
        <w:tc>
          <w:tcPr>
            <w:tcW w:w="700" w:type="dxa"/>
            <w:tcBorders/>
            <w:vAlign w:val="center"/>
          </w:tcPr>
          <w:p>
            <w:pPr>
              <w:pStyle w:val="TableContents"/>
              <w:bidi w:val="0"/>
              <w:spacing w:before="0" w:after="0"/>
              <w:ind w:left="0" w:right="0" w:hanging="0"/>
              <w:jc w:val="center"/>
              <w:rPr/>
            </w:pPr>
            <w:r>
              <w:rPr/>
              <w:t>​</w:t>
            </w:r>
          </w:p>
        </w:tc>
        <w:tc>
          <w:tcPr>
            <w:tcW w:w="474" w:type="dxa"/>
            <w:tcBorders/>
            <w:vAlign w:val="center"/>
          </w:tcPr>
          <w:p>
            <w:pPr>
              <w:pStyle w:val="TableContents"/>
              <w:bidi w:val="0"/>
              <w:spacing w:before="0" w:after="0"/>
              <w:ind w:left="0" w:right="0" w:hanging="0"/>
              <w:jc w:val="left"/>
              <w:rPr/>
            </w:pPr>
            <w:r>
              <w:rPr/>
              <w:t>​</w:t>
            </w:r>
          </w:p>
        </w:tc>
        <w:tc>
          <w:tcPr>
            <w:tcW w:w="680"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w:t>
            </w:r>
          </w:p>
        </w:tc>
      </w:tr>
      <w:tr>
        <w:trPr/>
        <w:tc>
          <w:tcPr>
            <w:tcW w:w="171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thousands)</w:t>
            </w:r>
          </w:p>
        </w:tc>
        <w:tc>
          <w:tcPr>
            <w:tcW w:w="326" w:type="dxa"/>
            <w:tcBorders/>
            <w:vAlign w:val="center"/>
          </w:tcPr>
          <w:p>
            <w:pPr>
              <w:pStyle w:val="TableContents"/>
              <w:bidi w:val="0"/>
              <w:spacing w:before="0" w:after="0"/>
              <w:ind w:left="0" w:right="0" w:hanging="0"/>
              <w:jc w:val="left"/>
              <w:rPr/>
            </w:pPr>
            <w:r>
              <w:rPr/>
              <w:t>    </w:t>
            </w:r>
          </w:p>
        </w:tc>
        <w:tc>
          <w:tcPr>
            <w:tcW w:w="90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8" w:type="dxa"/>
            <w:tcBorders/>
            <w:vAlign w:val="center"/>
          </w:tcPr>
          <w:p>
            <w:pPr>
              <w:pStyle w:val="TableContents"/>
              <w:bidi w:val="0"/>
              <w:spacing w:before="0" w:after="0"/>
              <w:ind w:left="0" w:right="0" w:hanging="0"/>
              <w:jc w:val="left"/>
              <w:rPr/>
            </w:pPr>
            <w:r>
              <w:rPr/>
              <w:t>    </w:t>
            </w:r>
          </w:p>
        </w:tc>
        <w:tc>
          <w:tcPr>
            <w:tcW w:w="90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2161"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Period-Over-Period Change</w:t>
            </w:r>
          </w:p>
        </w:tc>
        <w:tc>
          <w:tcPr>
            <w:tcW w:w="316" w:type="dxa"/>
            <w:tcBorders/>
            <w:vAlign w:val="center"/>
          </w:tcPr>
          <w:p>
            <w:pPr>
              <w:pStyle w:val="TableContents"/>
              <w:bidi w:val="0"/>
              <w:spacing w:before="0" w:after="0"/>
              <w:ind w:left="0" w:right="0" w:hanging="0"/>
              <w:jc w:val="center"/>
              <w:rPr/>
            </w:pPr>
            <w:r>
              <w:rPr/>
              <w:t>​</w:t>
            </w:r>
          </w:p>
        </w:tc>
      </w:tr>
      <w:tr>
        <w:trPr/>
        <w:tc>
          <w:tcPr>
            <w:tcW w:w="17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benefit</w:t>
            </w:r>
          </w:p>
        </w:tc>
        <w:tc>
          <w:tcPr>
            <w:tcW w:w="326" w:type="dxa"/>
            <w:tcBorders/>
            <w:shd w:fill="CCEEFF" w:val="clear"/>
            <w:vAlign w:val="center"/>
          </w:tcPr>
          <w:p>
            <w:pPr>
              <w:pStyle w:val="TableContents"/>
              <w:bidi w:val="0"/>
              <w:spacing w:before="0" w:after="0"/>
              <w:ind w:left="0" w:right="0" w:hanging="0"/>
              <w:jc w:val="left"/>
              <w:rPr/>
            </w:pPr>
            <w:r>
              <w:rPr/>
              <w:t>    </w:t>
            </w:r>
          </w:p>
        </w:tc>
        <w:tc>
          <w:tcPr>
            <w:tcW w:w="2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(5,105)</w:t>
            </w:r>
          </w:p>
        </w:tc>
        <w:tc>
          <w:tcPr>
            <w:tcW w:w="328" w:type="dxa"/>
            <w:tcBorders/>
            <w:shd w:fill="CCEEFF" w:val="clear"/>
            <w:vAlign w:val="center"/>
          </w:tcPr>
          <w:p>
            <w:pPr>
              <w:pStyle w:val="TableContents"/>
              <w:bidi w:val="0"/>
              <w:spacing w:before="0" w:after="0"/>
              <w:ind w:left="0" w:right="0" w:hanging="0"/>
              <w:jc w:val="left"/>
              <w:rPr/>
            </w:pPr>
            <w:r>
              <w:rPr/>
              <w:t>    </w:t>
            </w:r>
          </w:p>
        </w:tc>
        <w:tc>
          <w:tcPr>
            <w:tcW w:w="2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(4,535)</w:t>
            </w:r>
          </w:p>
        </w:tc>
        <w:tc>
          <w:tcPr>
            <w:tcW w:w="326" w:type="dxa"/>
            <w:tcBorders/>
            <w:shd w:fill="CCEEFF" w:val="clear"/>
            <w:vAlign w:val="center"/>
          </w:tcPr>
          <w:p>
            <w:pPr>
              <w:pStyle w:val="TableContents"/>
              <w:bidi w:val="0"/>
              <w:spacing w:before="0" w:after="0"/>
              <w:ind w:left="0" w:right="0" w:hanging="0"/>
              <w:jc w:val="left"/>
              <w:rPr/>
            </w:pPr>
            <w:r>
              <w:rPr/>
              <w:t>    </w:t>
            </w:r>
          </w:p>
        </w:tc>
        <w:tc>
          <w:tcPr>
            <w:tcW w:w="3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(570)</w:t>
            </w:r>
          </w:p>
        </w:tc>
        <w:tc>
          <w:tcPr>
            <w:tcW w:w="474" w:type="dxa"/>
            <w:tcBorders/>
            <w:shd w:fill="CCEEFF" w:val="clear"/>
            <w:vAlign w:val="center"/>
          </w:tcPr>
          <w:p>
            <w:pPr>
              <w:pStyle w:val="TableContents"/>
              <w:bidi w:val="0"/>
              <w:spacing w:before="0" w:after="0"/>
              <w:ind w:left="0" w:right="0" w:hanging="0"/>
              <w:jc w:val="left"/>
              <w:rPr/>
            </w:pPr>
            <w:r>
              <w:rPr/>
              <w:t>    </w:t>
            </w:r>
          </w:p>
        </w:tc>
        <w:tc>
          <w:tcPr>
            <w:tcW w:w="6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Income tax benefit was ($5.1) million and ($4.5) million for the three months ended March 31, 2025 and 2024, respectively. The change in tax benefit was primarily driven by higher tax benefits on exercises and vesting of stock awards recognized during the three months ended March 31, 2025, as well as tax credits and fluctuations in nondeductible contingent consideration liabilities. These income tax benefit increases were offset by increased limitations on deductions of certain employees’ compensation, fluctuations in valuation allowances on net deferred tax assets established for U.S.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and certain foreign jurisdictions, income tax expense on income allocated to state jurisdictions, and differences in tax rates on foreign jurisdiction income or loss.</w:t>
      </w:r>
    </w:p>
    <w:p>
      <w:pPr>
        <w:pStyle w:val="TextBody"/>
        <w:bidi w:val="0"/>
        <w:spacing w:before="0" w:after="0"/>
        <w:ind w:left="0" w:right="0" w:hanging="0"/>
        <w:jc w:val="both"/>
        <w:rPr/>
      </w:pPr>
      <w:r>
        <w:rPr/>
        <w:t>​</w:t>
      </w:r>
    </w:p>
    <w:p>
      <w:pPr>
        <w:pStyle w:val="TextBody"/>
        <w:bidi w:val="0"/>
        <w:spacing w:before="0" w:after="0"/>
        <w:ind w:left="0" w:right="0" w:hanging="0"/>
        <w:jc w:val="center"/>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 xml:space="preserve">Liquidity and Capital Resources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As of March 31, 2025, we had unrestricted cash and cash equivalents of $270.4 million. Our primary sources of capital include sales of our solutions, proceeds from bank lending facilities, and the offering of existing or future classes of stock.</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As of March 31, 2025, we had a credit agreement with a banking syndicate (the “Credit Agreement”) that provides a $300.0 million revolving facility (the “Line of Credit”). There were no outstanding borrowings under the Credit Agreement at March 31, 2025.</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April 26, 2024, we closed a private offering of $345.0 million aggregate principal amount of 0.750% Convertible Senior Notes due in 2029 (the “Notes”). The net proceeds from the offering of the Notes were $333.7 million, after deducting the initial purchasers’ discount and commissions, and other transaction and offering expenses. For additional information on the Notes, refer to our 2024 Annual Report.</w:t>
      </w:r>
    </w:p>
    <w:p>
      <w:pPr>
        <w:pStyle w:val="TextBody"/>
        <w:bidi w:val="0"/>
        <w:spacing w:before="0" w:after="0"/>
        <w:ind w:left="0" w:right="0" w:firstLine="360"/>
        <w:jc w:val="both"/>
        <w:rPr>
          <w:color w:val="7030A0"/>
        </w:rPr>
      </w:pPr>
      <w:r>
        <w:rPr>
          <w:color w:val="7030A0"/>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We believe that our existing cash resources and our Line of Credit will be sufficient to meet our capital requirements and fund our operations for the next 12 months as well as our longer-term liquidity needs. If an early conversion notice occurs on our Notes, we have the option to pay cash, shares of our Class A common stock, or a combination of both. Also, we expect to have access to additional sources of funds in the capital markets, and we may, from time to time, seek additional capital through a combination of additional debt and/or equity financings. If we were to raise additional funds by issuing equity securities, our stockholders may experience dilution. Debt financing, if available, may involve covenants restricting our operations or our ability to incur additional debt. Any debt financing or additional equity that we raise may contain terms that are not favorable to us or our stockholders. Additional financing may not be available at all, or in amounts or on terms unacceptable to us.</w:t>
      </w:r>
    </w:p>
    <w:p>
      <w:pPr>
        <w:pStyle w:val="TextBody"/>
        <w:bidi w:val="0"/>
        <w:spacing w:before="0" w:after="0"/>
        <w:ind w:left="0" w:right="0" w:firstLine="360"/>
        <w:jc w:val="both"/>
        <w:rPr>
          <w:color w:val="7030A0"/>
        </w:rPr>
      </w:pPr>
      <w:r>
        <w:rPr>
          <w:color w:val="7030A0"/>
        </w:rPr>
        <w:t>​</w:t>
      </w:r>
    </w:p>
    <w:p>
      <w:pPr>
        <w:pStyle w:val="TextBody"/>
        <w:bidi w:val="0"/>
        <w:spacing w:before="0" w:after="0"/>
        <w:ind w:left="0" w:right="0" w:firstLine="360"/>
        <w:jc w:val="both"/>
        <w:rPr>
          <w:color w:val="7030A0"/>
        </w:rPr>
      </w:pPr>
      <w:r>
        <w:rPr>
          <w:color w:val="7030A0"/>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following table presents a summary of our cash flows for the periods indicated:</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5554"/>
        <w:gridCol w:w="211"/>
        <w:gridCol w:w="795"/>
        <w:gridCol w:w="109"/>
        <w:gridCol w:w="211"/>
        <w:gridCol w:w="795"/>
        <w:gridCol w:w="109"/>
        <w:gridCol w:w="211"/>
        <w:gridCol w:w="795"/>
        <w:gridCol w:w="146"/>
        <w:gridCol w:w="840"/>
        <w:gridCol w:w="271"/>
        <w:gridCol w:w="158"/>
      </w:tblGrid>
      <w:tr>
        <w:trPr/>
        <w:tc>
          <w:tcPr>
            <w:tcW w:w="55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3526790" cy="175260"/>
                      <wp:effectExtent l="0" t="0" r="0" b="0"/>
                      <wp:wrapNone/>
                      <wp:docPr id="479" name="Frame479"/>
                      <a:graphic xmlns:a="http://schemas.openxmlformats.org/drawingml/2006/main">
                        <a:graphicData uri="http://schemas.microsoft.com/office/word/2010/wordprocessingShape">
                          <wps:wsp>
                            <wps:cNvSpPr txBox="1"/>
                            <wps:spPr>
                              <a:xfrm>
                                <a:off x="0" y="0"/>
                                <a:ext cx="3526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133985" cy="175260"/>
                      <wp:effectExtent l="0" t="0" r="0" b="0"/>
                      <wp:wrapNone/>
                      <wp:docPr id="480" name="Frame48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504825" cy="175260"/>
                      <wp:effectExtent l="0" t="0" r="0" b="0"/>
                      <wp:wrapNone/>
                      <wp:docPr id="481" name="Frame481"/>
                      <a:graphic xmlns:a="http://schemas.openxmlformats.org/drawingml/2006/main">
                        <a:graphicData uri="http://schemas.microsoft.com/office/word/2010/wordprocessingShape">
                          <wps:wsp>
                            <wps:cNvSpPr txBox="1"/>
                            <wps:spPr>
                              <a:xfrm>
                                <a:off x="0" y="0"/>
                                <a:ext cx="504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69215" cy="175260"/>
                      <wp:effectExtent l="0" t="0" r="0" b="0"/>
                      <wp:wrapNone/>
                      <wp:docPr id="482" name="Frame48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133985" cy="175260"/>
                      <wp:effectExtent l="0" t="0" r="0" b="0"/>
                      <wp:wrapNone/>
                      <wp:docPr id="483" name="Frame48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504825" cy="175260"/>
                      <wp:effectExtent l="0" t="0" r="0" b="0"/>
                      <wp:wrapNone/>
                      <wp:docPr id="484" name="Frame484"/>
                      <a:graphic xmlns:a="http://schemas.openxmlformats.org/drawingml/2006/main">
                        <a:graphicData uri="http://schemas.microsoft.com/office/word/2010/wordprocessingShape">
                          <wps:wsp>
                            <wps:cNvSpPr txBox="1"/>
                            <wps:spPr>
                              <a:xfrm>
                                <a:off x="0" y="0"/>
                                <a:ext cx="504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6">
                      <wp:simplePos x="0" y="0"/>
                      <wp:positionH relativeFrom="character">
                        <wp:align>left</wp:align>
                      </wp:positionH>
                      <wp:positionV relativeFrom="line">
                        <wp:posOffset>635</wp:posOffset>
                      </wp:positionV>
                      <wp:extent cx="69215" cy="175260"/>
                      <wp:effectExtent l="0" t="0" r="0" b="0"/>
                      <wp:wrapNone/>
                      <wp:docPr id="485" name="Frame48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133985" cy="175260"/>
                      <wp:effectExtent l="0" t="0" r="0" b="0"/>
                      <wp:wrapNone/>
                      <wp:docPr id="486" name="Frame48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504825" cy="175260"/>
                      <wp:effectExtent l="0" t="0" r="0" b="0"/>
                      <wp:wrapNone/>
                      <wp:docPr id="487" name="Frame487"/>
                      <a:graphic xmlns:a="http://schemas.openxmlformats.org/drawingml/2006/main">
                        <a:graphicData uri="http://schemas.microsoft.com/office/word/2010/wordprocessingShape">
                          <wps:wsp>
                            <wps:cNvSpPr txBox="1"/>
                            <wps:spPr>
                              <a:xfrm>
                                <a:off x="0" y="0"/>
                                <a:ext cx="504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92710" cy="175260"/>
                      <wp:effectExtent l="0" t="0" r="0" b="0"/>
                      <wp:wrapNone/>
                      <wp:docPr id="488" name="Frame488"/>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0">
                      <wp:simplePos x="0" y="0"/>
                      <wp:positionH relativeFrom="character">
                        <wp:align>left</wp:align>
                      </wp:positionH>
                      <wp:positionV relativeFrom="line">
                        <wp:posOffset>635</wp:posOffset>
                      </wp:positionV>
                      <wp:extent cx="533400" cy="175260"/>
                      <wp:effectExtent l="0" t="0" r="0" b="0"/>
                      <wp:wrapNone/>
                      <wp:docPr id="489" name="Frame489"/>
                      <a:graphic xmlns:a="http://schemas.openxmlformats.org/drawingml/2006/main">
                        <a:graphicData uri="http://schemas.microsoft.com/office/word/2010/wordprocessingShape">
                          <wps:wsp>
                            <wps:cNvSpPr txBox="1"/>
                            <wps:spPr>
                              <a:xfrm>
                                <a:off x="0" y="0"/>
                                <a:ext cx="533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1">
                      <wp:simplePos x="0" y="0"/>
                      <wp:positionH relativeFrom="character">
                        <wp:align>left</wp:align>
                      </wp:positionH>
                      <wp:positionV relativeFrom="line">
                        <wp:posOffset>635</wp:posOffset>
                      </wp:positionV>
                      <wp:extent cx="172085" cy="175260"/>
                      <wp:effectExtent l="0" t="0" r="0" b="0"/>
                      <wp:wrapNone/>
                      <wp:docPr id="490" name="Frame490"/>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2">
                      <wp:simplePos x="0" y="0"/>
                      <wp:positionH relativeFrom="character">
                        <wp:align>left</wp:align>
                      </wp:positionH>
                      <wp:positionV relativeFrom="line">
                        <wp:posOffset>635</wp:posOffset>
                      </wp:positionV>
                      <wp:extent cx="100330" cy="175260"/>
                      <wp:effectExtent l="0" t="0" r="0" b="0"/>
                      <wp:wrapNone/>
                      <wp:docPr id="491" name="Frame491"/>
                      <a:graphic xmlns:a="http://schemas.openxmlformats.org/drawingml/2006/main">
                        <a:graphicData uri="http://schemas.microsoft.com/office/word/2010/wordprocessingShape">
                          <wps:wsp>
                            <wps:cNvSpPr txBox="1"/>
                            <wps:spPr>
                              <a:xfrm>
                                <a:off x="0" y="0"/>
                                <a:ext cx="1003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554" w:type="dxa"/>
            <w:tcBorders/>
            <w:vAlign w:val="center"/>
          </w:tcPr>
          <w:p>
            <w:pPr>
              <w:pStyle w:val="TableContents"/>
              <w:bidi w:val="0"/>
              <w:spacing w:before="0" w:after="0"/>
              <w:ind w:left="0" w:right="0" w:hanging="0"/>
              <w:jc w:val="left"/>
              <w:rPr/>
            </w:pPr>
            <w:r>
              <w:rPr/>
              <w:t>​</w:t>
            </w:r>
          </w:p>
        </w:tc>
        <w:tc>
          <w:tcPr>
            <w:tcW w:w="2121"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795"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840"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158" w:type="dxa"/>
            <w:tcBorders/>
            <w:vAlign w:val="center"/>
          </w:tcPr>
          <w:p>
            <w:pPr>
              <w:pStyle w:val="TableContents"/>
              <w:bidi w:val="0"/>
              <w:spacing w:before="0" w:after="0"/>
              <w:ind w:left="0" w:right="0" w:hanging="0"/>
              <w:jc w:val="center"/>
              <w:rPr/>
            </w:pPr>
            <w:r>
              <w:rPr/>
              <w:t>​</w:t>
            </w:r>
          </w:p>
        </w:tc>
      </w:tr>
      <w:tr>
        <w:trPr/>
        <w:tc>
          <w:tcPr>
            <w:tcW w:w="5554" w:type="dxa"/>
            <w:tcBorders/>
            <w:vAlign w:val="center"/>
          </w:tcPr>
          <w:p>
            <w:pPr>
              <w:pStyle w:val="TableContents"/>
              <w:bidi w:val="0"/>
              <w:spacing w:before="0" w:after="0"/>
              <w:ind w:left="0" w:right="0" w:hanging="0"/>
              <w:jc w:val="left"/>
              <w:rPr/>
            </w:pPr>
            <w:r>
              <w:rPr/>
              <w:t>​</w:t>
            </w:r>
          </w:p>
        </w:tc>
        <w:tc>
          <w:tcPr>
            <w:tcW w:w="212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795"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center"/>
              <w:rPr/>
            </w:pPr>
            <w:r>
              <w:rPr/>
              <w:t>​</w:t>
            </w:r>
          </w:p>
        </w:tc>
        <w:tc>
          <w:tcPr>
            <w:tcW w:w="840"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158" w:type="dxa"/>
            <w:tcBorders/>
            <w:vAlign w:val="center"/>
          </w:tcPr>
          <w:p>
            <w:pPr>
              <w:pStyle w:val="TableContents"/>
              <w:bidi w:val="0"/>
              <w:spacing w:before="0" w:after="0"/>
              <w:ind w:left="0" w:right="0" w:hanging="0"/>
              <w:jc w:val="center"/>
              <w:rPr/>
            </w:pPr>
            <w:r>
              <w:rPr/>
              <w:t>​</w:t>
            </w:r>
          </w:p>
        </w:tc>
      </w:tr>
      <w:tr>
        <w:trPr/>
        <w:tc>
          <w:tcPr>
            <w:tcW w:w="5554"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thousands)</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79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center"/>
              <w:rPr/>
            </w:pPr>
            <w:r>
              <w:rPr/>
              <w:t>​</w:t>
            </w:r>
          </w:p>
        </w:tc>
        <w:tc>
          <w:tcPr>
            <w:tcW w:w="10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0"/>
              <w:ind w:left="0" w:right="0" w:hanging="0"/>
              <w:jc w:val="center"/>
              <w:rPr/>
            </w:pPr>
            <w:r>
              <w:rPr/>
              <w:t>​</w:t>
            </w:r>
          </w:p>
        </w:tc>
        <w:tc>
          <w:tcPr>
            <w:tcW w:w="226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Year-Over-Year Change</w:t>
            </w:r>
          </w:p>
        </w:tc>
        <w:tc>
          <w:tcPr>
            <w:tcW w:w="158" w:type="dxa"/>
            <w:tcBorders/>
            <w:vAlign w:val="center"/>
          </w:tcPr>
          <w:p>
            <w:pPr>
              <w:pStyle w:val="TableContents"/>
              <w:bidi w:val="0"/>
              <w:spacing w:before="0" w:after="0"/>
              <w:ind w:left="0" w:right="0" w:hanging="0"/>
              <w:jc w:val="center"/>
              <w:rPr/>
            </w:pPr>
            <w:r>
              <w:rPr/>
              <w:t>​</w:t>
            </w:r>
          </w:p>
        </w:tc>
      </w:tr>
      <w:tr>
        <w:trPr/>
        <w:tc>
          <w:tcPr>
            <w:tcW w:w="55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operating activities</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14,805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24,566</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(9,761)</w:t>
            </w:r>
          </w:p>
        </w:tc>
        <w:tc>
          <w:tcPr>
            <w:tcW w:w="146" w:type="dxa"/>
            <w:tcBorders/>
            <w:shd w:fill="CCEEFF" w:val="clear"/>
            <w:vAlign w:val="center"/>
          </w:tcPr>
          <w:p>
            <w:pPr>
              <w:pStyle w:val="TableContents"/>
              <w:bidi w:val="0"/>
              <w:spacing w:before="0" w:after="0"/>
              <w:ind w:left="0" w:right="0" w:hanging="0"/>
              <w:jc w:val="right"/>
              <w:rPr/>
            </w:pPr>
            <w:r>
              <w:rPr/>
              <w:t> </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8" w:type="dxa"/>
            <w:tcBorders/>
            <w:shd w:fill="CCEEFF" w:val="clear"/>
            <w:vAlign w:val="center"/>
          </w:tcPr>
          <w:p>
            <w:pPr>
              <w:pStyle w:val="TableContents"/>
              <w:bidi w:val="0"/>
              <w:spacing w:before="0" w:after="0"/>
              <w:ind w:left="0" w:right="0" w:hanging="0"/>
              <w:jc w:val="left"/>
              <w:rPr/>
            </w:pPr>
            <w:r>
              <w:rPr/>
              <w:t>​</w:t>
            </w:r>
          </w:p>
        </w:tc>
      </w:tr>
      <w:tr>
        <w:trPr/>
        <w:tc>
          <w:tcPr>
            <w:tcW w:w="555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investing activities</w:t>
            </w:r>
          </w:p>
        </w:tc>
        <w:tc>
          <w:tcPr>
            <w:tcW w:w="211" w:type="dxa"/>
            <w:tcBorders/>
            <w:vAlign w:val="center"/>
          </w:tcPr>
          <w:p>
            <w:pPr>
              <w:pStyle w:val="TableContents"/>
              <w:bidi w:val="0"/>
              <w:spacing w:before="0" w:after="0"/>
              <w:ind w:left="0" w:right="0" w:hanging="0"/>
              <w:jc w:val="left"/>
              <w:rPr/>
            </w:pPr>
            <w:r>
              <w:rPr/>
              <w:t>​</w:t>
            </w:r>
          </w:p>
        </w:tc>
        <w:tc>
          <w:tcPr>
            <w:tcW w:w="7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(17,846)</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(19,535)</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7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1,689</w:t>
            </w:r>
          </w:p>
        </w:tc>
        <w:tc>
          <w:tcPr>
            <w:tcW w:w="146" w:type="dxa"/>
            <w:tcBorders/>
            <w:vAlign w:val="center"/>
          </w:tcPr>
          <w:p>
            <w:pPr>
              <w:pStyle w:val="TableContents"/>
              <w:bidi w:val="0"/>
              <w:spacing w:before="0" w:after="0"/>
              <w:ind w:left="0" w:right="0" w:hanging="0"/>
              <w:jc w:val="right"/>
              <w:rPr/>
            </w:pPr>
            <w:r>
              <w:rPr/>
              <w:t>​</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8" w:type="dxa"/>
            <w:tcBorders/>
            <w:vAlign w:val="center"/>
          </w:tcPr>
          <w:p>
            <w:pPr>
              <w:pStyle w:val="TableContents"/>
              <w:bidi w:val="0"/>
              <w:spacing w:before="0" w:after="0"/>
              <w:ind w:left="0" w:right="0" w:hanging="0"/>
              <w:jc w:val="left"/>
              <w:rPr/>
            </w:pPr>
            <w:r>
              <w:rPr/>
              <w:t>​</w:t>
            </w:r>
          </w:p>
        </w:tc>
      </w:tr>
      <w:tr>
        <w:trPr/>
        <w:tc>
          <w:tcPr>
            <w:tcW w:w="55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financing activities</w:t>
            </w:r>
          </w:p>
        </w:tc>
        <w:tc>
          <w:tcPr>
            <w:tcW w:w="211" w:type="dxa"/>
            <w:tcBorders/>
            <w:shd w:fill="CCEEFF" w:val="clear"/>
            <w:vAlign w:val="center"/>
          </w:tcPr>
          <w:p>
            <w:pPr>
              <w:pStyle w:val="TableContents"/>
              <w:bidi w:val="0"/>
              <w:spacing w:before="0" w:after="0"/>
              <w:ind w:left="0" w:right="0" w:hanging="0"/>
              <w:jc w:val="left"/>
              <w:rPr/>
            </w:pPr>
            <w:r>
              <w:rPr/>
              <w:t>​</w:t>
            </w:r>
          </w:p>
        </w:tc>
        <w:tc>
          <w:tcPr>
            <w:tcW w:w="7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(20,653)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(19,500)</w:t>
            </w:r>
          </w:p>
        </w:tc>
        <w:tc>
          <w:tcPr>
            <w:tcW w:w="146" w:type="dxa"/>
            <w:tcBorders/>
            <w:shd w:fill="CCEEFF" w:val="clear"/>
            <w:vAlign w:val="center"/>
          </w:tcPr>
          <w:p>
            <w:pPr>
              <w:pStyle w:val="TableContents"/>
              <w:bidi w:val="0"/>
              <w:spacing w:before="0" w:after="0"/>
              <w:ind w:left="0" w:right="0" w:hanging="0"/>
              <w:jc w:val="right"/>
              <w:rPr/>
            </w:pPr>
            <w:r>
              <w:rPr/>
              <w:t>​</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(1,691.2)</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8" w:type="dxa"/>
            <w:tcBorders/>
            <w:shd w:fill="CCEEFF" w:val="clear"/>
            <w:vAlign w:val="center"/>
          </w:tcPr>
          <w:p>
            <w:pPr>
              <w:pStyle w:val="TableContents"/>
              <w:bidi w:val="0"/>
              <w:spacing w:before="0" w:after="0"/>
              <w:ind w:left="0" w:right="0" w:hanging="0"/>
              <w:jc w:val="left"/>
              <w:rPr/>
            </w:pPr>
            <w:r>
              <w:rPr/>
              <w:t>​</w:t>
            </w:r>
          </w:p>
        </w:tc>
      </w:tr>
      <w:tr>
        <w:trPr/>
        <w:tc>
          <w:tcPr>
            <w:tcW w:w="555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foreign exchange rate changes</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1,310</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(349)</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1,659</w:t>
            </w:r>
          </w:p>
        </w:tc>
        <w:tc>
          <w:tcPr>
            <w:tcW w:w="146" w:type="dxa"/>
            <w:tcBorders/>
            <w:vAlign w:val="center"/>
          </w:tcPr>
          <w:p>
            <w:pPr>
              <w:pStyle w:val="TableContents"/>
              <w:bidi w:val="0"/>
              <w:spacing w:before="0" w:after="0"/>
              <w:ind w:left="0" w:right="0" w:hanging="0"/>
              <w:jc w:val="right"/>
              <w:rPr/>
            </w:pPr>
            <w:r>
              <w:rPr/>
              <w:t>​</w:t>
            </w:r>
          </w:p>
        </w:tc>
        <w:tc>
          <w:tcPr>
            <w:tcW w:w="8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475.4</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8" w:type="dxa"/>
            <w:tcBorders/>
            <w:vAlign w:val="center"/>
          </w:tcPr>
          <w:p>
            <w:pPr>
              <w:pStyle w:val="TableContents"/>
              <w:bidi w:val="0"/>
              <w:spacing w:before="0" w:after="0"/>
              <w:ind w:left="0" w:right="0" w:hanging="0"/>
              <w:jc w:val="left"/>
              <w:rPr/>
            </w:pPr>
            <w:r>
              <w:rPr/>
              <w:t>​</w:t>
            </w:r>
          </w:p>
        </w:tc>
      </w:tr>
      <w:tr>
        <w:trPr/>
        <w:tc>
          <w:tcPr>
            <w:tcW w:w="55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increase (decrease) in cash, cash equivalents and restricted cash</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(22,384)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3,529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(25,913)</w:t>
            </w:r>
          </w:p>
        </w:tc>
        <w:tc>
          <w:tcPr>
            <w:tcW w:w="146" w:type="dxa"/>
            <w:tcBorders/>
            <w:shd w:fill="CCEEFF" w:val="clear"/>
            <w:vAlign w:val="center"/>
          </w:tcPr>
          <w:p>
            <w:pPr>
              <w:pStyle w:val="TableContents"/>
              <w:bidi w:val="0"/>
              <w:spacing w:before="0" w:after="0"/>
              <w:ind w:left="0" w:right="0" w:hanging="0"/>
              <w:jc w:val="right"/>
              <w:rPr/>
            </w:pPr>
            <w:r>
              <w:rPr/>
              <w:t>​</w:t>
            </w:r>
          </w:p>
        </w:tc>
        <w:tc>
          <w:tcPr>
            <w:tcW w:w="840" w:type="dxa"/>
            <w:tcBorders/>
            <w:shd w:fill="CCEEFF" w:val="clear"/>
            <w:vAlign w:val="center"/>
          </w:tcPr>
          <w:p>
            <w:pPr>
              <w:pStyle w:val="TableContents"/>
              <w:bidi w:val="0"/>
              <w:spacing w:before="0" w:after="0"/>
              <w:ind w:left="0" w:right="0" w:hanging="0"/>
              <w:jc w:val="righ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158"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lineRule="auto" w:line="302" w:before="0" w:after="0"/>
        <w:ind w:left="0" w:right="0" w:firstLine="360"/>
        <w:jc w:val="both"/>
        <w:rPr>
          <w:rFonts w:ascii="Times New Roman;Times;serif" w:hAnsi="Times New Roman;Times;serif"/>
          <w:sz w:val="20"/>
        </w:rPr>
      </w:pPr>
      <w:r>
        <w:rPr>
          <w:rFonts w:ascii="Times New Roman;Times;serif" w:hAnsi="Times New Roman;Times;serif"/>
          <w:b/>
          <w:i/>
          <w:sz w:val="20"/>
        </w:rPr>
        <w:t xml:space="preserve">Operating Activities. </w:t>
      </w:r>
      <w:r>
        <w:rPr>
          <w:rFonts w:ascii="Times New Roman;Times;serif" w:hAnsi="Times New Roman;Times;serif"/>
          <w:sz w:val="20"/>
        </w:rPr>
        <w:t>Net cash provided by operating activities of $14.8 million for the three months ended March 31, 2025 consisted of net income of $11.1 million and adjustments for non-cash charges of $30.3 million, which were partly offset by cash outflows of $26.7 million related to changes in operating assets and liabilities. The change in operating assets and liabilities was primarily driven by a decrease in accrued and deferred compensation and accrued expenses, and an increase in prepaid expenses and other current assets due to the timing of cash payments during the period. These changes were partially offset by an increase in deferred revenue and a decrease in accounts receivable, primarily due to customer growth and the timing of cash collections during the period.</w:t>
      </w:r>
    </w:p>
    <w:p>
      <w:pPr>
        <w:pStyle w:val="TextBody"/>
        <w:bidi w:val="0"/>
        <w:spacing w:lineRule="auto" w:line="302" w:before="0" w:after="0"/>
        <w:ind w:left="0" w:right="0" w:firstLine="360"/>
        <w:jc w:val="both"/>
        <w:rPr/>
      </w:pPr>
      <w:r>
        <w:rPr/>
        <w:t>​</w:t>
      </w:r>
    </w:p>
    <w:p>
      <w:pPr>
        <w:pStyle w:val="TextBody"/>
        <w:bidi w:val="0"/>
        <w:spacing w:lineRule="auto" w:line="302" w:before="0" w:after="0"/>
        <w:ind w:left="0" w:right="0" w:firstLine="360"/>
        <w:jc w:val="both"/>
        <w:rPr>
          <w:rFonts w:ascii="Times New Roman;Times;serif" w:hAnsi="Times New Roman;Times;serif"/>
          <w:sz w:val="20"/>
        </w:rPr>
      </w:pPr>
      <w:r>
        <w:rPr>
          <w:rFonts w:ascii="Times New Roman;Times;serif" w:hAnsi="Times New Roman;Times;serif"/>
          <w:sz w:val="20"/>
        </w:rPr>
        <w:t xml:space="preserve">Net cash provided by operating activities of $24.6 million for the three months ended March 31, 2024 consisted of net income of $2.7 million, adjusted for non-cash charges of $36.8 million, which was partially offset by cash outflows of $14.9 million from changes in operating assets and liabilities. The change in operating assets and liabilities was primarily driven by decreases in accrued and deferred compensation and accrued expenses, and an increase in prepaid expenses and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302" w:before="0" w:after="0"/>
        <w:ind w:left="0" w:right="0" w:hanging="0"/>
        <w:jc w:val="both"/>
        <w:rPr>
          <w:rFonts w:ascii="Times New Roman;Times;serif" w:hAnsi="Times New Roman;Times;serif"/>
          <w:sz w:val="20"/>
        </w:rPr>
      </w:pPr>
      <w:r>
        <w:rPr>
          <w:rFonts w:ascii="Times New Roman;Times;serif" w:hAnsi="Times New Roman;Times;serif"/>
          <w:sz w:val="20"/>
        </w:rPr>
        <w:t>other current assets. These movements were primarily due to the timing of cash payments. These changes were partially offset by an increase in deferred revenue and a decrease in accounts receivable, primarily due to customer growth and cash collections during the period.</w:t>
      </w:r>
    </w:p>
    <w:p>
      <w:pPr>
        <w:pStyle w:val="TextBody"/>
        <w:bidi w:val="0"/>
        <w:spacing w:lineRule="auto" w:line="302"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b/>
          <w:i/>
          <w:sz w:val="20"/>
        </w:rPr>
        <w:t xml:space="preserve">Investing Activities. </w:t>
      </w:r>
      <w:r>
        <w:rPr>
          <w:rFonts w:ascii="Times New Roman;Times;serif" w:hAnsi="Times New Roman;Times;serif"/>
          <w:sz w:val="20"/>
        </w:rPr>
        <w:t>Net cash used in investing activities of $17.8 million for the three months ended March 31, 2025 consisted of investments in property and equipment, and capitalized software of $21.4 million and $5.7 million, respectively, related to investments in infrastructure, new products, and enhancements to existing products. Additionally, we invested $2.4 million in available-for-sale investment securities, which was more than offset by proceeds of $11.6 million received during the period for sales and maturities in our investment securities.</w:t>
      </w:r>
    </w:p>
    <w:p>
      <w:pPr>
        <w:pStyle w:val="TextBody"/>
        <w:bidi w:val="0"/>
        <w:spacing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Net cash used in investing activities of $19.5 million for the three months ended March 31, 2024 consisted of investments in property and equipment, and capitalized software of $14.4 million and $5.6 million, respectively, related to investments in infrastructure, new products, and enhancements to existing products. Additionally, we invested $4.3 million in available-for-sale investment securities, which was offset by proceeds of $4.8 million received during the period for sales and maturities in our investment securities.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b/>
          <w:i/>
          <w:sz w:val="20"/>
        </w:rPr>
        <w:t>Financing Activities.</w:t>
      </w:r>
      <w:r>
        <w:rPr>
          <w:rFonts w:ascii="Times New Roman;Times;serif" w:hAnsi="Times New Roman;Times;serif"/>
          <w:sz w:val="20"/>
        </w:rPr>
        <w:t xml:space="preserve"> Net cash used in financing activities of $20.7 million for the three months ended March 31, 2025 consisted of $25.0 million in payments for taxes related to the net share settlement of stock-based awards, which were partially offset by a $3.2 million increase in customer funds obligations, primarily due to timing differences between receipt of funds from customers and taxing jurisdiction withdrawals of these funds, and $1.2 million in proceeds from the exercise of stock options.</w:t>
      </w:r>
    </w:p>
    <w:p>
      <w:pPr>
        <w:pStyle w:val="TextBody"/>
        <w:bidi w:val="0"/>
        <w:spacing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Net cash used in financing activities of $1.2 million for the three months ended March 31, 2024 consisted of $17.9 million in payments for taxes related to the net share settlement of stock-based awards, and $0.6 million used for principal debt repayments. These transactions were partially offset by a $15.9 million increase in customer funds obligations, primarily due to timing differences between receipt of funds from customers and taxing jurisdiction withdrawals of these funds, and $1.5 million in proceeds from the exercise of stock options.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b/>
          <w:i/>
          <w:sz w:val="20"/>
        </w:rPr>
        <w:t>Debt</w:t>
      </w:r>
      <w:r>
        <w:rPr>
          <w:rFonts w:ascii="Times New Roman;Times;serif" w:hAnsi="Times New Roman;Times;serif"/>
          <w:sz w:val="20"/>
        </w:rPr>
        <w:t>. As of March 31, 2025, we had a $300.0 million Line of Credit with no outstanding borrowings in connection with our Credit Agreement. As of March 31, 2025, we had $345.0 million aggregate principal amount of debt outstanding related to our Notes. For additional information on our debt obligations refer to Note 7, “Debt” to the condensed consolidated financial statements included in this Quarterly Report on Form 10-Q.</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Funds Held for Customers and Customer Funds Obligations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maintain trust accounts with financial institutions, which allow our customers to outsource their tax remittance functions to us. We have legal ownership over the accounts utilized for this purpose. Funds held for customers represent cash and cash equivalents that, based upon our intent, are restricted solely for satisfying the obligations to remit funds relating to our tax remittance services. Funds held for customers are not commingled with our operating funds.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Customer funds obligations represent our contractual obligations to remit collected funds to satisfy customer tax payments. Customer funds obligations are included as a current liability on our consolidated balance sheets as the obligations are expected to be settled within one year. Cash flows related to changes in customer funds obligations liability are presented as cash flows from financing activities.</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Contractual Obligations and Commitments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As of March 31, 2025, we have no outstanding borrowings under our Line of Credit. Our Notes are due in May 2029. We expect to continue to fund debt maturities and interest payments with cash flows generated from operations, existing cash and cash equivalents, or proceeds from additional financing. For additional information on our debt obligations, refer to Note 7, “Debt” to the condensed consolidated financial statements included in this Quarterly Report on Form 10-Q. </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There have been no material updates or changes to our contractual obligations and commitments compared to contractual obligations and commitments described in our 2024 Annual Report.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pPr>
      <w:r>
        <w:rPr/>
        <w:t>​</w:t>
      </w:r>
    </w:p>
    <w:p>
      <w:pPr>
        <w:pStyle w:val="TextBody"/>
        <w:bidi w:val="0"/>
        <w:spacing w:before="0" w:after="0"/>
        <w:ind w:left="0" w:right="0" w:firstLine="360"/>
        <w:jc w:val="both"/>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Key Business Metrics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regularly review the metrics identified below to evaluate growth trends, measure our performance, formulate financial projections and make strategic decisions.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 xml:space="preserve">Annual Recurring Revenue (“ARR”) and Average Annual Revenue Per Customer (“AARPC”).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derive the vast majority of our revenue from recurring software subscriptions. We believe ARR provides us with visibility to our projected software subscription revenue in order to evaluate the health of our business. Because we recognize subscription revenue ratably, we believe investors can use ARR to measure our expansion of existing customer revenues, new customer activity, and as an indicator of future software subscription revenues. ARR is based on monthly recurring revenue (“MRR”) from software subscriptions for the most recent month at period end, multiplied by twelve. MRR is calculated by dividing the software subscription price, inclusive of discounts, by the number of subscription covered months. MRR only includes customers with MRR at the end of the last month of the measurement period.</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AARPC represents average annual revenue per customer and is calculated by dividing ARR by the number of software subscription customers at the end of the respective period.</w:t>
      </w:r>
    </w:p>
    <w:tbl>
      <w:tblPr>
        <w:tblW w:w="7162" w:type="dxa"/>
        <w:jc w:val="left"/>
        <w:tblInd w:w="0" w:type="dxa"/>
        <w:tblLayout w:type="fixed"/>
        <w:tblCellMar>
          <w:top w:w="0" w:type="dxa"/>
          <w:left w:w="0" w:type="dxa"/>
          <w:bottom w:w="0" w:type="dxa"/>
          <w:right w:w="0" w:type="dxa"/>
        </w:tblCellMar>
      </w:tblPr>
      <w:tblGrid>
        <w:gridCol w:w="2341"/>
        <w:gridCol w:w="326"/>
        <w:gridCol w:w="211"/>
        <w:gridCol w:w="571"/>
        <w:gridCol w:w="326"/>
        <w:gridCol w:w="211"/>
        <w:gridCol w:w="571"/>
        <w:gridCol w:w="326"/>
        <w:gridCol w:w="321"/>
        <w:gridCol w:w="709"/>
        <w:gridCol w:w="221"/>
        <w:gridCol w:w="712"/>
        <w:gridCol w:w="316"/>
      </w:tblGrid>
      <w:tr>
        <w:trPr/>
        <w:tc>
          <w:tcPr>
            <w:tcW w:w="23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3">
                      <wp:simplePos x="0" y="0"/>
                      <wp:positionH relativeFrom="character">
                        <wp:align>left</wp:align>
                      </wp:positionH>
                      <wp:positionV relativeFrom="line">
                        <wp:posOffset>635</wp:posOffset>
                      </wp:positionV>
                      <wp:extent cx="1486535" cy="175260"/>
                      <wp:effectExtent l="0" t="0" r="0" b="0"/>
                      <wp:wrapNone/>
                      <wp:docPr id="492" name="Frame492"/>
                      <a:graphic xmlns:a="http://schemas.openxmlformats.org/drawingml/2006/main">
                        <a:graphicData uri="http://schemas.microsoft.com/office/word/2010/wordprocessingShape">
                          <wps:wsp>
                            <wps:cNvSpPr txBox="1"/>
                            <wps:spPr>
                              <a:xfrm>
                                <a:off x="0" y="0"/>
                                <a:ext cx="1486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4">
                      <wp:simplePos x="0" y="0"/>
                      <wp:positionH relativeFrom="character">
                        <wp:align>left</wp:align>
                      </wp:positionH>
                      <wp:positionV relativeFrom="line">
                        <wp:posOffset>635</wp:posOffset>
                      </wp:positionV>
                      <wp:extent cx="207010" cy="175260"/>
                      <wp:effectExtent l="0" t="0" r="0" b="0"/>
                      <wp:wrapNone/>
                      <wp:docPr id="493" name="Frame49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5">
                      <wp:simplePos x="0" y="0"/>
                      <wp:positionH relativeFrom="character">
                        <wp:align>left</wp:align>
                      </wp:positionH>
                      <wp:positionV relativeFrom="line">
                        <wp:posOffset>635</wp:posOffset>
                      </wp:positionV>
                      <wp:extent cx="133985" cy="175260"/>
                      <wp:effectExtent l="0" t="0" r="0" b="0"/>
                      <wp:wrapNone/>
                      <wp:docPr id="494" name="Frame49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6">
                      <wp:simplePos x="0" y="0"/>
                      <wp:positionH relativeFrom="character">
                        <wp:align>left</wp:align>
                      </wp:positionH>
                      <wp:positionV relativeFrom="line">
                        <wp:posOffset>635</wp:posOffset>
                      </wp:positionV>
                      <wp:extent cx="362585" cy="175260"/>
                      <wp:effectExtent l="0" t="0" r="0" b="0"/>
                      <wp:wrapNone/>
                      <wp:docPr id="495" name="Frame495"/>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7">
                      <wp:simplePos x="0" y="0"/>
                      <wp:positionH relativeFrom="character">
                        <wp:align>left</wp:align>
                      </wp:positionH>
                      <wp:positionV relativeFrom="line">
                        <wp:posOffset>635</wp:posOffset>
                      </wp:positionV>
                      <wp:extent cx="207010" cy="175260"/>
                      <wp:effectExtent l="0" t="0" r="0" b="0"/>
                      <wp:wrapNone/>
                      <wp:docPr id="496" name="Frame49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8">
                      <wp:simplePos x="0" y="0"/>
                      <wp:positionH relativeFrom="character">
                        <wp:align>left</wp:align>
                      </wp:positionH>
                      <wp:positionV relativeFrom="line">
                        <wp:posOffset>635</wp:posOffset>
                      </wp:positionV>
                      <wp:extent cx="133985" cy="175260"/>
                      <wp:effectExtent l="0" t="0" r="0" b="0"/>
                      <wp:wrapNone/>
                      <wp:docPr id="497" name="Frame49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9">
                      <wp:simplePos x="0" y="0"/>
                      <wp:positionH relativeFrom="character">
                        <wp:align>left</wp:align>
                      </wp:positionH>
                      <wp:positionV relativeFrom="line">
                        <wp:posOffset>635</wp:posOffset>
                      </wp:positionV>
                      <wp:extent cx="362585" cy="175260"/>
                      <wp:effectExtent l="0" t="0" r="0" b="0"/>
                      <wp:wrapNone/>
                      <wp:docPr id="498" name="Frame49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0">
                      <wp:simplePos x="0" y="0"/>
                      <wp:positionH relativeFrom="character">
                        <wp:align>left</wp:align>
                      </wp:positionH>
                      <wp:positionV relativeFrom="line">
                        <wp:posOffset>635</wp:posOffset>
                      </wp:positionV>
                      <wp:extent cx="207010" cy="175260"/>
                      <wp:effectExtent l="0" t="0" r="0" b="0"/>
                      <wp:wrapNone/>
                      <wp:docPr id="499" name="Frame49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1">
                      <wp:simplePos x="0" y="0"/>
                      <wp:positionH relativeFrom="character">
                        <wp:align>left</wp:align>
                      </wp:positionH>
                      <wp:positionV relativeFrom="line">
                        <wp:posOffset>635</wp:posOffset>
                      </wp:positionV>
                      <wp:extent cx="203835" cy="175260"/>
                      <wp:effectExtent l="0" t="0" r="0" b="0"/>
                      <wp:wrapNone/>
                      <wp:docPr id="500" name="Frame500"/>
                      <a:graphic xmlns:a="http://schemas.openxmlformats.org/drawingml/2006/main">
                        <a:graphicData uri="http://schemas.microsoft.com/office/word/2010/wordprocessingShape">
                          <wps:wsp>
                            <wps:cNvSpPr txBox="1"/>
                            <wps:spPr>
                              <a:xfrm>
                                <a:off x="0" y="0"/>
                                <a:ext cx="203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2">
                      <wp:simplePos x="0" y="0"/>
                      <wp:positionH relativeFrom="character">
                        <wp:align>left</wp:align>
                      </wp:positionH>
                      <wp:positionV relativeFrom="line">
                        <wp:posOffset>635</wp:posOffset>
                      </wp:positionV>
                      <wp:extent cx="450215" cy="175260"/>
                      <wp:effectExtent l="0" t="0" r="0" b="0"/>
                      <wp:wrapNone/>
                      <wp:docPr id="501" name="Frame501"/>
                      <a:graphic xmlns:a="http://schemas.openxmlformats.org/drawingml/2006/main">
                        <a:graphicData uri="http://schemas.microsoft.com/office/word/2010/wordprocessingShape">
                          <wps:wsp>
                            <wps:cNvSpPr txBox="1"/>
                            <wps:spPr>
                              <a:xfrm>
                                <a:off x="0" y="0"/>
                                <a:ext cx="450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3">
                      <wp:simplePos x="0" y="0"/>
                      <wp:positionH relativeFrom="character">
                        <wp:align>left</wp:align>
                      </wp:positionH>
                      <wp:positionV relativeFrom="line">
                        <wp:posOffset>635</wp:posOffset>
                      </wp:positionV>
                      <wp:extent cx="140335" cy="175260"/>
                      <wp:effectExtent l="0" t="0" r="0" b="0"/>
                      <wp:wrapNone/>
                      <wp:docPr id="502" name="Frame502"/>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4">
                      <wp:simplePos x="0" y="0"/>
                      <wp:positionH relativeFrom="character">
                        <wp:align>left</wp:align>
                      </wp:positionH>
                      <wp:positionV relativeFrom="line">
                        <wp:posOffset>635</wp:posOffset>
                      </wp:positionV>
                      <wp:extent cx="452120" cy="175260"/>
                      <wp:effectExtent l="0" t="0" r="0" b="0"/>
                      <wp:wrapNone/>
                      <wp:docPr id="503" name="Frame503"/>
                      <a:graphic xmlns:a="http://schemas.openxmlformats.org/drawingml/2006/main">
                        <a:graphicData uri="http://schemas.microsoft.com/office/word/2010/wordprocessingShape">
                          <wps:wsp>
                            <wps:cNvSpPr txBox="1"/>
                            <wps:spPr>
                              <a:xfrm>
                                <a:off x="0" y="0"/>
                                <a:ext cx="4521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5">
                      <wp:simplePos x="0" y="0"/>
                      <wp:positionH relativeFrom="character">
                        <wp:align>left</wp:align>
                      </wp:positionH>
                      <wp:positionV relativeFrom="line">
                        <wp:posOffset>635</wp:posOffset>
                      </wp:positionV>
                      <wp:extent cx="200660" cy="175260"/>
                      <wp:effectExtent l="0" t="0" r="0" b="0"/>
                      <wp:wrapNone/>
                      <wp:docPr id="504" name="Frame504"/>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90" w:type="dxa"/>
            <w:gridSpan w:val="5"/>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321" w:type="dxa"/>
            <w:tcBorders/>
            <w:vAlign w:val="center"/>
          </w:tcPr>
          <w:p>
            <w:pPr>
              <w:pStyle w:val="TableContents"/>
              <w:bidi w:val="0"/>
              <w:spacing w:before="0" w:after="0"/>
              <w:ind w:left="0" w:right="0" w:hanging="0"/>
              <w:jc w:val="left"/>
              <w:rPr/>
            </w:pPr>
            <w:r>
              <w:rPr/>
              <w:t>​</w:t>
            </w:r>
          </w:p>
        </w:tc>
        <w:tc>
          <w:tcPr>
            <w:tcW w:w="709"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712"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23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9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March 31, </w:t>
            </w:r>
          </w:p>
        </w:tc>
        <w:tc>
          <w:tcPr>
            <w:tcW w:w="326" w:type="dxa"/>
            <w:tcBorders/>
            <w:vAlign w:val="center"/>
          </w:tcPr>
          <w:p>
            <w:pPr>
              <w:pStyle w:val="TableContents"/>
              <w:bidi w:val="0"/>
              <w:spacing w:before="0" w:after="0"/>
              <w:ind w:left="0" w:right="0" w:hanging="0"/>
              <w:jc w:val="left"/>
              <w:rPr/>
            </w:pPr>
            <w:r>
              <w:rPr/>
              <w:t>​</w:t>
            </w:r>
          </w:p>
        </w:tc>
        <w:tc>
          <w:tcPr>
            <w:tcW w:w="1963" w:type="dxa"/>
            <w:gridSpan w:val="4"/>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w:t>
            </w:r>
          </w:p>
        </w:tc>
      </w:tr>
      <w:tr>
        <w:trPr/>
        <w:tc>
          <w:tcPr>
            <w:tcW w:w="23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26"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196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Year-Over-Year Change </w:t>
            </w:r>
          </w:p>
        </w:tc>
        <w:tc>
          <w:tcPr>
            <w:tcW w:w="316" w:type="dxa"/>
            <w:tcBorders/>
            <w:vAlign w:val="center"/>
          </w:tcPr>
          <w:p>
            <w:pPr>
              <w:pStyle w:val="TableContents"/>
              <w:bidi w:val="0"/>
              <w:spacing w:before="0" w:after="0"/>
              <w:ind w:left="0" w:right="0" w:hanging="0"/>
              <w:jc w:val="center"/>
              <w:rPr/>
            </w:pPr>
            <w:r>
              <w:rPr/>
              <w:t>​</w:t>
            </w:r>
          </w:p>
        </w:tc>
      </w:tr>
      <w:tr>
        <w:trPr/>
        <w:tc>
          <w:tcPr>
            <w:tcW w:w="23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Annual Recurring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618.5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524.5</w:t>
            </w:r>
          </w:p>
        </w:tc>
        <w:tc>
          <w:tcPr>
            <w:tcW w:w="326" w:type="dxa"/>
            <w:tcBorders/>
            <w:shd w:fill="CCEEFF" w:val="clear"/>
            <w:vAlign w:val="center"/>
          </w:tcPr>
          <w:p>
            <w:pPr>
              <w:pStyle w:val="TableContents"/>
              <w:bidi w:val="0"/>
              <w:spacing w:before="0" w:after="0"/>
              <w:ind w:left="0" w:right="0" w:hanging="0"/>
              <w:jc w:val="left"/>
              <w:rPr/>
            </w:pPr>
            <w:r>
              <w:rPr/>
              <w:t>​</w:t>
            </w:r>
          </w:p>
        </w:tc>
        <w:tc>
          <w:tcPr>
            <w:tcW w:w="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94.0</w:t>
            </w:r>
          </w:p>
        </w:tc>
        <w:tc>
          <w:tcPr>
            <w:tcW w:w="221" w:type="dxa"/>
            <w:tcBorders/>
            <w:shd w:fill="CCEEFF" w:val="clear"/>
            <w:vAlign w:val="center"/>
          </w:tcPr>
          <w:p>
            <w:pPr>
              <w:pStyle w:val="TableContents"/>
              <w:bidi w:val="0"/>
              <w:spacing w:before="0" w:after="0"/>
              <w:ind w:left="0" w:right="0" w:hanging="0"/>
              <w:jc w:val="left"/>
              <w:rPr/>
            </w:pPr>
            <w:r>
              <w:rPr/>
              <w:t> </w:t>
            </w:r>
          </w:p>
        </w:tc>
        <w:tc>
          <w:tcPr>
            <w:tcW w:w="7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ARR increased by $94.0 million, or 17.9%, at March 31, 2025, as compared to March 31, 2024. The increase was primarily driven by $47.6 million of growth in revenues from existing customers through their expanded use of our solutions as well as price increases, and $31.7 million in growth of subscriptions of our solutions to new customers. Additionally, $6.6 million was added to ARR due to the inclusion of Systax’s ARR, which was included as a result of the acquisition of the remaining ownership interests of Systax during the second quarter of 2024, and $8.1 million was added to ARR due to the ecosio acquisition during the third quarter of 2024. Excluding the impact of Systax and ecosio, the ARR growth rate would have been 15.1%.</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had 4,888 direct customers and AARPC was approximately $126,534 at March 31, 2025. At March 31, 2024, we had 4,309 direct customers and approximately $121,720 of AARPC. The increase in AARPC was primarily due to expansion of usage by existing customers and adding new customers through organic growth. Additionally, the inclusion of Systax and ecosio added 604 customers to the first quarter of 2025.</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Net Revenue Retention Rate (“NRR”).</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believe that our NRR provides insight into our ability to retain and grow revenue from our customers, as well as their potential long-term value to us. We also believe it demonstrates to investors our ability to expand existing customer revenues, which is one of our key growth strategies. Our NRR refers to the ARR expansion during the 12 months of a reporting period for all customers who were part of our customer base at the beginning of the reporting period. Our NRR calculation takes into account any revenue lost from departing customers or those who have downgraded or reduced usage, as well as any revenue expansion from migrations, new licenses for additional products or contractual and usage-based price changes. </w:t>
      </w:r>
    </w:p>
    <w:tbl>
      <w:tblPr>
        <w:tblW w:w="4543" w:type="dxa"/>
        <w:jc w:val="left"/>
        <w:tblInd w:w="0" w:type="dxa"/>
        <w:tblLayout w:type="fixed"/>
        <w:tblCellMar>
          <w:top w:w="0" w:type="dxa"/>
          <w:left w:w="0" w:type="dxa"/>
          <w:bottom w:w="0" w:type="dxa"/>
          <w:right w:w="0" w:type="dxa"/>
        </w:tblCellMar>
      </w:tblPr>
      <w:tblGrid>
        <w:gridCol w:w="2491"/>
        <w:gridCol w:w="326"/>
        <w:gridCol w:w="476"/>
        <w:gridCol w:w="368"/>
        <w:gridCol w:w="476"/>
        <w:gridCol w:w="406"/>
      </w:tblGrid>
      <w:tr>
        <w:trPr/>
        <w:tc>
          <w:tcPr>
            <w:tcW w:w="24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6">
                      <wp:simplePos x="0" y="0"/>
                      <wp:positionH relativeFrom="character">
                        <wp:align>left</wp:align>
                      </wp:positionH>
                      <wp:positionV relativeFrom="line">
                        <wp:posOffset>635</wp:posOffset>
                      </wp:positionV>
                      <wp:extent cx="1581785" cy="175260"/>
                      <wp:effectExtent l="0" t="0" r="0" b="0"/>
                      <wp:wrapNone/>
                      <wp:docPr id="505" name="Frame505"/>
                      <a:graphic xmlns:a="http://schemas.openxmlformats.org/drawingml/2006/main">
                        <a:graphicData uri="http://schemas.microsoft.com/office/word/2010/wordprocessingShape">
                          <wps:wsp>
                            <wps:cNvSpPr txBox="1"/>
                            <wps:spPr>
                              <a:xfrm>
                                <a:off x="0" y="0"/>
                                <a:ext cx="1581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7">
                      <wp:simplePos x="0" y="0"/>
                      <wp:positionH relativeFrom="character">
                        <wp:align>left</wp:align>
                      </wp:positionH>
                      <wp:positionV relativeFrom="line">
                        <wp:posOffset>635</wp:posOffset>
                      </wp:positionV>
                      <wp:extent cx="207010" cy="175260"/>
                      <wp:effectExtent l="0" t="0" r="0" b="0"/>
                      <wp:wrapNone/>
                      <wp:docPr id="506" name="Frame50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8">
                      <wp:simplePos x="0" y="0"/>
                      <wp:positionH relativeFrom="character">
                        <wp:align>left</wp:align>
                      </wp:positionH>
                      <wp:positionV relativeFrom="line">
                        <wp:posOffset>635</wp:posOffset>
                      </wp:positionV>
                      <wp:extent cx="302260" cy="175260"/>
                      <wp:effectExtent l="0" t="0" r="0" b="0"/>
                      <wp:wrapNone/>
                      <wp:docPr id="507" name="Frame507"/>
                      <a:graphic xmlns:a="http://schemas.openxmlformats.org/drawingml/2006/main">
                        <a:graphicData uri="http://schemas.microsoft.com/office/word/2010/wordprocessingShape">
                          <wps:wsp>
                            <wps:cNvSpPr txBox="1"/>
                            <wps:spPr>
                              <a:xfrm>
                                <a:off x="0" y="0"/>
                                <a:ext cx="302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9">
                      <wp:simplePos x="0" y="0"/>
                      <wp:positionH relativeFrom="character">
                        <wp:align>left</wp:align>
                      </wp:positionH>
                      <wp:positionV relativeFrom="line">
                        <wp:posOffset>635</wp:posOffset>
                      </wp:positionV>
                      <wp:extent cx="233680" cy="175260"/>
                      <wp:effectExtent l="0" t="0" r="0" b="0"/>
                      <wp:wrapNone/>
                      <wp:docPr id="508" name="Frame508"/>
                      <a:graphic xmlns:a="http://schemas.openxmlformats.org/drawingml/2006/main">
                        <a:graphicData uri="http://schemas.microsoft.com/office/word/2010/wordprocessingShape">
                          <wps:wsp>
                            <wps:cNvSpPr txBox="1"/>
                            <wps:spPr>
                              <a:xfrm>
                                <a:off x="0" y="0"/>
                                <a:ext cx="2336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0">
                      <wp:simplePos x="0" y="0"/>
                      <wp:positionH relativeFrom="character">
                        <wp:align>left</wp:align>
                      </wp:positionH>
                      <wp:positionV relativeFrom="line">
                        <wp:posOffset>635</wp:posOffset>
                      </wp:positionV>
                      <wp:extent cx="302260" cy="175260"/>
                      <wp:effectExtent l="0" t="0" r="0" b="0"/>
                      <wp:wrapNone/>
                      <wp:docPr id="509" name="Frame509"/>
                      <a:graphic xmlns:a="http://schemas.openxmlformats.org/drawingml/2006/main">
                        <a:graphicData uri="http://schemas.microsoft.com/office/word/2010/wordprocessingShape">
                          <wps:wsp>
                            <wps:cNvSpPr txBox="1"/>
                            <wps:spPr>
                              <a:xfrm>
                                <a:off x="0" y="0"/>
                                <a:ext cx="302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1">
                      <wp:simplePos x="0" y="0"/>
                      <wp:positionH relativeFrom="character">
                        <wp:align>left</wp:align>
                      </wp:positionH>
                      <wp:positionV relativeFrom="line">
                        <wp:posOffset>635</wp:posOffset>
                      </wp:positionV>
                      <wp:extent cx="257810" cy="175260"/>
                      <wp:effectExtent l="0" t="0" r="0" b="0"/>
                      <wp:wrapNone/>
                      <wp:docPr id="510" name="Frame510"/>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320"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March 31, </w:t>
            </w:r>
          </w:p>
        </w:tc>
        <w:tc>
          <w:tcPr>
            <w:tcW w:w="406" w:type="dxa"/>
            <w:tcBorders/>
            <w:vAlign w:val="center"/>
          </w:tcPr>
          <w:p>
            <w:pPr>
              <w:pStyle w:val="TableContents"/>
              <w:bidi w:val="0"/>
              <w:spacing w:before="0" w:after="0"/>
              <w:ind w:left="0" w:right="0" w:hanging="0"/>
              <w:jc w:val="center"/>
              <w:rPr/>
            </w:pPr>
            <w:r>
              <w:rPr/>
              <w:t>​</w:t>
            </w:r>
          </w:p>
        </w:tc>
      </w:tr>
      <w:tr>
        <w:trPr/>
        <w:tc>
          <w:tcPr>
            <w:tcW w:w="24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4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68" w:type="dxa"/>
            <w:tcBorders/>
            <w:vAlign w:val="center"/>
          </w:tcPr>
          <w:p>
            <w:pPr>
              <w:pStyle w:val="TableContents"/>
              <w:bidi w:val="0"/>
              <w:spacing w:before="0" w:after="0"/>
              <w:ind w:left="0" w:right="0" w:hanging="0"/>
              <w:jc w:val="left"/>
              <w:rPr/>
            </w:pPr>
            <w:r>
              <w:rPr/>
              <w:t>    </w:t>
            </w:r>
          </w:p>
        </w:tc>
        <w:tc>
          <w:tcPr>
            <w:tcW w:w="4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406" w:type="dxa"/>
            <w:tcBorders/>
            <w:vAlign w:val="center"/>
          </w:tcPr>
          <w:p>
            <w:pPr>
              <w:pStyle w:val="TableContents"/>
              <w:bidi w:val="0"/>
              <w:spacing w:before="0" w:after="0"/>
              <w:ind w:left="0" w:right="0" w:hanging="0"/>
              <w:jc w:val="center"/>
              <w:rPr/>
            </w:pPr>
            <w:r>
              <w:rPr/>
              <w:t>​</w:t>
            </w:r>
          </w:p>
        </w:tc>
      </w:tr>
      <w:tr>
        <w:trPr/>
        <w:tc>
          <w:tcPr>
            <w:tcW w:w="24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Net Revenue Retention Rate </w:t>
            </w:r>
          </w:p>
        </w:tc>
        <w:tc>
          <w:tcPr>
            <w:tcW w:w="326" w:type="dxa"/>
            <w:tcBorders/>
            <w:shd w:fill="CCEEFF" w:val="clear"/>
            <w:vAlign w:val="center"/>
          </w:tcPr>
          <w:p>
            <w:pPr>
              <w:pStyle w:val="TableContents"/>
              <w:bidi w:val="0"/>
              <w:spacing w:before="0" w:after="0"/>
              <w:ind w:left="0" w:right="0" w:hanging="0"/>
              <w:jc w:val="left"/>
              <w:rPr/>
            </w:pPr>
            <w:r>
              <w:rPr/>
              <w:t> </w:t>
            </w:r>
          </w:p>
        </w:tc>
        <w:tc>
          <w:tcPr>
            <w:tcW w:w="4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w:t>
            </w:r>
          </w:p>
        </w:tc>
        <w:tc>
          <w:tcPr>
            <w:tcW w:w="3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4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w:t>
            </w:r>
          </w:p>
        </w:tc>
        <w:tc>
          <w:tcPr>
            <w:tcW w:w="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Gross Revenue Retention Rate (“GRR”).</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We believe our GRR provides insight into and demonstrates to investors our ability to retain revenues from our existing customers. Our GRR refers to how much of our MRR we retain each month after reduction for the effects of revenues lost from departing customers or those who have downgraded or reduced usage. GRR does not take into account revenue expansion from migrations, new licenses for additional products or contractual and usage-based price changes. GRR does not include revenue reductions resulting from cancellations of customer subscriptions that are replaced by new subscriptions associated with customer migrations to a newer version of the related software solution.</w:t>
      </w:r>
    </w:p>
    <w:p>
      <w:pPr>
        <w:pStyle w:val="TextBody"/>
        <w:bidi w:val="0"/>
        <w:spacing w:before="0" w:after="0"/>
        <w:ind w:left="0" w:right="0" w:firstLine="360"/>
        <w:jc w:val="both"/>
        <w:rPr/>
      </w:pPr>
      <w:r>
        <w:rPr/>
        <w:t>​</w:t>
      </w:r>
    </w:p>
    <w:p>
      <w:pPr>
        <w:pStyle w:val="TextBody"/>
        <w:bidi w:val="0"/>
        <w:spacing w:before="0" w:after="0"/>
        <w:ind w:left="0" w:right="0" w:firstLine="360"/>
        <w:jc w:val="both"/>
        <w:rPr/>
      </w:pPr>
      <w:r>
        <w:rPr/>
        <w:t>​</w:t>
      </w:r>
    </w:p>
    <w:p>
      <w:pPr>
        <w:pStyle w:val="TextBody"/>
        <w:bidi w:val="0"/>
        <w:spacing w:before="0" w:after="0"/>
        <w:ind w:left="0" w:right="0" w:firstLine="360"/>
        <w:jc w:val="both"/>
        <w:rPr/>
      </w:pPr>
      <w:r>
        <w:rPr/>
        <w:t> ​</w:t>
      </w:r>
    </w:p>
    <w:tbl>
      <w:tblPr>
        <w:tblW w:w="4708" w:type="dxa"/>
        <w:jc w:val="left"/>
        <w:tblInd w:w="0" w:type="dxa"/>
        <w:tblLayout w:type="fixed"/>
        <w:tblCellMar>
          <w:top w:w="0" w:type="dxa"/>
          <w:left w:w="0" w:type="dxa"/>
          <w:bottom w:w="0" w:type="dxa"/>
          <w:right w:w="0" w:type="dxa"/>
        </w:tblCellMar>
      </w:tblPr>
      <w:tblGrid>
        <w:gridCol w:w="2656"/>
        <w:gridCol w:w="326"/>
        <w:gridCol w:w="476"/>
        <w:gridCol w:w="368"/>
        <w:gridCol w:w="476"/>
        <w:gridCol w:w="406"/>
      </w:tblGrid>
      <w:tr>
        <w:trPr/>
        <w:tc>
          <w:tcPr>
            <w:tcW w:w="26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2">
                      <wp:simplePos x="0" y="0"/>
                      <wp:positionH relativeFrom="character">
                        <wp:align>left</wp:align>
                      </wp:positionH>
                      <wp:positionV relativeFrom="line">
                        <wp:posOffset>635</wp:posOffset>
                      </wp:positionV>
                      <wp:extent cx="1686560" cy="175260"/>
                      <wp:effectExtent l="0" t="0" r="0" b="0"/>
                      <wp:wrapNone/>
                      <wp:docPr id="511" name="Frame511"/>
                      <a:graphic xmlns:a="http://schemas.openxmlformats.org/drawingml/2006/main">
                        <a:graphicData uri="http://schemas.microsoft.com/office/word/2010/wordprocessingShape">
                          <wps:wsp>
                            <wps:cNvSpPr txBox="1"/>
                            <wps:spPr>
                              <a:xfrm>
                                <a:off x="0" y="0"/>
                                <a:ext cx="1686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3">
                      <wp:simplePos x="0" y="0"/>
                      <wp:positionH relativeFrom="character">
                        <wp:align>left</wp:align>
                      </wp:positionH>
                      <wp:positionV relativeFrom="line">
                        <wp:posOffset>635</wp:posOffset>
                      </wp:positionV>
                      <wp:extent cx="207010" cy="175260"/>
                      <wp:effectExtent l="0" t="0" r="0" b="0"/>
                      <wp:wrapNone/>
                      <wp:docPr id="512" name="Frame5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4">
                      <wp:simplePos x="0" y="0"/>
                      <wp:positionH relativeFrom="character">
                        <wp:align>left</wp:align>
                      </wp:positionH>
                      <wp:positionV relativeFrom="line">
                        <wp:posOffset>635</wp:posOffset>
                      </wp:positionV>
                      <wp:extent cx="302260" cy="175260"/>
                      <wp:effectExtent l="0" t="0" r="0" b="0"/>
                      <wp:wrapNone/>
                      <wp:docPr id="513" name="Frame513"/>
                      <a:graphic xmlns:a="http://schemas.openxmlformats.org/drawingml/2006/main">
                        <a:graphicData uri="http://schemas.microsoft.com/office/word/2010/wordprocessingShape">
                          <wps:wsp>
                            <wps:cNvSpPr txBox="1"/>
                            <wps:spPr>
                              <a:xfrm>
                                <a:off x="0" y="0"/>
                                <a:ext cx="302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5">
                      <wp:simplePos x="0" y="0"/>
                      <wp:positionH relativeFrom="character">
                        <wp:align>left</wp:align>
                      </wp:positionH>
                      <wp:positionV relativeFrom="line">
                        <wp:posOffset>635</wp:posOffset>
                      </wp:positionV>
                      <wp:extent cx="233680" cy="175260"/>
                      <wp:effectExtent l="0" t="0" r="0" b="0"/>
                      <wp:wrapNone/>
                      <wp:docPr id="514" name="Frame514"/>
                      <a:graphic xmlns:a="http://schemas.openxmlformats.org/drawingml/2006/main">
                        <a:graphicData uri="http://schemas.microsoft.com/office/word/2010/wordprocessingShape">
                          <wps:wsp>
                            <wps:cNvSpPr txBox="1"/>
                            <wps:spPr>
                              <a:xfrm>
                                <a:off x="0" y="0"/>
                                <a:ext cx="2336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6">
                      <wp:simplePos x="0" y="0"/>
                      <wp:positionH relativeFrom="character">
                        <wp:align>left</wp:align>
                      </wp:positionH>
                      <wp:positionV relativeFrom="line">
                        <wp:posOffset>635</wp:posOffset>
                      </wp:positionV>
                      <wp:extent cx="302260" cy="175260"/>
                      <wp:effectExtent l="0" t="0" r="0" b="0"/>
                      <wp:wrapNone/>
                      <wp:docPr id="515" name="Frame515"/>
                      <a:graphic xmlns:a="http://schemas.openxmlformats.org/drawingml/2006/main">
                        <a:graphicData uri="http://schemas.microsoft.com/office/word/2010/wordprocessingShape">
                          <wps:wsp>
                            <wps:cNvSpPr txBox="1"/>
                            <wps:spPr>
                              <a:xfrm>
                                <a:off x="0" y="0"/>
                                <a:ext cx="302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7">
                      <wp:simplePos x="0" y="0"/>
                      <wp:positionH relativeFrom="character">
                        <wp:align>left</wp:align>
                      </wp:positionH>
                      <wp:positionV relativeFrom="line">
                        <wp:posOffset>635</wp:posOffset>
                      </wp:positionV>
                      <wp:extent cx="257810" cy="175260"/>
                      <wp:effectExtent l="0" t="0" r="0" b="0"/>
                      <wp:wrapNone/>
                      <wp:docPr id="516" name="Frame516"/>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320"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March 31, </w:t>
            </w:r>
          </w:p>
        </w:tc>
        <w:tc>
          <w:tcPr>
            <w:tcW w:w="406" w:type="dxa"/>
            <w:tcBorders/>
            <w:vAlign w:val="center"/>
          </w:tcPr>
          <w:p>
            <w:pPr>
              <w:pStyle w:val="TableContents"/>
              <w:bidi w:val="0"/>
              <w:spacing w:before="0" w:after="0"/>
              <w:ind w:left="0" w:right="0" w:hanging="0"/>
              <w:jc w:val="center"/>
              <w:rPr/>
            </w:pPr>
            <w:r>
              <w:rPr/>
              <w:t>​</w:t>
            </w:r>
          </w:p>
        </w:tc>
      </w:tr>
      <w:tr>
        <w:trPr/>
        <w:tc>
          <w:tcPr>
            <w:tcW w:w="26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4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68" w:type="dxa"/>
            <w:tcBorders/>
            <w:vAlign w:val="center"/>
          </w:tcPr>
          <w:p>
            <w:pPr>
              <w:pStyle w:val="TableContents"/>
              <w:bidi w:val="0"/>
              <w:spacing w:before="0" w:after="0"/>
              <w:ind w:left="0" w:right="0" w:hanging="0"/>
              <w:jc w:val="left"/>
              <w:rPr/>
            </w:pPr>
            <w:r>
              <w:rPr/>
              <w:t>    </w:t>
            </w:r>
          </w:p>
        </w:tc>
        <w:tc>
          <w:tcPr>
            <w:tcW w:w="4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406" w:type="dxa"/>
            <w:tcBorders/>
            <w:vAlign w:val="center"/>
          </w:tcPr>
          <w:p>
            <w:pPr>
              <w:pStyle w:val="TableContents"/>
              <w:bidi w:val="0"/>
              <w:spacing w:before="0" w:after="0"/>
              <w:ind w:left="0" w:right="0" w:hanging="0"/>
              <w:jc w:val="center"/>
              <w:rPr/>
            </w:pPr>
            <w:r>
              <w:rPr/>
              <w:t>​</w:t>
            </w:r>
          </w:p>
        </w:tc>
      </w:tr>
      <w:tr>
        <w:trPr/>
        <w:tc>
          <w:tcPr>
            <w:tcW w:w="265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Gross Revenue Retention Rate </w:t>
            </w:r>
          </w:p>
        </w:tc>
        <w:tc>
          <w:tcPr>
            <w:tcW w:w="326" w:type="dxa"/>
            <w:tcBorders/>
            <w:shd w:fill="CCEEFF" w:val="clear"/>
            <w:vAlign w:val="center"/>
          </w:tcPr>
          <w:p>
            <w:pPr>
              <w:pStyle w:val="TableContents"/>
              <w:bidi w:val="0"/>
              <w:spacing w:before="0" w:after="0"/>
              <w:ind w:left="0" w:right="0" w:hanging="0"/>
              <w:jc w:val="left"/>
              <w:rPr/>
            </w:pPr>
            <w:r>
              <w:rPr/>
              <w:t> </w:t>
            </w:r>
          </w:p>
        </w:tc>
        <w:tc>
          <w:tcPr>
            <w:tcW w:w="4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w:t>
            </w:r>
          </w:p>
        </w:tc>
        <w:tc>
          <w:tcPr>
            <w:tcW w:w="3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4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w:t>
            </w:r>
          </w:p>
        </w:tc>
        <w:tc>
          <w:tcPr>
            <w:tcW w:w="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Adjusted EBITDA and Adjusted EBITDA Margin.</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We believe that Adjusted EBITDA is a measure widely used by securities analysts and investors to evaluate the financial performance of our company and other companies. We believe that Adjusted EBITDA and Adjusted EBITDA margin are useful as supplemental measures to evaluate our overall operating performance as they measure business performance focusing on cash related charges and because they are important metrics to lenders under our credit agreement. We define Adjusted EBITDA as net loss or income before interest (including adjustments to the settlement value of deferred purchase commitment liabilities), taxes, depreciation, and amortization, as adjusted to exclude charges for stock-based compensation expense, amortization of cloud computing arrangement implementation costs, severance expense, acquisition contingent consideration, changes in the fair value of acquisition contingent earn-outs, changes in the settlement value of deferred purchase commitment liabilities recorded as interest expense, and transaction costs. Adjusted EBITDA margin represents Adjusted EBITDA divided by total revenues for the same period. For purposes of comparison,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our net income was $11.1 million and $2.7 million for the three months ended March 31, 2025 and 2024, respectively, while our net income margin was 6.3% and 1.7% over the same periods, respectively. </w:t>
      </w:r>
    </w:p>
    <w:p>
      <w:pPr>
        <w:pStyle w:val="TextBody"/>
        <w:bidi w:val="0"/>
        <w:spacing w:before="0" w:after="240"/>
        <w:ind w:left="0" w:right="0" w:firstLine="360"/>
        <w:jc w:val="both"/>
        <w:rPr/>
      </w:pPr>
      <w:r>
        <w:rPr/>
        <w:t>​</w:t>
      </w:r>
    </w:p>
    <w:tbl>
      <w:tblPr>
        <w:tblW w:w="10205" w:type="dxa"/>
        <w:jc w:val="left"/>
        <w:tblInd w:w="0" w:type="dxa"/>
        <w:tblLayout w:type="fixed"/>
        <w:tblCellMar>
          <w:top w:w="0" w:type="dxa"/>
          <w:left w:w="0" w:type="dxa"/>
          <w:bottom w:w="0" w:type="dxa"/>
          <w:right w:w="0" w:type="dxa"/>
        </w:tblCellMar>
      </w:tblPr>
      <w:tblGrid>
        <w:gridCol w:w="7117"/>
        <w:gridCol w:w="326"/>
        <w:gridCol w:w="211"/>
        <w:gridCol w:w="791"/>
        <w:gridCol w:w="361"/>
        <w:gridCol w:w="211"/>
        <w:gridCol w:w="781"/>
        <w:gridCol w:w="407"/>
      </w:tblGrid>
      <w:tr>
        <w:trPr/>
        <w:tc>
          <w:tcPr>
            <w:tcW w:w="71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8">
                      <wp:simplePos x="0" y="0"/>
                      <wp:positionH relativeFrom="character">
                        <wp:align>left</wp:align>
                      </wp:positionH>
                      <wp:positionV relativeFrom="line">
                        <wp:posOffset>635</wp:posOffset>
                      </wp:positionV>
                      <wp:extent cx="4519295" cy="175260"/>
                      <wp:effectExtent l="0" t="0" r="0" b="0"/>
                      <wp:wrapNone/>
                      <wp:docPr id="517" name="Frame517"/>
                      <a:graphic xmlns:a="http://schemas.openxmlformats.org/drawingml/2006/main">
                        <a:graphicData uri="http://schemas.microsoft.com/office/word/2010/wordprocessingShape">
                          <wps:wsp>
                            <wps:cNvSpPr txBox="1"/>
                            <wps:spPr>
                              <a:xfrm>
                                <a:off x="0" y="0"/>
                                <a:ext cx="4519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9">
                      <wp:simplePos x="0" y="0"/>
                      <wp:positionH relativeFrom="character">
                        <wp:align>left</wp:align>
                      </wp:positionH>
                      <wp:positionV relativeFrom="line">
                        <wp:posOffset>635</wp:posOffset>
                      </wp:positionV>
                      <wp:extent cx="207010" cy="175260"/>
                      <wp:effectExtent l="0" t="0" r="0" b="0"/>
                      <wp:wrapNone/>
                      <wp:docPr id="518" name="Frame5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0">
                      <wp:simplePos x="0" y="0"/>
                      <wp:positionH relativeFrom="character">
                        <wp:align>left</wp:align>
                      </wp:positionH>
                      <wp:positionV relativeFrom="line">
                        <wp:posOffset>635</wp:posOffset>
                      </wp:positionV>
                      <wp:extent cx="133985" cy="175260"/>
                      <wp:effectExtent l="0" t="0" r="0" b="0"/>
                      <wp:wrapNone/>
                      <wp:docPr id="519" name="Frame5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1">
                      <wp:simplePos x="0" y="0"/>
                      <wp:positionH relativeFrom="character">
                        <wp:align>left</wp:align>
                      </wp:positionH>
                      <wp:positionV relativeFrom="line">
                        <wp:posOffset>635</wp:posOffset>
                      </wp:positionV>
                      <wp:extent cx="502285" cy="175260"/>
                      <wp:effectExtent l="0" t="0" r="0" b="0"/>
                      <wp:wrapNone/>
                      <wp:docPr id="520" name="Frame520"/>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2">
                      <wp:simplePos x="0" y="0"/>
                      <wp:positionH relativeFrom="character">
                        <wp:align>left</wp:align>
                      </wp:positionH>
                      <wp:positionV relativeFrom="line">
                        <wp:posOffset>635</wp:posOffset>
                      </wp:positionV>
                      <wp:extent cx="229235" cy="175260"/>
                      <wp:effectExtent l="0" t="0" r="0" b="0"/>
                      <wp:wrapNone/>
                      <wp:docPr id="521" name="Frame521"/>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3">
                      <wp:simplePos x="0" y="0"/>
                      <wp:positionH relativeFrom="character">
                        <wp:align>left</wp:align>
                      </wp:positionH>
                      <wp:positionV relativeFrom="line">
                        <wp:posOffset>635</wp:posOffset>
                      </wp:positionV>
                      <wp:extent cx="133985" cy="175260"/>
                      <wp:effectExtent l="0" t="0" r="0" b="0"/>
                      <wp:wrapNone/>
                      <wp:docPr id="522" name="Frame5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4">
                      <wp:simplePos x="0" y="0"/>
                      <wp:positionH relativeFrom="character">
                        <wp:align>left</wp:align>
                      </wp:positionH>
                      <wp:positionV relativeFrom="line">
                        <wp:posOffset>635</wp:posOffset>
                      </wp:positionV>
                      <wp:extent cx="495935" cy="175260"/>
                      <wp:effectExtent l="0" t="0" r="0" b="0"/>
                      <wp:wrapNone/>
                      <wp:docPr id="523" name="Frame52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5">
                      <wp:simplePos x="0" y="0"/>
                      <wp:positionH relativeFrom="character">
                        <wp:align>left</wp:align>
                      </wp:positionH>
                      <wp:positionV relativeFrom="line">
                        <wp:posOffset>635</wp:posOffset>
                      </wp:positionV>
                      <wp:extent cx="258445" cy="175260"/>
                      <wp:effectExtent l="0" t="0" r="0" b="0"/>
                      <wp:wrapNone/>
                      <wp:docPr id="524" name="Frame524"/>
                      <a:graphic xmlns:a="http://schemas.openxmlformats.org/drawingml/2006/main">
                        <a:graphicData uri="http://schemas.microsoft.com/office/word/2010/wordprocessingShape">
                          <wps:wsp>
                            <wps:cNvSpPr txBox="1"/>
                            <wps:spPr>
                              <a:xfrm>
                                <a:off x="0" y="0"/>
                                <a:ext cx="2584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11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35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407" w:type="dxa"/>
            <w:tcBorders/>
            <w:vAlign w:val="center"/>
          </w:tcPr>
          <w:p>
            <w:pPr>
              <w:pStyle w:val="TableContents"/>
              <w:bidi w:val="0"/>
              <w:spacing w:before="0" w:after="0"/>
              <w:ind w:left="0" w:right="0" w:hanging="0"/>
              <w:jc w:val="center"/>
              <w:rPr/>
            </w:pPr>
            <w:r>
              <w:rPr/>
              <w:t>​</w:t>
            </w:r>
          </w:p>
        </w:tc>
      </w:tr>
      <w:tr>
        <w:trPr/>
        <w:tc>
          <w:tcPr>
            <w:tcW w:w="711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35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407" w:type="dxa"/>
            <w:tcBorders/>
            <w:vAlign w:val="center"/>
          </w:tcPr>
          <w:p>
            <w:pPr>
              <w:pStyle w:val="TableContents"/>
              <w:bidi w:val="0"/>
              <w:spacing w:before="0" w:after="0"/>
              <w:ind w:left="0" w:right="0" w:hanging="0"/>
              <w:jc w:val="center"/>
              <w:rPr/>
            </w:pPr>
            <w:r>
              <w:rPr/>
              <w:t>​</w:t>
            </w:r>
          </w:p>
        </w:tc>
      </w:tr>
      <w:tr>
        <w:trPr/>
        <w:tc>
          <w:tcPr>
            <w:tcW w:w="7117"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thousands)</w:t>
            </w:r>
          </w:p>
        </w:tc>
        <w:tc>
          <w:tcPr>
            <w:tcW w:w="326" w:type="dxa"/>
            <w:tcBorders/>
            <w:vAlign w:val="center"/>
          </w:tcPr>
          <w:p>
            <w:pPr>
              <w:pStyle w:val="TableContents"/>
              <w:bidi w:val="0"/>
              <w:spacing w:before="0" w:after="0"/>
              <w:ind w:left="0" w:right="0" w:hanging="0"/>
              <w:jc w:val="center"/>
              <w:rPr/>
            </w:pPr>
            <w:r>
              <w:rPr/>
              <w:t>    </w:t>
            </w:r>
          </w:p>
        </w:tc>
        <w:tc>
          <w:tcPr>
            <w:tcW w:w="10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61"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407" w:type="dxa"/>
            <w:tcBorders/>
            <w:vAlign w:val="center"/>
          </w:tcPr>
          <w:p>
            <w:pPr>
              <w:pStyle w:val="TableContents"/>
              <w:bidi w:val="0"/>
              <w:spacing w:before="0" w:after="0"/>
              <w:ind w:left="0" w:right="0" w:hanging="0"/>
              <w:jc w:val="center"/>
              <w:rPr/>
            </w:pPr>
            <w:r>
              <w:rPr/>
              <w:t>​</w:t>
            </w:r>
          </w:p>
        </w:tc>
      </w:tr>
      <w:tr>
        <w:trPr/>
        <w:tc>
          <w:tcPr>
            <w:tcW w:w="10205" w:type="dxa"/>
            <w:gridSpan w:val="8"/>
            <w:tcBorders/>
            <w:vAlign w:val="center"/>
          </w:tcPr>
          <w:p>
            <w:pPr>
              <w:pStyle w:val="TableContents"/>
              <w:bidi w:val="0"/>
              <w:spacing w:before="0" w:after="283"/>
              <w:ind w:left="0" w:right="0" w:hanging="0"/>
              <w:jc w:val="left"/>
              <w:rPr>
                <w:sz w:val="4"/>
                <w:szCs w:val="4"/>
              </w:rPr>
            </w:pPr>
            <w:r>
              <w:rPr>
                <w:sz w:val="4"/>
                <w:szCs w:val="4"/>
              </w:rPr>
            </w:r>
          </w:p>
        </w:tc>
      </w:tr>
      <w:tr>
        <w:trPr/>
        <w:tc>
          <w:tcPr>
            <w:tcW w:w="711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2144"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407" w:type="dxa"/>
            <w:tcBorders/>
            <w:vAlign w:val="center"/>
          </w:tcPr>
          <w:p>
            <w:pPr>
              <w:pStyle w:val="TableContents"/>
              <w:bidi w:val="0"/>
              <w:spacing w:before="0" w:after="0"/>
              <w:ind w:left="0" w:right="0" w:hanging="0"/>
              <w:jc w:val="center"/>
              <w:rPr/>
            </w:pPr>
            <w:r>
              <w:rPr/>
              <w:t>​</w:t>
            </w:r>
          </w:p>
        </w:tc>
      </w:tr>
      <w:tr>
        <w:trPr/>
        <w:tc>
          <w:tcPr>
            <w:tcW w:w="7117"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Adjusted EBITDA:</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1" w:type="dxa"/>
            <w:tcBorders/>
            <w:shd w:fill="CCEEFF" w:val="clear"/>
            <w:vAlign w:val="center"/>
          </w:tcPr>
          <w:p>
            <w:pPr>
              <w:pStyle w:val="TableContents"/>
              <w:bidi w:val="0"/>
              <w:spacing w:before="0" w:after="0"/>
              <w:ind w:left="0" w:right="0" w:hanging="0"/>
              <w:jc w:val="left"/>
              <w:rPr>
                <w:color w:val="FF0000"/>
              </w:rPr>
            </w:pPr>
            <w:r>
              <w:rPr>
                <w:color w:val="FF0000"/>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407" w:type="dxa"/>
            <w:tcBorders/>
            <w:shd w:fill="CCEEFF" w:val="clear"/>
            <w:vAlign w:val="center"/>
          </w:tcPr>
          <w:p>
            <w:pPr>
              <w:pStyle w:val="TableContents"/>
              <w:bidi w:val="0"/>
              <w:spacing w:before="0" w:after="0"/>
              <w:ind w:left="0" w:right="0" w:hanging="0"/>
              <w:jc w:val="left"/>
              <w:rPr/>
            </w:pPr>
            <w:r>
              <w:rPr/>
              <w:t>​</w:t>
            </w:r>
          </w:p>
        </w:tc>
      </w:tr>
      <w:tr>
        <w:trPr/>
        <w:tc>
          <w:tcPr>
            <w:tcW w:w="7117"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income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11,130</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2,684</w:t>
            </w:r>
          </w:p>
        </w:tc>
        <w:tc>
          <w:tcPr>
            <w:tcW w:w="407" w:type="dxa"/>
            <w:tcBorders/>
            <w:vAlign w:val="center"/>
          </w:tcPr>
          <w:p>
            <w:pPr>
              <w:pStyle w:val="TableContents"/>
              <w:bidi w:val="0"/>
              <w:spacing w:before="0" w:after="0"/>
              <w:ind w:left="0" w:right="0" w:hanging="0"/>
              <w:jc w:val="left"/>
              <w:rPr/>
            </w:pPr>
            <w:r>
              <w:rPr/>
              <w:t>​</w:t>
            </w:r>
          </w:p>
        </w:tc>
      </w:tr>
      <w:tr>
        <w:trPr/>
        <w:tc>
          <w:tcPr>
            <w:tcW w:w="71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Interest expense (income), net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(1,539)</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w:t>
            </w:r>
          </w:p>
        </w:tc>
        <w:tc>
          <w:tcPr>
            <w:tcW w:w="407" w:type="dxa"/>
            <w:tcBorders/>
            <w:shd w:fill="CCEEFF" w:val="clear"/>
            <w:vAlign w:val="center"/>
          </w:tcPr>
          <w:p>
            <w:pPr>
              <w:pStyle w:val="TableContents"/>
              <w:bidi w:val="0"/>
              <w:spacing w:before="0" w:after="0"/>
              <w:ind w:left="0" w:right="0" w:hanging="0"/>
              <w:jc w:val="right"/>
              <w:rPr/>
            </w:pPr>
            <w:r>
              <w:rPr/>
              <w:t>​</w:t>
            </w:r>
          </w:p>
        </w:tc>
      </w:tr>
      <w:tr>
        <w:trPr/>
        <w:tc>
          <w:tcPr>
            <w:tcW w:w="71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benefit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(5,105)</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(4,535)</w:t>
            </w:r>
          </w:p>
        </w:tc>
        <w:tc>
          <w:tcPr>
            <w:tcW w:w="407" w:type="dxa"/>
            <w:tcBorders/>
            <w:vAlign w:val="center"/>
          </w:tcPr>
          <w:p>
            <w:pPr>
              <w:pStyle w:val="TableContents"/>
              <w:bidi w:val="0"/>
              <w:spacing w:before="0" w:after="0"/>
              <w:ind w:left="0" w:right="0" w:hanging="0"/>
              <w:jc w:val="right"/>
              <w:rPr/>
            </w:pPr>
            <w:r>
              <w:rPr/>
              <w:t>​</w:t>
            </w:r>
          </w:p>
        </w:tc>
      </w:tr>
      <w:tr>
        <w:trPr/>
        <w:tc>
          <w:tcPr>
            <w:tcW w:w="71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 – property and equipment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5,880</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5,006</w:t>
            </w:r>
          </w:p>
        </w:tc>
        <w:tc>
          <w:tcPr>
            <w:tcW w:w="407" w:type="dxa"/>
            <w:tcBorders/>
            <w:shd w:fill="CCEEFF" w:val="clear"/>
            <w:vAlign w:val="center"/>
          </w:tcPr>
          <w:p>
            <w:pPr>
              <w:pStyle w:val="TableContents"/>
              <w:bidi w:val="0"/>
              <w:spacing w:before="0" w:after="0"/>
              <w:ind w:left="0" w:right="0" w:hanging="0"/>
              <w:jc w:val="right"/>
              <w:rPr/>
            </w:pPr>
            <w:r>
              <w:rPr/>
              <w:t>​</w:t>
            </w:r>
          </w:p>
        </w:tc>
      </w:tr>
      <w:tr>
        <w:trPr/>
        <w:tc>
          <w:tcPr>
            <w:tcW w:w="71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 of capitalized software and acquired intangible assets – cost of subscription revenues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15,855</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15,347</w:t>
            </w:r>
          </w:p>
        </w:tc>
        <w:tc>
          <w:tcPr>
            <w:tcW w:w="407" w:type="dxa"/>
            <w:tcBorders/>
            <w:vAlign w:val="center"/>
          </w:tcPr>
          <w:p>
            <w:pPr>
              <w:pStyle w:val="TableContents"/>
              <w:bidi w:val="0"/>
              <w:spacing w:before="0" w:after="0"/>
              <w:ind w:left="0" w:right="0" w:hanging="0"/>
              <w:jc w:val="right"/>
              <w:rPr/>
            </w:pPr>
            <w:r>
              <w:rPr/>
              <w:t>​</w:t>
            </w:r>
          </w:p>
        </w:tc>
      </w:tr>
      <w:tr>
        <w:trPr/>
        <w:tc>
          <w:tcPr>
            <w:tcW w:w="71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acquired intangible assets – selling and marketing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531</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595</w:t>
            </w:r>
          </w:p>
        </w:tc>
        <w:tc>
          <w:tcPr>
            <w:tcW w:w="407" w:type="dxa"/>
            <w:tcBorders/>
            <w:shd w:fill="CCEEFF" w:val="clear"/>
            <w:vAlign w:val="center"/>
          </w:tcPr>
          <w:p>
            <w:pPr>
              <w:pStyle w:val="TableContents"/>
              <w:bidi w:val="0"/>
              <w:spacing w:before="0" w:after="0"/>
              <w:ind w:left="0" w:right="0" w:hanging="0"/>
              <w:jc w:val="right"/>
              <w:rPr/>
            </w:pPr>
            <w:r>
              <w:rPr/>
              <w:t>​</w:t>
            </w:r>
          </w:p>
        </w:tc>
      </w:tr>
      <w:tr>
        <w:trPr/>
        <w:tc>
          <w:tcPr>
            <w:tcW w:w="71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cloud computing implementation costs – general and administrative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1,006</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994</w:t>
            </w:r>
          </w:p>
        </w:tc>
        <w:tc>
          <w:tcPr>
            <w:tcW w:w="407" w:type="dxa"/>
            <w:tcBorders/>
            <w:vAlign w:val="center"/>
          </w:tcPr>
          <w:p>
            <w:pPr>
              <w:pStyle w:val="TableContents"/>
              <w:bidi w:val="0"/>
              <w:spacing w:before="0" w:after="0"/>
              <w:ind w:left="0" w:right="0" w:hanging="0"/>
              <w:jc w:val="right"/>
              <w:rPr/>
            </w:pPr>
            <w:r>
              <w:rPr/>
              <w:t>​</w:t>
            </w:r>
          </w:p>
        </w:tc>
      </w:tr>
      <w:tr>
        <w:trPr/>
        <w:tc>
          <w:tcPr>
            <w:tcW w:w="71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21,044</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16,324</w:t>
            </w:r>
          </w:p>
        </w:tc>
        <w:tc>
          <w:tcPr>
            <w:tcW w:w="407" w:type="dxa"/>
            <w:tcBorders/>
            <w:shd w:fill="CCEEFF" w:val="clear"/>
            <w:vAlign w:val="center"/>
          </w:tcPr>
          <w:p>
            <w:pPr>
              <w:pStyle w:val="TableContents"/>
              <w:bidi w:val="0"/>
              <w:spacing w:before="0" w:after="0"/>
              <w:ind w:left="0" w:right="0" w:hanging="0"/>
              <w:jc w:val="right"/>
              <w:rPr/>
            </w:pPr>
            <w:r>
              <w:rPr/>
              <w:t>​</w:t>
            </w:r>
          </w:p>
        </w:tc>
      </w:tr>
      <w:tr>
        <w:trPr/>
        <w:tc>
          <w:tcPr>
            <w:tcW w:w="71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Severance expense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457</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842</w:t>
            </w:r>
          </w:p>
        </w:tc>
        <w:tc>
          <w:tcPr>
            <w:tcW w:w="407" w:type="dxa"/>
            <w:tcBorders/>
            <w:vAlign w:val="center"/>
          </w:tcPr>
          <w:p>
            <w:pPr>
              <w:pStyle w:val="TableContents"/>
              <w:bidi w:val="0"/>
              <w:spacing w:before="0" w:after="0"/>
              <w:ind w:left="0" w:right="0" w:hanging="0"/>
              <w:jc w:val="right"/>
              <w:rPr/>
            </w:pPr>
            <w:r>
              <w:rPr/>
              <w:t>​</w:t>
            </w:r>
          </w:p>
        </w:tc>
      </w:tr>
      <w:tr>
        <w:trPr/>
        <w:tc>
          <w:tcPr>
            <w:tcW w:w="71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Acquisition contingent consideration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1"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(800)</w:t>
            </w:r>
          </w:p>
        </w:tc>
        <w:tc>
          <w:tcPr>
            <w:tcW w:w="407" w:type="dxa"/>
            <w:tcBorders/>
            <w:shd w:fill="CCEEFF" w:val="clear"/>
            <w:vAlign w:val="center"/>
          </w:tcPr>
          <w:p>
            <w:pPr>
              <w:pStyle w:val="TableContents"/>
              <w:bidi w:val="0"/>
              <w:spacing w:before="0" w:after="0"/>
              <w:ind w:left="0" w:right="0" w:hanging="0"/>
              <w:jc w:val="right"/>
              <w:rPr/>
            </w:pPr>
            <w:r>
              <w:rPr/>
              <w:t>​</w:t>
            </w:r>
          </w:p>
        </w:tc>
      </w:tr>
      <w:tr>
        <w:trPr/>
        <w:tc>
          <w:tcPr>
            <w:tcW w:w="71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acquisition contingent earn-outs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(14,700)</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407" w:type="dxa"/>
            <w:tcBorders/>
            <w:vAlign w:val="center"/>
          </w:tcPr>
          <w:p>
            <w:pPr>
              <w:pStyle w:val="TableContents"/>
              <w:bidi w:val="0"/>
              <w:spacing w:before="0" w:after="0"/>
              <w:ind w:left="0" w:right="0" w:hanging="0"/>
              <w:jc w:val="right"/>
              <w:rPr/>
            </w:pPr>
            <w:r>
              <w:rPr/>
              <w:t>​</w:t>
            </w:r>
          </w:p>
        </w:tc>
      </w:tr>
      <w:tr>
        <w:trPr/>
        <w:tc>
          <w:tcPr>
            <w:tcW w:w="71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Transaction costs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2,660</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407" w:type="dxa"/>
            <w:tcBorders/>
            <w:shd w:fill="CCEEFF" w:val="clear"/>
            <w:vAlign w:val="center"/>
          </w:tcPr>
          <w:p>
            <w:pPr>
              <w:pStyle w:val="TableContents"/>
              <w:bidi w:val="0"/>
              <w:spacing w:before="0" w:after="0"/>
              <w:ind w:left="0" w:right="0" w:hanging="0"/>
              <w:jc w:val="right"/>
              <w:rPr/>
            </w:pPr>
            <w:r>
              <w:rPr/>
              <w:t>​</w:t>
            </w:r>
          </w:p>
        </w:tc>
      </w:tr>
      <w:tr>
        <w:trPr/>
        <w:tc>
          <w:tcPr>
            <w:tcW w:w="7117"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Adjusted EBITDA</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37,219</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36,743</w:t>
            </w:r>
          </w:p>
        </w:tc>
        <w:tc>
          <w:tcPr>
            <w:tcW w:w="407" w:type="dxa"/>
            <w:tcBorders/>
            <w:vAlign w:val="center"/>
          </w:tcPr>
          <w:p>
            <w:pPr>
              <w:pStyle w:val="TableContents"/>
              <w:bidi w:val="0"/>
              <w:spacing w:before="0" w:after="0"/>
              <w:ind w:left="0" w:right="0" w:hanging="0"/>
              <w:jc w:val="right"/>
              <w:rPr/>
            </w:pPr>
            <w:r>
              <w:rPr/>
              <w:t>​</w:t>
            </w:r>
          </w:p>
        </w:tc>
      </w:tr>
      <w:tr>
        <w:trPr/>
        <w:tc>
          <w:tcPr>
            <w:tcW w:w="7117"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1"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407" w:type="dxa"/>
            <w:tcBorders/>
            <w:shd w:fill="CCEEFF" w:val="clear"/>
            <w:vAlign w:val="center"/>
          </w:tcPr>
          <w:p>
            <w:pPr>
              <w:pStyle w:val="TableContents"/>
              <w:bidi w:val="0"/>
              <w:spacing w:before="0" w:after="0"/>
              <w:ind w:left="0" w:right="0" w:hanging="0"/>
              <w:jc w:val="right"/>
              <w:rPr/>
            </w:pPr>
            <w:r>
              <w:rPr/>
              <w:t>​</w:t>
            </w:r>
          </w:p>
        </w:tc>
      </w:tr>
      <w:tr>
        <w:trPr/>
        <w:tc>
          <w:tcPr>
            <w:tcW w:w="7117"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Adjusted EBITDA Margin: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hanging="0"/>
              <w:jc w:val="right"/>
              <w:rPr/>
            </w:pPr>
            <w:r>
              <w:rPr/>
              <w:t>  </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c>
          <w:tcPr>
            <w:tcW w:w="407" w:type="dxa"/>
            <w:tcBorders/>
            <w:vAlign w:val="center"/>
          </w:tcPr>
          <w:p>
            <w:pPr>
              <w:pStyle w:val="TableContents"/>
              <w:bidi w:val="0"/>
              <w:spacing w:before="0" w:after="0"/>
              <w:ind w:left="0" w:right="0" w:hanging="0"/>
              <w:jc w:val="right"/>
              <w:rPr/>
            </w:pPr>
            <w:r>
              <w:rPr/>
              <w:t>​</w:t>
            </w:r>
          </w:p>
        </w:tc>
      </w:tr>
      <w:tr>
        <w:trPr/>
        <w:tc>
          <w:tcPr>
            <w:tcW w:w="71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177,062</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156,781</w:t>
            </w:r>
          </w:p>
        </w:tc>
        <w:tc>
          <w:tcPr>
            <w:tcW w:w="407" w:type="dxa"/>
            <w:tcBorders/>
            <w:shd w:fill="CCEEFF" w:val="clear"/>
            <w:vAlign w:val="center"/>
          </w:tcPr>
          <w:p>
            <w:pPr>
              <w:pStyle w:val="TableContents"/>
              <w:bidi w:val="0"/>
              <w:spacing w:before="0" w:after="0"/>
              <w:ind w:left="0" w:right="0" w:hanging="0"/>
              <w:jc w:val="right"/>
              <w:rPr/>
            </w:pPr>
            <w:r>
              <w:rPr/>
              <w:t>​</w:t>
            </w:r>
          </w:p>
        </w:tc>
      </w:tr>
      <w:tr>
        <w:trPr/>
        <w:tc>
          <w:tcPr>
            <w:tcW w:w="7117"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Adjusted EBITDA margin</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7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w:t>
            </w:r>
          </w:p>
        </w:tc>
        <w:tc>
          <w:tcPr>
            <w:tcW w:w="4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bl>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increase in Adjusted EBITDA for the three months ended March 31, 2025 of $0.5 million over the comparable period in 2024 was primarily driven by a $19.0 million increase in non-GAAP gross profit, which was partially offset by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increases of $9.0 million in non-GAAP general and administrative expense, $6.1 million in non-GAAP selling and marketing expense, and $3.1 million in non-GAAP research and development expense. Adjusted EBITDA margin decreased to 21.0% for the three months ended March 31, 2025, compared to 23.4% for the comparable period in 2024, primarily due to strategic investments into information technology infrastructure, business and re-engineering processes and other initiatives related to our 2024 acquisitions.</w:t>
      </w:r>
    </w:p>
    <w:p>
      <w:pPr>
        <w:pStyle w:val="TextBody"/>
        <w:bidi w:val="0"/>
        <w:spacing w:before="0" w:after="0"/>
        <w:ind w:left="0" w:right="0" w:hanging="0"/>
        <w:jc w:val="left"/>
        <w:rPr>
          <w:color w:val="FF0000"/>
        </w:rPr>
      </w:pPr>
      <w:r>
        <w:rPr>
          <w:color w:val="FF0000"/>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Free Cash Flow and Free Cash Flow Margin.</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We use free cash flow as a critical measure in the evaluation of liquidity in conjunction with related GAAP amounts. We also use this measure when considering available cash, including for decision-making purposes related to dividends and discretionary investments. We consider free cash flow to be an important measure for investors because it measures the amount of cash we generate from our operations after our capital expenditures and capitalization of software development costs. In addition, we base certain of our forward-looking estimates and budgets on free cash flow and free cash flow margin. We define free cash flow as the total of net cash provided by operating activities less purchases of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property and equipment and capitalized software. We define free cash flow margin as free cash flow divided by total revenues for the same period.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net cash provided by operating activities was $14.8 million and $24.6 million for the three months ended March 31, 2025 and 2024, respectively, while our operating cash flow margin was 8.4% and 15.7% over the same periods, respectively.</w:t>
      </w:r>
    </w:p>
    <w:p>
      <w:pPr>
        <w:pStyle w:val="TextBody"/>
        <w:bidi w:val="0"/>
        <w:spacing w:before="0" w:after="240"/>
        <w:ind w:left="0" w:right="0" w:firstLine="360"/>
        <w:jc w:val="both"/>
        <w:rPr>
          <w:color w:val="FF0000"/>
        </w:rPr>
      </w:pPr>
      <w:r>
        <w:rPr>
          <w:color w:val="FF0000"/>
        </w:rPr>
        <w:t>​</w:t>
      </w:r>
    </w:p>
    <w:tbl>
      <w:tblPr>
        <w:tblW w:w="6412" w:type="dxa"/>
        <w:jc w:val="left"/>
        <w:tblInd w:w="0" w:type="dxa"/>
        <w:tblLayout w:type="fixed"/>
        <w:tblCellMar>
          <w:top w:w="0" w:type="dxa"/>
          <w:left w:w="0" w:type="dxa"/>
          <w:bottom w:w="0" w:type="dxa"/>
          <w:right w:w="0" w:type="dxa"/>
        </w:tblCellMar>
      </w:tblPr>
      <w:tblGrid>
        <w:gridCol w:w="3286"/>
        <w:gridCol w:w="326"/>
        <w:gridCol w:w="211"/>
        <w:gridCol w:w="796"/>
        <w:gridCol w:w="361"/>
        <w:gridCol w:w="109"/>
        <w:gridCol w:w="211"/>
        <w:gridCol w:w="796"/>
        <w:gridCol w:w="316"/>
      </w:tblGrid>
      <w:tr>
        <w:trPr/>
        <w:tc>
          <w:tcPr>
            <w:tcW w:w="3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6">
                      <wp:simplePos x="0" y="0"/>
                      <wp:positionH relativeFrom="character">
                        <wp:align>left</wp:align>
                      </wp:positionH>
                      <wp:positionV relativeFrom="line">
                        <wp:posOffset>635</wp:posOffset>
                      </wp:positionV>
                      <wp:extent cx="2086610" cy="175260"/>
                      <wp:effectExtent l="0" t="0" r="0" b="0"/>
                      <wp:wrapNone/>
                      <wp:docPr id="525" name="Frame525"/>
                      <a:graphic xmlns:a="http://schemas.openxmlformats.org/drawingml/2006/main">
                        <a:graphicData uri="http://schemas.microsoft.com/office/word/2010/wordprocessingShape">
                          <wps:wsp>
                            <wps:cNvSpPr txBox="1"/>
                            <wps:spPr>
                              <a:xfrm>
                                <a:off x="0" y="0"/>
                                <a:ext cx="2086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7">
                      <wp:simplePos x="0" y="0"/>
                      <wp:positionH relativeFrom="character">
                        <wp:align>left</wp:align>
                      </wp:positionH>
                      <wp:positionV relativeFrom="line">
                        <wp:posOffset>635</wp:posOffset>
                      </wp:positionV>
                      <wp:extent cx="207010" cy="175260"/>
                      <wp:effectExtent l="0" t="0" r="0" b="0"/>
                      <wp:wrapNone/>
                      <wp:docPr id="526" name="Frame5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8">
                      <wp:simplePos x="0" y="0"/>
                      <wp:positionH relativeFrom="character">
                        <wp:align>left</wp:align>
                      </wp:positionH>
                      <wp:positionV relativeFrom="line">
                        <wp:posOffset>635</wp:posOffset>
                      </wp:positionV>
                      <wp:extent cx="133985" cy="175260"/>
                      <wp:effectExtent l="0" t="0" r="0" b="0"/>
                      <wp:wrapNone/>
                      <wp:docPr id="527" name="Frame52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9">
                      <wp:simplePos x="0" y="0"/>
                      <wp:positionH relativeFrom="character">
                        <wp:align>left</wp:align>
                      </wp:positionH>
                      <wp:positionV relativeFrom="line">
                        <wp:posOffset>635</wp:posOffset>
                      </wp:positionV>
                      <wp:extent cx="505460" cy="175260"/>
                      <wp:effectExtent l="0" t="0" r="0" b="0"/>
                      <wp:wrapNone/>
                      <wp:docPr id="528" name="Frame528"/>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0">
                      <wp:simplePos x="0" y="0"/>
                      <wp:positionH relativeFrom="character">
                        <wp:align>left</wp:align>
                      </wp:positionH>
                      <wp:positionV relativeFrom="line">
                        <wp:posOffset>635</wp:posOffset>
                      </wp:positionV>
                      <wp:extent cx="229235" cy="175260"/>
                      <wp:effectExtent l="0" t="0" r="0" b="0"/>
                      <wp:wrapNone/>
                      <wp:docPr id="529" name="Frame529"/>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1">
                      <wp:simplePos x="0" y="0"/>
                      <wp:positionH relativeFrom="character">
                        <wp:align>left</wp:align>
                      </wp:positionH>
                      <wp:positionV relativeFrom="line">
                        <wp:posOffset>635</wp:posOffset>
                      </wp:positionV>
                      <wp:extent cx="69215" cy="175260"/>
                      <wp:effectExtent l="0" t="0" r="0" b="0"/>
                      <wp:wrapNone/>
                      <wp:docPr id="530" name="Frame53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2">
                      <wp:simplePos x="0" y="0"/>
                      <wp:positionH relativeFrom="character">
                        <wp:align>left</wp:align>
                      </wp:positionH>
                      <wp:positionV relativeFrom="line">
                        <wp:posOffset>635</wp:posOffset>
                      </wp:positionV>
                      <wp:extent cx="133985" cy="175260"/>
                      <wp:effectExtent l="0" t="0" r="0" b="0"/>
                      <wp:wrapNone/>
                      <wp:docPr id="531" name="Frame5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3">
                      <wp:simplePos x="0" y="0"/>
                      <wp:positionH relativeFrom="character">
                        <wp:align>left</wp:align>
                      </wp:positionH>
                      <wp:positionV relativeFrom="line">
                        <wp:posOffset>635</wp:posOffset>
                      </wp:positionV>
                      <wp:extent cx="505460" cy="175260"/>
                      <wp:effectExtent l="0" t="0" r="0" b="0"/>
                      <wp:wrapNone/>
                      <wp:docPr id="532" name="Frame532"/>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4">
                      <wp:simplePos x="0" y="0"/>
                      <wp:positionH relativeFrom="character">
                        <wp:align>left</wp:align>
                      </wp:positionH>
                      <wp:positionV relativeFrom="line">
                        <wp:posOffset>635</wp:posOffset>
                      </wp:positionV>
                      <wp:extent cx="200660" cy="175260"/>
                      <wp:effectExtent l="0" t="0" r="0" b="0"/>
                      <wp:wrapNone/>
                      <wp:docPr id="533" name="Frame533"/>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484" w:type="dxa"/>
            <w:gridSpan w:val="6"/>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316" w:type="dxa"/>
            <w:tcBorders/>
            <w:vAlign w:val="center"/>
          </w:tcPr>
          <w:p>
            <w:pPr>
              <w:pStyle w:val="TableContents"/>
              <w:bidi w:val="0"/>
              <w:spacing w:before="0" w:after="0"/>
              <w:ind w:left="0" w:right="0" w:hanging="0"/>
              <w:jc w:val="center"/>
              <w:rPr/>
            </w:pPr>
            <w:r>
              <w:rPr/>
              <w:t>​</w:t>
            </w:r>
          </w:p>
        </w:tc>
      </w:tr>
      <w:tr>
        <w:trPr/>
        <w:tc>
          <w:tcPr>
            <w:tcW w:w="32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484"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16" w:type="dxa"/>
            <w:tcBorders/>
            <w:vAlign w:val="center"/>
          </w:tcPr>
          <w:p>
            <w:pPr>
              <w:pStyle w:val="TableContents"/>
              <w:bidi w:val="0"/>
              <w:spacing w:before="0" w:after="0"/>
              <w:ind w:left="0" w:right="0" w:hanging="0"/>
              <w:jc w:val="center"/>
              <w:rPr/>
            </w:pPr>
            <w:r>
              <w:rPr/>
              <w:t>​</w:t>
            </w:r>
          </w:p>
        </w:tc>
      </w:tr>
      <w:tr>
        <w:trPr/>
        <w:tc>
          <w:tcPr>
            <w:tcW w:w="328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thousands)</w:t>
            </w:r>
          </w:p>
        </w:tc>
        <w:tc>
          <w:tcPr>
            <w:tcW w:w="326" w:type="dxa"/>
            <w:tcBorders/>
            <w:vAlign w:val="center"/>
          </w:tcPr>
          <w:p>
            <w:pPr>
              <w:pStyle w:val="TableContents"/>
              <w:bidi w:val="0"/>
              <w:spacing w:before="0" w:after="0"/>
              <w:ind w:left="0" w:right="0" w:hanging="0"/>
              <w:jc w:val="center"/>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61"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16" w:type="dxa"/>
            <w:tcBorders/>
            <w:vAlign w:val="center"/>
          </w:tcPr>
          <w:p>
            <w:pPr>
              <w:pStyle w:val="TableContents"/>
              <w:bidi w:val="0"/>
              <w:spacing w:before="0" w:after="0"/>
              <w:ind w:left="0" w:right="0" w:hanging="0"/>
              <w:jc w:val="center"/>
              <w:rPr/>
            </w:pPr>
            <w:r>
              <w:rPr/>
              <w:t>​</w:t>
            </w:r>
          </w:p>
        </w:tc>
      </w:tr>
      <w:tr>
        <w:trPr/>
        <w:tc>
          <w:tcPr>
            <w:tcW w:w="6412" w:type="dxa"/>
            <w:gridSpan w:val="9"/>
            <w:tcBorders/>
            <w:vAlign w:val="center"/>
          </w:tcPr>
          <w:p>
            <w:pPr>
              <w:pStyle w:val="TableContents"/>
              <w:bidi w:val="0"/>
              <w:spacing w:before="0" w:after="283"/>
              <w:ind w:left="0" w:right="0" w:hanging="0"/>
              <w:jc w:val="left"/>
              <w:rPr>
                <w:sz w:val="4"/>
                <w:szCs w:val="4"/>
              </w:rPr>
            </w:pPr>
            <w:r>
              <w:rPr>
                <w:sz w:val="4"/>
                <w:szCs w:val="4"/>
              </w:rPr>
            </w:r>
          </w:p>
        </w:tc>
      </w:tr>
      <w:tr>
        <w:trPr/>
        <w:tc>
          <w:tcPr>
            <w:tcW w:w="32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2273"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16" w:type="dxa"/>
            <w:tcBorders/>
            <w:vAlign w:val="center"/>
          </w:tcPr>
          <w:p>
            <w:pPr>
              <w:pStyle w:val="TableContents"/>
              <w:bidi w:val="0"/>
              <w:spacing w:before="0" w:after="0"/>
              <w:ind w:left="0" w:right="0" w:hanging="0"/>
              <w:jc w:val="left"/>
              <w:rPr/>
            </w:pPr>
            <w:r>
              <w:rPr/>
              <w:t>​</w:t>
            </w:r>
          </w:p>
        </w:tc>
      </w:tr>
      <w:tr>
        <w:trPr/>
        <w:tc>
          <w:tcPr>
            <w:tcW w:w="328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Free Cash Flow:</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96" w:type="dxa"/>
            <w:tcBorders/>
            <w:shd w:fill="CCEEFF" w:val="clear"/>
            <w:vAlign w:val="center"/>
          </w:tcPr>
          <w:p>
            <w:pPr>
              <w:pStyle w:val="TableContents"/>
              <w:bidi w:val="0"/>
              <w:spacing w:before="0" w:after="0"/>
              <w:ind w:left="0" w:right="0" w:hanging="0"/>
              <w:jc w:val="center"/>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96" w:type="dxa"/>
            <w:tcBorders/>
            <w:shd w:fill="CCEEFF" w:val="clear"/>
            <w:vAlign w:val="center"/>
          </w:tcPr>
          <w:p>
            <w:pPr>
              <w:pStyle w:val="TableContents"/>
              <w:bidi w:val="0"/>
              <w:spacing w:before="0" w:after="0"/>
              <w:ind w:left="0" w:right="0" w:hanging="0"/>
              <w:jc w:val="center"/>
              <w:rPr/>
            </w:pPr>
            <w:r>
              <w:rPr/>
              <w:t>​</w:t>
            </w:r>
          </w:p>
        </w:tc>
        <w:tc>
          <w:tcPr>
            <w:tcW w:w="316" w:type="dxa"/>
            <w:tcBorders/>
            <w:shd w:fill="CCEEFF" w:val="clear"/>
            <w:vAlign w:val="center"/>
          </w:tcPr>
          <w:p>
            <w:pPr>
              <w:pStyle w:val="TableContents"/>
              <w:bidi w:val="0"/>
              <w:spacing w:before="0" w:after="0"/>
              <w:ind w:left="0" w:right="0" w:hanging="0"/>
              <w:jc w:val="center"/>
              <w:rPr/>
            </w:pPr>
            <w:r>
              <w:rPr/>
              <w:t>​</w:t>
            </w:r>
          </w:p>
        </w:tc>
      </w:tr>
      <w:tr>
        <w:trPr/>
        <w:tc>
          <w:tcPr>
            <w:tcW w:w="328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provided by operating activities</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14,805</w:t>
            </w:r>
          </w:p>
        </w:tc>
        <w:tc>
          <w:tcPr>
            <w:tcW w:w="36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24,566</w:t>
            </w:r>
          </w:p>
        </w:tc>
        <w:tc>
          <w:tcPr>
            <w:tcW w:w="316" w:type="dxa"/>
            <w:tcBorders/>
            <w:vAlign w:val="center"/>
          </w:tcPr>
          <w:p>
            <w:pPr>
              <w:pStyle w:val="TableContents"/>
              <w:bidi w:val="0"/>
              <w:spacing w:before="0" w:after="0"/>
              <w:ind w:left="0" w:right="0" w:hanging="0"/>
              <w:jc w:val="right"/>
              <w:rPr/>
            </w:pPr>
            <w:r>
              <w:rPr/>
              <w:t>​</w:t>
            </w:r>
          </w:p>
        </w:tc>
      </w:tr>
      <w:tr>
        <w:trPr/>
        <w:tc>
          <w:tcPr>
            <w:tcW w:w="32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additions</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(21,394)</w:t>
            </w:r>
          </w:p>
        </w:tc>
        <w:tc>
          <w:tcPr>
            <w:tcW w:w="361"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(14,449)</w:t>
            </w:r>
          </w:p>
        </w:tc>
        <w:tc>
          <w:tcPr>
            <w:tcW w:w="316" w:type="dxa"/>
            <w:tcBorders/>
            <w:shd w:fill="CCEEFF" w:val="clear"/>
            <w:vAlign w:val="center"/>
          </w:tcPr>
          <w:p>
            <w:pPr>
              <w:pStyle w:val="TableContents"/>
              <w:bidi w:val="0"/>
              <w:spacing w:before="0" w:after="0"/>
              <w:ind w:left="0" w:right="0" w:hanging="0"/>
              <w:jc w:val="right"/>
              <w:rPr/>
            </w:pPr>
            <w:r>
              <w:rPr/>
              <w:t>​</w:t>
            </w:r>
          </w:p>
        </w:tc>
      </w:tr>
      <w:tr>
        <w:trPr/>
        <w:tc>
          <w:tcPr>
            <w:tcW w:w="32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Capitalized software additions</w:t>
            </w:r>
          </w:p>
        </w:tc>
        <w:tc>
          <w:tcPr>
            <w:tcW w:w="326"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(5,661)</w:t>
            </w:r>
          </w:p>
        </w:tc>
        <w:tc>
          <w:tcPr>
            <w:tcW w:w="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(5,615)</w:t>
            </w:r>
          </w:p>
        </w:tc>
        <w:tc>
          <w:tcPr>
            <w:tcW w:w="316" w:type="dxa"/>
            <w:tcBorders/>
            <w:vAlign w:val="center"/>
          </w:tcPr>
          <w:p>
            <w:pPr>
              <w:pStyle w:val="TableContents"/>
              <w:bidi w:val="0"/>
              <w:spacing w:before="0" w:after="0"/>
              <w:ind w:left="0" w:right="0" w:hanging="0"/>
              <w:jc w:val="right"/>
              <w:rPr/>
            </w:pPr>
            <w:r>
              <w:rPr/>
              <w:t>​</w:t>
            </w:r>
          </w:p>
        </w:tc>
      </w:tr>
      <w:tr>
        <w:trPr/>
        <w:tc>
          <w:tcPr>
            <w:tcW w:w="328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Free cash flow</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(12,250)</w:t>
            </w:r>
          </w:p>
        </w:tc>
        <w:tc>
          <w:tcPr>
            <w:tcW w:w="36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4,502</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2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right"/>
              <w:rPr/>
            </w:pPr>
            <w:r>
              <w:rPr/>
              <w:t>​</w:t>
            </w:r>
          </w:p>
        </w:tc>
      </w:tr>
      <w:tr>
        <w:trPr/>
        <w:tc>
          <w:tcPr>
            <w:tcW w:w="328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Free Cash Flow Margin:</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right"/>
              <w:rPr/>
            </w:pPr>
            <w:r>
              <w:rPr/>
              <w:t>​</w:t>
            </w:r>
          </w:p>
        </w:tc>
      </w:tr>
      <w:tr>
        <w:trPr/>
        <w:tc>
          <w:tcPr>
            <w:tcW w:w="32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326" w:type="dxa"/>
            <w:tcBorders/>
            <w:vAlign w:val="center"/>
          </w:tcPr>
          <w:p>
            <w:pPr>
              <w:pStyle w:val="TableContents"/>
              <w:bidi w:val="0"/>
              <w:spacing w:before="0" w:after="0"/>
              <w:ind w:left="0" w:right="0" w:hanging="0"/>
              <w:jc w:val="center"/>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177,062</w:t>
            </w:r>
          </w:p>
        </w:tc>
        <w:tc>
          <w:tcPr>
            <w:tcW w:w="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156,781</w:t>
            </w:r>
          </w:p>
        </w:tc>
        <w:tc>
          <w:tcPr>
            <w:tcW w:w="316" w:type="dxa"/>
            <w:tcBorders/>
            <w:vAlign w:val="center"/>
          </w:tcPr>
          <w:p>
            <w:pPr>
              <w:pStyle w:val="TableContents"/>
              <w:bidi w:val="0"/>
              <w:spacing w:before="0" w:after="0"/>
              <w:ind w:left="0" w:right="0" w:hanging="0"/>
              <w:jc w:val="right"/>
              <w:rPr/>
            </w:pPr>
            <w:r>
              <w:rPr/>
              <w:t>​</w:t>
            </w:r>
          </w:p>
        </w:tc>
      </w:tr>
      <w:tr>
        <w:trPr/>
        <w:tc>
          <w:tcPr>
            <w:tcW w:w="328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Free cash flow margin</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Free cash flow decreased by $16.8 million for the three months ended March 31, 2025, as compared to the same period in 2024. This decrease was primarily driven by a decrease in net cash provided by operating activities of $9.8 million, primarily attributable to the timing of cash payments during the period, as well as $7.0 million in additional investments in property and equipment, and capitalized software related to investments in infrastructure, new products, and enhancements to existing products. Free cash flow margin decreased to (6.9)% for the three months ended March 31, 2025, compared to 2.9% for the same period in 2024.</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Use and Reconciliation of Non-GAAP Financial Measures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addition to our results determined in accordance with GAAP, we have calculated Adjusted EBITDA, Adjusted EBITDA margin, free cash flow, free cash flow margin, non-GAAP cost of revenues, non-GAAP gross profit, non-GAAP gross margin, non-GAAP research and development expense, non-GAAP selling and marketing expense, non-GAAP general and administrative expense, non-GAAP operating income, and non-GAAP net income, which are each non-GAAP financial measures. We have provided tabular reconciliations of each of these non-GAAP financial measures to its most directly comparable GAAP financial measure.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use these non-GAAP financial measures to understand and compare operating results across accounting periods, for internal budgeting and forecasting purposes, and to evaluate financial performance. We use non-GAAP financial measures of free cash flow and free cash flow margin to evaluate liquidity. Our non-GAAP financial measures are presented as supplemental disclosure as we believe they provide useful information to investors and others in understanding and evaluating our results, prospects, and liquidity period-over-period without the impact of certain items that do not directly correlate to our operating performance and that may vary significantly from period to period for reasons unrelated to our operating performance, as well as comparing our financial results to those of other companies. Our definitions of these non-GAAP financial measures may differ from similarly titled measures presented by other companies, and therefore, comparability may be limited. In addition, other companies may not publish these or similar metrics. Thus, our non-GAAP financial measures should be considered in addition to, not as a substitute for, or in isolation from, the financial information prepared in accordance with GAAP financial measures, and should be read in conjunction with the condensed consolidated financial statements included in this Quarterly Report on Form 10-Q.</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 xml:space="preserve">Additional Non-GAAP Financial Measures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addition to Adjusted EBITDA, Adjusted EBITDA margin, free cash flow, and free cash flow margin calculated and discussed in “Key Business Metrics,” the following additional non-GAAP financial measures are calculated and presented further below:</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cost of revenues, software subscriptions is determined by adding back to GAAP cost of revenues, software subscriptions, the stock-based compensation expense, and depreciation and amortization of capitalized software and acquired intangible assets included in cost of subscription revenues for the respective periods.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cost of revenues, services is determined by adding back to GAAP cost of revenues, services, the stock-based compensation expense included in cost of revenues, services for the respective periods.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gross profit is determined by adding back to GAAP gross profit the stock-based compensation expense, and depreciation and amortization of capitalized software and acquired intangible assets included in cost of subscription revenues for the respective periods.</w:t>
            </w:r>
          </w:p>
        </w:tc>
      </w:tr>
    </w:tbl>
    <w:tbl>
      <w:tblPr>
        <w:tblW w:w="10131" w:type="dxa"/>
        <w:jc w:val="left"/>
        <w:tblInd w:w="0" w:type="dxa"/>
        <w:tblLayout w:type="fixed"/>
        <w:tblCellMar>
          <w:top w:w="28" w:type="dxa"/>
          <w:left w:w="28" w:type="dxa"/>
          <w:bottom w:w="28" w:type="dxa"/>
          <w:right w:w="28" w:type="dxa"/>
        </w:tblCellMar>
      </w:tblPr>
      <w:tblGrid>
        <w:gridCol w:w="124"/>
        <w:gridCol w:w="256"/>
        <w:gridCol w:w="97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7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gross margin is determined by dividing non-GAAP gross profit by total revenues for the respective periods.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Non-GAAP research and development expense is determined by adding back to GAAP research and development expense the stock-based compensation expense and transaction costs related to acquired technology</w:t>
            </w:r>
            <w:r>
              <w:rPr>
                <w:caps w:val="false"/>
                <w:smallCaps w:val="false"/>
                <w:color w:val="FF0000"/>
              </w:rPr>
              <w:t xml:space="preserve"> </w:t>
            </w:r>
            <w:r>
              <w:rPr>
                <w:rFonts w:ascii="Times New Roman;Times;serif" w:hAnsi="Times New Roman;Times;serif"/>
                <w:b w:val="false"/>
                <w:i w:val="false"/>
                <w:caps w:val="false"/>
                <w:smallCaps w:val="false"/>
                <w:sz w:val="20"/>
              </w:rPr>
              <w:t xml:space="preserve">included in research and development expense for the respective periods.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selling and marketing expense is determined by adding back to GAAP selling and marketing expense the stock-based compensation expense and the amortization of acquired intangible assets included in selling and marketing expense for the respective periods.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general and administrative expense is determined by adding back to GAAP general and administrative expense the stock-based compensation expense, amortization of cloud computing implementation costs and severance expense included in general and administrative expense for the respective periods.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operating income is determined by adding back to GAAP loss or income from operations the stock-based compensation expense, depreciation and amortization of capitalized software and acquired intangible assets included in cost of subscription revenues, amortization of acquired intangible assets included in selling and marketing expense, amortization of cloud computing implementation costs in general and administrative expense, severance expense, acquisition contingent consideration, changes in the fair value of acquisition contingent earn-outs, and transaction costs, included in GAAP loss or income from operations for the respective periods.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Non-GAAP net income is determined by adding back to GAAP net income or loss income tax benefit or expense, stock-based compensation expense, depreciation and amortization of capitalized software and acquired intangible assets included in cost of subscription revenues, amortization of acquired intangible assets included in selling and marketing expense, amortization of cloud computing implementation costs in general and administrative expense, severance expense, acquisition contingent consideration, adjustments to the settlement value of deferred purchase commitment liabilities recorded as interest expense, changes in the fair value of acquisition contingent earn-outs,</w:t>
            </w:r>
            <w:r>
              <w:rPr>
                <w:caps w:val="false"/>
                <w:smallCaps w:val="false"/>
              </w:rPr>
              <w:t xml:space="preserve"> </w:t>
            </w:r>
            <w:r>
              <w:rPr>
                <w:rFonts w:ascii="Times New Roman;Times;serif" w:hAnsi="Times New Roman;Times;serif"/>
                <w:b w:val="false"/>
                <w:i w:val="false"/>
                <w:caps w:val="false"/>
                <w:smallCaps w:val="false"/>
                <w:sz w:val="20"/>
              </w:rPr>
              <w:t>and transaction costs, included in GAAP net income or loss for the respective periods to determine non-GAAP income or loss before income taxes. Non-GAAP income or loss before income taxes is then adjusted for income taxes calculated using the respective statutory tax rates for applicable jurisdictions, which for purposes of this determination were assumed to be 25.5%.</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We encourage investors and others to review our financial information in its entirety, not to rely on any single financial measure and to view these non-GAAP financial measures in conjunction with the related GAAP financial measures.</w:t>
      </w:r>
    </w:p>
    <w:p>
      <w:pPr>
        <w:pStyle w:val="TextBody"/>
        <w:bidi w:val="0"/>
        <w:spacing w:before="0" w:after="0"/>
        <w:ind w:left="0" w:right="0" w:hanging="0"/>
        <w:jc w:val="both"/>
        <w:rPr/>
      </w:pPr>
      <w:r>
        <w:rPr/>
        <w:t>​</w:t>
      </w:r>
    </w:p>
    <w:p>
      <w:pPr>
        <w:pStyle w:val="TextBody"/>
        <w:bidi w:val="0"/>
        <w:spacing w:before="0" w:after="0"/>
        <w:ind w:left="0" w:right="0" w:firstLine="360"/>
        <w:jc w:val="left"/>
        <w:rPr>
          <w:rFonts w:ascii="Times New Roman;Times;serif" w:hAnsi="Times New Roman;Times;serif"/>
          <w:sz w:val="20"/>
          <w:shd w:fill="FFFFFF" w:val="clear"/>
        </w:rPr>
      </w:pPr>
      <w:r>
        <w:rPr>
          <w:rFonts w:ascii="Times New Roman;Times;serif" w:hAnsi="Times New Roman;Times;serif"/>
          <w:sz w:val="20"/>
          <w:shd w:fill="FFFFFF" w:val="clear"/>
        </w:rPr>
        <w:t>The following schedules reflect our additional non-GAAP financial measures and reconciles our additional non-GAAP financial measures to the related GAAP financial measures.</w:t>
      </w:r>
    </w:p>
    <w:p>
      <w:pPr>
        <w:pStyle w:val="TextBody"/>
        <w:bidi w:val="0"/>
        <w:spacing w:before="0" w:after="0"/>
        <w:ind w:left="0" w:right="0" w:firstLine="360"/>
        <w:jc w:val="left"/>
        <w:rPr/>
      </w:pPr>
      <w:r>
        <w:rPr/>
        <w:t>​</w:t>
      </w:r>
    </w:p>
    <w:p>
      <w:pPr>
        <w:pStyle w:val="TextBody"/>
        <w:bidi w:val="0"/>
        <w:spacing w:before="0" w:after="0"/>
        <w:ind w:left="0" w:right="0" w:hanging="0"/>
        <w:jc w:val="both"/>
        <w:rPr/>
      </w:pPr>
      <w:r>
        <w:rPr/>
        <w:t>​</w:t>
      </w:r>
    </w:p>
    <w:tbl>
      <w:tblPr>
        <w:tblW w:w="7173" w:type="dxa"/>
        <w:jc w:val="left"/>
        <w:tblInd w:w="0" w:type="dxa"/>
        <w:tblLayout w:type="fixed"/>
        <w:tblCellMar>
          <w:top w:w="0" w:type="dxa"/>
          <w:left w:w="0" w:type="dxa"/>
          <w:bottom w:w="0" w:type="dxa"/>
          <w:right w:w="0" w:type="dxa"/>
        </w:tblCellMar>
      </w:tblPr>
      <w:tblGrid>
        <w:gridCol w:w="4276"/>
        <w:gridCol w:w="326"/>
        <w:gridCol w:w="211"/>
        <w:gridCol w:w="781"/>
        <w:gridCol w:w="271"/>
        <w:gridCol w:w="211"/>
        <w:gridCol w:w="781"/>
        <w:gridCol w:w="316"/>
      </w:tblGrid>
      <w:tr>
        <w:trPr/>
        <w:tc>
          <w:tcPr>
            <w:tcW w:w="4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5">
                      <wp:simplePos x="0" y="0"/>
                      <wp:positionH relativeFrom="character">
                        <wp:align>left</wp:align>
                      </wp:positionH>
                      <wp:positionV relativeFrom="line">
                        <wp:posOffset>635</wp:posOffset>
                      </wp:positionV>
                      <wp:extent cx="2715260" cy="175260"/>
                      <wp:effectExtent l="0" t="0" r="0" b="0"/>
                      <wp:wrapNone/>
                      <wp:docPr id="534" name="Frame534"/>
                      <a:graphic xmlns:a="http://schemas.openxmlformats.org/drawingml/2006/main">
                        <a:graphicData uri="http://schemas.microsoft.com/office/word/2010/wordprocessingShape">
                          <wps:wsp>
                            <wps:cNvSpPr txBox="1"/>
                            <wps:spPr>
                              <a:xfrm>
                                <a:off x="0" y="0"/>
                                <a:ext cx="2715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6">
                      <wp:simplePos x="0" y="0"/>
                      <wp:positionH relativeFrom="character">
                        <wp:align>left</wp:align>
                      </wp:positionH>
                      <wp:positionV relativeFrom="line">
                        <wp:posOffset>635</wp:posOffset>
                      </wp:positionV>
                      <wp:extent cx="207010" cy="175260"/>
                      <wp:effectExtent l="0" t="0" r="0" b="0"/>
                      <wp:wrapNone/>
                      <wp:docPr id="535" name="Frame5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7">
                      <wp:simplePos x="0" y="0"/>
                      <wp:positionH relativeFrom="character">
                        <wp:align>left</wp:align>
                      </wp:positionH>
                      <wp:positionV relativeFrom="line">
                        <wp:posOffset>635</wp:posOffset>
                      </wp:positionV>
                      <wp:extent cx="133985" cy="175260"/>
                      <wp:effectExtent l="0" t="0" r="0" b="0"/>
                      <wp:wrapNone/>
                      <wp:docPr id="536" name="Frame53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8">
                      <wp:simplePos x="0" y="0"/>
                      <wp:positionH relativeFrom="character">
                        <wp:align>left</wp:align>
                      </wp:positionH>
                      <wp:positionV relativeFrom="line">
                        <wp:posOffset>635</wp:posOffset>
                      </wp:positionV>
                      <wp:extent cx="495935" cy="175260"/>
                      <wp:effectExtent l="0" t="0" r="0" b="0"/>
                      <wp:wrapNone/>
                      <wp:docPr id="537" name="Frame53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9">
                      <wp:simplePos x="0" y="0"/>
                      <wp:positionH relativeFrom="character">
                        <wp:align>left</wp:align>
                      </wp:positionH>
                      <wp:positionV relativeFrom="line">
                        <wp:posOffset>635</wp:posOffset>
                      </wp:positionV>
                      <wp:extent cx="172085" cy="175260"/>
                      <wp:effectExtent l="0" t="0" r="0" b="0"/>
                      <wp:wrapNone/>
                      <wp:docPr id="538" name="Frame538"/>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0">
                      <wp:simplePos x="0" y="0"/>
                      <wp:positionH relativeFrom="character">
                        <wp:align>left</wp:align>
                      </wp:positionH>
                      <wp:positionV relativeFrom="line">
                        <wp:posOffset>635</wp:posOffset>
                      </wp:positionV>
                      <wp:extent cx="133985" cy="175260"/>
                      <wp:effectExtent l="0" t="0" r="0" b="0"/>
                      <wp:wrapNone/>
                      <wp:docPr id="539" name="Frame53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1">
                      <wp:simplePos x="0" y="0"/>
                      <wp:positionH relativeFrom="character">
                        <wp:align>left</wp:align>
                      </wp:positionH>
                      <wp:positionV relativeFrom="line">
                        <wp:posOffset>635</wp:posOffset>
                      </wp:positionV>
                      <wp:extent cx="495935" cy="175260"/>
                      <wp:effectExtent l="0" t="0" r="0" b="0"/>
                      <wp:wrapNone/>
                      <wp:docPr id="540" name="Frame54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2">
                      <wp:simplePos x="0" y="0"/>
                      <wp:positionH relativeFrom="character">
                        <wp:align>left</wp:align>
                      </wp:positionH>
                      <wp:positionV relativeFrom="line">
                        <wp:posOffset>635</wp:posOffset>
                      </wp:positionV>
                      <wp:extent cx="200660" cy="175260"/>
                      <wp:effectExtent l="0" t="0" r="0" b="0"/>
                      <wp:wrapNone/>
                      <wp:docPr id="541" name="Frame541"/>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25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316" w:type="dxa"/>
            <w:tcBorders/>
            <w:vAlign w:val="center"/>
          </w:tcPr>
          <w:p>
            <w:pPr>
              <w:pStyle w:val="TableContents"/>
              <w:bidi w:val="0"/>
              <w:spacing w:before="0" w:after="0"/>
              <w:ind w:left="0" w:right="0" w:hanging="0"/>
              <w:jc w:val="center"/>
              <w:rPr/>
            </w:pPr>
            <w:r>
              <w:rPr/>
              <w:t>​</w:t>
            </w:r>
          </w:p>
        </w:tc>
      </w:tr>
      <w:tr>
        <w:trPr/>
        <w:tc>
          <w:tcPr>
            <w:tcW w:w="42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25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16" w:type="dxa"/>
            <w:tcBorders/>
            <w:vAlign w:val="center"/>
          </w:tcPr>
          <w:p>
            <w:pPr>
              <w:pStyle w:val="TableContents"/>
              <w:bidi w:val="0"/>
              <w:spacing w:before="0" w:after="0"/>
              <w:ind w:left="0" w:right="0" w:hanging="0"/>
              <w:jc w:val="center"/>
              <w:rPr/>
            </w:pPr>
            <w:r>
              <w:rPr/>
              <w:t>​</w:t>
            </w:r>
          </w:p>
        </w:tc>
      </w:tr>
      <w:tr>
        <w:trPr/>
        <w:tc>
          <w:tcPr>
            <w:tcW w:w="42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271"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16" w:type="dxa"/>
            <w:tcBorders/>
            <w:vAlign w:val="center"/>
          </w:tcPr>
          <w:p>
            <w:pPr>
              <w:pStyle w:val="TableContents"/>
              <w:bidi w:val="0"/>
              <w:spacing w:before="0" w:after="0"/>
              <w:ind w:left="0" w:right="0" w:hanging="0"/>
              <w:jc w:val="center"/>
              <w:rPr/>
            </w:pPr>
            <w:r>
              <w:rPr/>
              <w:t>​</w:t>
            </w:r>
          </w:p>
        </w:tc>
      </w:tr>
      <w:tr>
        <w:trPr/>
        <w:tc>
          <w:tcPr>
            <w:tcW w:w="7173" w:type="dxa"/>
            <w:gridSpan w:val="8"/>
            <w:tcBorders/>
            <w:vAlign w:val="center"/>
          </w:tcPr>
          <w:p>
            <w:pPr>
              <w:pStyle w:val="TableContents"/>
              <w:bidi w:val="0"/>
              <w:spacing w:before="0" w:after="283"/>
              <w:ind w:left="0" w:right="0" w:hanging="0"/>
              <w:jc w:val="left"/>
              <w:rPr>
                <w:sz w:val="4"/>
                <w:szCs w:val="4"/>
              </w:rPr>
            </w:pPr>
            <w:r>
              <w:rPr>
                <w:sz w:val="4"/>
                <w:szCs w:val="4"/>
              </w:rPr>
            </w:r>
          </w:p>
        </w:tc>
      </w:tr>
      <w:tr>
        <w:trPr/>
        <w:tc>
          <w:tcPr>
            <w:tcW w:w="427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thousands)</w:t>
            </w:r>
          </w:p>
        </w:tc>
        <w:tc>
          <w:tcPr>
            <w:tcW w:w="326" w:type="dxa"/>
            <w:tcBorders/>
            <w:vAlign w:val="center"/>
          </w:tcPr>
          <w:p>
            <w:pPr>
              <w:pStyle w:val="TableContents"/>
              <w:bidi w:val="0"/>
              <w:spacing w:before="0" w:after="0"/>
              <w:ind w:left="0" w:right="0" w:hanging="0"/>
              <w:jc w:val="left"/>
              <w:rPr/>
            </w:pPr>
            <w:r>
              <w:rPr/>
              <w:t>​</w:t>
            </w:r>
          </w:p>
        </w:tc>
        <w:tc>
          <w:tcPr>
            <w:tcW w:w="225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16" w:type="dxa"/>
            <w:tcBorders/>
            <w:vAlign w:val="center"/>
          </w:tcPr>
          <w:p>
            <w:pPr>
              <w:pStyle w:val="TableContents"/>
              <w:bidi w:val="0"/>
              <w:spacing w:before="0" w:after="0"/>
              <w:ind w:left="0" w:right="0" w:hanging="0"/>
              <w:jc w:val="center"/>
              <w:rPr/>
            </w:pPr>
            <w:r>
              <w:rPr/>
              <w:t>​</w:t>
            </w:r>
          </w:p>
        </w:tc>
      </w:tr>
      <w:tr>
        <w:trPr/>
        <w:tc>
          <w:tcPr>
            <w:tcW w:w="4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Non-GAAP cost of revenues, software subscriptions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26,163</w:t>
            </w:r>
          </w:p>
        </w:tc>
        <w:tc>
          <w:tcPr>
            <w:tcW w:w="271"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28,191</w:t>
            </w:r>
          </w:p>
        </w:tc>
        <w:tc>
          <w:tcPr>
            <w:tcW w:w="316" w:type="dxa"/>
            <w:tcBorders/>
            <w:shd w:fill="CCEEFF" w:val="clear"/>
            <w:vAlign w:val="center"/>
          </w:tcPr>
          <w:p>
            <w:pPr>
              <w:pStyle w:val="TableContents"/>
              <w:bidi w:val="0"/>
              <w:spacing w:before="0" w:after="0"/>
              <w:ind w:left="0" w:right="0" w:hanging="0"/>
              <w:jc w:val="right"/>
              <w:rPr/>
            </w:pPr>
            <w:r>
              <w:rPr/>
              <w:t>​</w:t>
            </w:r>
          </w:p>
        </w:tc>
      </w:tr>
      <w:tr>
        <w:trPr/>
        <w:tc>
          <w:tcPr>
            <w:tcW w:w="4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Non-GAAP cost of revenues, services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18,127</w:t>
            </w:r>
          </w:p>
        </w:tc>
        <w:tc>
          <w:tcPr>
            <w:tcW w:w="271"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14,855</w:t>
            </w:r>
          </w:p>
        </w:tc>
        <w:tc>
          <w:tcPr>
            <w:tcW w:w="316" w:type="dxa"/>
            <w:tcBorders/>
            <w:vAlign w:val="center"/>
          </w:tcPr>
          <w:p>
            <w:pPr>
              <w:pStyle w:val="TableContents"/>
              <w:bidi w:val="0"/>
              <w:spacing w:before="0" w:after="0"/>
              <w:ind w:left="0" w:right="0" w:hanging="0"/>
              <w:jc w:val="right"/>
              <w:rPr/>
            </w:pPr>
            <w:r>
              <w:rPr/>
              <w:t>​</w:t>
            </w:r>
          </w:p>
        </w:tc>
      </w:tr>
      <w:tr>
        <w:trPr/>
        <w:tc>
          <w:tcPr>
            <w:tcW w:w="4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Non-GAAP gross profit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132,772</w:t>
            </w:r>
          </w:p>
        </w:tc>
        <w:tc>
          <w:tcPr>
            <w:tcW w:w="271"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113,735</w:t>
            </w:r>
          </w:p>
        </w:tc>
        <w:tc>
          <w:tcPr>
            <w:tcW w:w="316" w:type="dxa"/>
            <w:tcBorders/>
            <w:shd w:fill="CCEEFF" w:val="clear"/>
            <w:vAlign w:val="center"/>
          </w:tcPr>
          <w:p>
            <w:pPr>
              <w:pStyle w:val="TableContents"/>
              <w:bidi w:val="0"/>
              <w:spacing w:before="0" w:after="0"/>
              <w:ind w:left="0" w:right="0" w:hanging="0"/>
              <w:jc w:val="right"/>
              <w:rPr/>
            </w:pPr>
            <w:r>
              <w:rPr/>
              <w:t>​</w:t>
            </w:r>
          </w:p>
        </w:tc>
      </w:tr>
      <w:tr>
        <w:trPr/>
        <w:tc>
          <w:tcPr>
            <w:tcW w:w="4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Non-GAAP gross margin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72.5</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Non-GAAP research and development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16,534</w:t>
            </w:r>
          </w:p>
        </w:tc>
        <w:tc>
          <w:tcPr>
            <w:tcW w:w="271"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13,472</w:t>
            </w:r>
          </w:p>
        </w:tc>
        <w:tc>
          <w:tcPr>
            <w:tcW w:w="316" w:type="dxa"/>
            <w:tcBorders/>
            <w:shd w:fill="CCEEFF" w:val="clear"/>
            <w:vAlign w:val="center"/>
          </w:tcPr>
          <w:p>
            <w:pPr>
              <w:pStyle w:val="TableContents"/>
              <w:bidi w:val="0"/>
              <w:spacing w:before="0" w:after="0"/>
              <w:ind w:left="0" w:right="0" w:hanging="0"/>
              <w:jc w:val="right"/>
              <w:rPr/>
            </w:pPr>
            <w:r>
              <w:rPr/>
              <w:t>​</w:t>
            </w:r>
          </w:p>
        </w:tc>
      </w:tr>
      <w:tr>
        <w:trPr/>
        <w:tc>
          <w:tcPr>
            <w:tcW w:w="4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Non-GAAP selling and marketing expense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41,818</w:t>
            </w:r>
          </w:p>
        </w:tc>
        <w:tc>
          <w:tcPr>
            <w:tcW w:w="271"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35,674</w:t>
            </w:r>
          </w:p>
        </w:tc>
        <w:tc>
          <w:tcPr>
            <w:tcW w:w="316" w:type="dxa"/>
            <w:tcBorders/>
            <w:vAlign w:val="center"/>
          </w:tcPr>
          <w:p>
            <w:pPr>
              <w:pStyle w:val="TableContents"/>
              <w:bidi w:val="0"/>
              <w:spacing w:before="0" w:after="0"/>
              <w:ind w:left="0" w:right="0" w:hanging="0"/>
              <w:jc w:val="right"/>
              <w:rPr/>
            </w:pPr>
            <w:r>
              <w:rPr/>
              <w:t>​</w:t>
            </w:r>
          </w:p>
        </w:tc>
      </w:tr>
      <w:tr>
        <w:trPr/>
        <w:tc>
          <w:tcPr>
            <w:tcW w:w="4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Non-GAAP general and administrative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36,602</w:t>
            </w:r>
          </w:p>
        </w:tc>
        <w:tc>
          <w:tcPr>
            <w:tcW w:w="271"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27,573</w:t>
            </w:r>
          </w:p>
        </w:tc>
        <w:tc>
          <w:tcPr>
            <w:tcW w:w="316" w:type="dxa"/>
            <w:tcBorders/>
            <w:shd w:fill="CCEEFF" w:val="clear"/>
            <w:vAlign w:val="center"/>
          </w:tcPr>
          <w:p>
            <w:pPr>
              <w:pStyle w:val="TableContents"/>
              <w:bidi w:val="0"/>
              <w:spacing w:before="0" w:after="0"/>
              <w:ind w:left="0" w:right="0" w:hanging="0"/>
              <w:jc w:val="right"/>
              <w:rPr/>
            </w:pPr>
            <w:r>
              <w:rPr/>
              <w:t>​</w:t>
            </w:r>
          </w:p>
        </w:tc>
      </w:tr>
      <w:tr>
        <w:trPr/>
        <w:tc>
          <w:tcPr>
            <w:tcW w:w="4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Non-GAAP operating income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31,339</w:t>
            </w:r>
          </w:p>
        </w:tc>
        <w:tc>
          <w:tcPr>
            <w:tcW w:w="271"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31,737</w:t>
            </w:r>
          </w:p>
        </w:tc>
        <w:tc>
          <w:tcPr>
            <w:tcW w:w="316" w:type="dxa"/>
            <w:tcBorders/>
            <w:vAlign w:val="center"/>
          </w:tcPr>
          <w:p>
            <w:pPr>
              <w:pStyle w:val="TableContents"/>
              <w:bidi w:val="0"/>
              <w:spacing w:before="0" w:after="0"/>
              <w:ind w:left="0" w:right="0" w:hanging="0"/>
              <w:jc w:val="right"/>
              <w:rPr/>
            </w:pPr>
            <w:r>
              <w:rPr/>
              <w:t>​</w:t>
            </w:r>
          </w:p>
        </w:tc>
      </w:tr>
      <w:tr>
        <w:trPr/>
        <w:tc>
          <w:tcPr>
            <w:tcW w:w="4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Non-GAAP net income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24,494</w:t>
            </w:r>
          </w:p>
        </w:tc>
        <w:tc>
          <w:tcPr>
            <w:tcW w:w="271"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23,431</w:t>
            </w:r>
          </w:p>
        </w:tc>
        <w:tc>
          <w:tcPr>
            <w:tcW w:w="316" w:type="dxa"/>
            <w:tcBorders/>
            <w:shd w:fill="CCEEFF" w:val="clear"/>
            <w:vAlign w:val="center"/>
          </w:tcPr>
          <w:p>
            <w:pPr>
              <w:pStyle w:val="TableContents"/>
              <w:bidi w:val="0"/>
              <w:spacing w:before="0" w:after="0"/>
              <w:ind w:left="0" w:right="0" w:hanging="0"/>
              <w:jc w:val="right"/>
              <w:rPr/>
            </w:pPr>
            <w:r>
              <w:rPr/>
              <w:t>​</w:t>
            </w:r>
          </w:p>
        </w:tc>
      </w:tr>
      <w:tr>
        <w:trPr/>
        <w:tc>
          <w:tcPr>
            <w:tcW w:w="42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27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color w:val="FF0000"/>
          <w:shd w:fill="FFFF00" w:val="clear"/>
        </w:rPr>
      </w:pPr>
      <w:r>
        <w:rPr>
          <w:color w:val="FF0000"/>
          <w:shd w:fill="FFFF00" w:val="clear"/>
        </w:rPr>
        <w:t>​</w:t>
      </w:r>
    </w:p>
    <w:p>
      <w:pPr>
        <w:pStyle w:val="TextBody"/>
        <w:bidi w:val="0"/>
        <w:spacing w:before="0" w:after="0"/>
        <w:ind w:left="0" w:right="0" w:hanging="0"/>
        <w:jc w:val="left"/>
        <w:rPr>
          <w:color w:val="FF0000"/>
          <w:shd w:fill="FFFF00" w:val="clear"/>
        </w:rPr>
      </w:pPr>
      <w:r>
        <w:rPr>
          <w:color w:val="FF0000"/>
          <w:shd w:fill="FFFF00" w:val="clear"/>
        </w:rPr>
        <w: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7728"/>
        <w:gridCol w:w="196"/>
        <w:gridCol w:w="718"/>
        <w:gridCol w:w="346"/>
        <w:gridCol w:w="196"/>
        <w:gridCol w:w="718"/>
        <w:gridCol w:w="303"/>
      </w:tblGrid>
      <w:tr>
        <w:trPr/>
        <w:tc>
          <w:tcPr>
            <w:tcW w:w="77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3">
                      <wp:simplePos x="0" y="0"/>
                      <wp:positionH relativeFrom="character">
                        <wp:align>left</wp:align>
                      </wp:positionH>
                      <wp:positionV relativeFrom="line">
                        <wp:posOffset>635</wp:posOffset>
                      </wp:positionV>
                      <wp:extent cx="4907280" cy="175260"/>
                      <wp:effectExtent l="0" t="0" r="0" b="0"/>
                      <wp:wrapNone/>
                      <wp:docPr id="542" name="Frame542"/>
                      <a:graphic xmlns:a="http://schemas.openxmlformats.org/drawingml/2006/main">
                        <a:graphicData uri="http://schemas.microsoft.com/office/word/2010/wordprocessingShape">
                          <wps:wsp>
                            <wps:cNvSpPr txBox="1"/>
                            <wps:spPr>
                              <a:xfrm>
                                <a:off x="0" y="0"/>
                                <a:ext cx="49072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4">
                      <wp:simplePos x="0" y="0"/>
                      <wp:positionH relativeFrom="character">
                        <wp:align>left</wp:align>
                      </wp:positionH>
                      <wp:positionV relativeFrom="line">
                        <wp:posOffset>635</wp:posOffset>
                      </wp:positionV>
                      <wp:extent cx="124460" cy="175260"/>
                      <wp:effectExtent l="0" t="0" r="0" b="0"/>
                      <wp:wrapNone/>
                      <wp:docPr id="543" name="Frame54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5">
                      <wp:simplePos x="0" y="0"/>
                      <wp:positionH relativeFrom="character">
                        <wp:align>left</wp:align>
                      </wp:positionH>
                      <wp:positionV relativeFrom="line">
                        <wp:posOffset>635</wp:posOffset>
                      </wp:positionV>
                      <wp:extent cx="455930" cy="175260"/>
                      <wp:effectExtent l="0" t="0" r="0" b="0"/>
                      <wp:wrapNone/>
                      <wp:docPr id="544" name="Frame544"/>
                      <a:graphic xmlns:a="http://schemas.openxmlformats.org/drawingml/2006/main">
                        <a:graphicData uri="http://schemas.microsoft.com/office/word/2010/wordprocessingShape">
                          <wps:wsp>
                            <wps:cNvSpPr txBox="1"/>
                            <wps:spPr>
                              <a:xfrm>
                                <a:off x="0" y="0"/>
                                <a:ext cx="4559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6">
                      <wp:simplePos x="0" y="0"/>
                      <wp:positionH relativeFrom="character">
                        <wp:align>left</wp:align>
                      </wp:positionH>
                      <wp:positionV relativeFrom="line">
                        <wp:posOffset>635</wp:posOffset>
                      </wp:positionV>
                      <wp:extent cx="219710" cy="175260"/>
                      <wp:effectExtent l="0" t="0" r="0" b="0"/>
                      <wp:wrapNone/>
                      <wp:docPr id="545" name="Frame5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7">
                      <wp:simplePos x="0" y="0"/>
                      <wp:positionH relativeFrom="character">
                        <wp:align>left</wp:align>
                      </wp:positionH>
                      <wp:positionV relativeFrom="line">
                        <wp:posOffset>635</wp:posOffset>
                      </wp:positionV>
                      <wp:extent cx="124460" cy="175260"/>
                      <wp:effectExtent l="0" t="0" r="0" b="0"/>
                      <wp:wrapNone/>
                      <wp:docPr id="546" name="Frame54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8">
                      <wp:simplePos x="0" y="0"/>
                      <wp:positionH relativeFrom="character">
                        <wp:align>left</wp:align>
                      </wp:positionH>
                      <wp:positionV relativeFrom="line">
                        <wp:posOffset>635</wp:posOffset>
                      </wp:positionV>
                      <wp:extent cx="455930" cy="175260"/>
                      <wp:effectExtent l="0" t="0" r="0" b="0"/>
                      <wp:wrapNone/>
                      <wp:docPr id="547" name="Frame547"/>
                      <a:graphic xmlns:a="http://schemas.openxmlformats.org/drawingml/2006/main">
                        <a:graphicData uri="http://schemas.microsoft.com/office/word/2010/wordprocessingShape">
                          <wps:wsp>
                            <wps:cNvSpPr txBox="1"/>
                            <wps:spPr>
                              <a:xfrm>
                                <a:off x="0" y="0"/>
                                <a:ext cx="4559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9">
                      <wp:simplePos x="0" y="0"/>
                      <wp:positionH relativeFrom="character">
                        <wp:align>left</wp:align>
                      </wp:positionH>
                      <wp:positionV relativeFrom="line">
                        <wp:posOffset>635</wp:posOffset>
                      </wp:positionV>
                      <wp:extent cx="192405" cy="175260"/>
                      <wp:effectExtent l="0" t="0" r="0" b="0"/>
                      <wp:wrapNone/>
                      <wp:docPr id="548" name="Frame548"/>
                      <a:graphic xmlns:a="http://schemas.openxmlformats.org/drawingml/2006/main">
                        <a:graphicData uri="http://schemas.microsoft.com/office/word/2010/wordprocessingShape">
                          <wps:wsp>
                            <wps:cNvSpPr txBox="1"/>
                            <wps:spPr>
                              <a:xfrm>
                                <a:off x="0" y="0"/>
                                <a:ext cx="192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728" w:type="dxa"/>
            <w:tcBorders/>
            <w:vAlign w:val="center"/>
          </w:tcPr>
          <w:p>
            <w:pPr>
              <w:pStyle w:val="TableContents"/>
              <w:bidi w:val="0"/>
              <w:spacing w:before="0" w:after="0"/>
              <w:ind w:left="0" w:right="0" w:hanging="0"/>
              <w:jc w:val="left"/>
              <w:rPr/>
            </w:pPr>
            <w:r>
              <w:rPr/>
              <w:t>​</w:t>
            </w:r>
          </w:p>
        </w:tc>
        <w:tc>
          <w:tcPr>
            <w:tcW w:w="2174"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three months ended</w:t>
            </w:r>
          </w:p>
        </w:tc>
        <w:tc>
          <w:tcPr>
            <w:tcW w:w="303" w:type="dxa"/>
            <w:tcBorders/>
            <w:vAlign w:val="center"/>
          </w:tcPr>
          <w:p>
            <w:pPr>
              <w:pStyle w:val="TableContents"/>
              <w:bidi w:val="0"/>
              <w:spacing w:before="0" w:after="0"/>
              <w:ind w:left="0" w:right="0" w:hanging="0"/>
              <w:jc w:val="center"/>
              <w:rPr/>
            </w:pPr>
            <w:r>
              <w:rPr/>
              <w:t> </w:t>
            </w:r>
          </w:p>
        </w:tc>
      </w:tr>
      <w:tr>
        <w:trPr/>
        <w:tc>
          <w:tcPr>
            <w:tcW w:w="7728" w:type="dxa"/>
            <w:tcBorders/>
            <w:vAlign w:val="center"/>
          </w:tcPr>
          <w:p>
            <w:pPr>
              <w:pStyle w:val="TableContents"/>
              <w:bidi w:val="0"/>
              <w:spacing w:before="0" w:after="0"/>
              <w:ind w:left="0" w:right="0" w:hanging="0"/>
              <w:jc w:val="left"/>
              <w:rPr/>
            </w:pPr>
            <w:r>
              <w:rPr/>
              <w:t>​</w:t>
            </w:r>
          </w:p>
        </w:tc>
        <w:tc>
          <w:tcPr>
            <w:tcW w:w="217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03" w:type="dxa"/>
            <w:tcBorders/>
            <w:vAlign w:val="center"/>
          </w:tcPr>
          <w:p>
            <w:pPr>
              <w:pStyle w:val="TableContents"/>
              <w:bidi w:val="0"/>
              <w:spacing w:before="0" w:after="0"/>
              <w:ind w:left="0" w:right="0" w:hanging="0"/>
              <w:jc w:val="center"/>
              <w:rPr/>
            </w:pPr>
            <w:r>
              <w:rPr/>
              <w:t> </w:t>
            </w:r>
          </w:p>
        </w:tc>
      </w:tr>
      <w:tr>
        <w:trPr/>
        <w:tc>
          <w:tcPr>
            <w:tcW w:w="7728"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thousands)</w:t>
            </w:r>
          </w:p>
        </w:tc>
        <w:tc>
          <w:tcPr>
            <w:tcW w:w="91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w:t>
            </w:r>
          </w:p>
        </w:tc>
        <w:tc>
          <w:tcPr>
            <w:tcW w:w="91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03" w:type="dxa"/>
            <w:tcBorders/>
            <w:vAlign w:val="center"/>
          </w:tcPr>
          <w:p>
            <w:pPr>
              <w:pStyle w:val="TableContents"/>
              <w:bidi w:val="0"/>
              <w:spacing w:before="0" w:after="0"/>
              <w:ind w:left="0" w:right="0" w:hanging="0"/>
              <w:jc w:val="center"/>
              <w:rPr/>
            </w:pPr>
            <w:r>
              <w:rPr/>
              <w:t> </w:t>
            </w:r>
          </w:p>
        </w:tc>
      </w:tr>
      <w:tr>
        <w:trPr/>
        <w:tc>
          <w:tcPr>
            <w:tcW w:w="10205"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7728" w:type="dxa"/>
            <w:tcBorders/>
            <w:vAlign w:val="center"/>
          </w:tcPr>
          <w:p>
            <w:pPr>
              <w:pStyle w:val="TableContents"/>
              <w:bidi w:val="0"/>
              <w:spacing w:before="0" w:after="0"/>
              <w:ind w:left="0" w:right="0" w:hanging="0"/>
              <w:jc w:val="left"/>
              <w:rPr/>
            </w:pPr>
            <w:r>
              <w:rPr/>
              <w:t>​</w:t>
            </w:r>
          </w:p>
        </w:tc>
        <w:tc>
          <w:tcPr>
            <w:tcW w:w="2174"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03" w:type="dxa"/>
            <w:tcBorders/>
            <w:vAlign w:val="center"/>
          </w:tcPr>
          <w:p>
            <w:pPr>
              <w:pStyle w:val="TableContents"/>
              <w:bidi w:val="0"/>
              <w:spacing w:before="0" w:after="0"/>
              <w:ind w:left="0" w:right="0" w:hanging="0"/>
              <w:jc w:val="center"/>
              <w:rPr/>
            </w:pPr>
            <w:r>
              <w:rPr/>
              <w:t>​</w:t>
            </w:r>
          </w:p>
        </w:tc>
      </w:tr>
      <w:tr>
        <w:trPr/>
        <w:tc>
          <w:tcPr>
            <w:tcW w:w="7728"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Non-GAAP Cost of Revenues, Software Subscriptions:</w:t>
            </w:r>
          </w:p>
        </w:tc>
        <w:tc>
          <w:tcPr>
            <w:tcW w:w="196" w:type="dxa"/>
            <w:tcBorders/>
            <w:shd w:fill="CCEEFF" w:val="clear"/>
            <w:vAlign w:val="center"/>
          </w:tcPr>
          <w:p>
            <w:pPr>
              <w:pStyle w:val="TableContents"/>
              <w:bidi w:val="0"/>
              <w:spacing w:before="0" w:after="0"/>
              <w:ind w:left="0" w:right="0" w:hanging="0"/>
              <w:jc w:val="left"/>
              <w:rPr/>
            </w:pPr>
            <w:r>
              <w:rPr/>
              <w:t>​</w:t>
            </w:r>
          </w:p>
        </w:tc>
        <w:tc>
          <w:tcPr>
            <w:tcW w:w="718"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718" w:type="dxa"/>
            <w:tcBorders/>
            <w:shd w:fill="CCEEFF" w:val="clear"/>
            <w:vAlign w:val="center"/>
          </w:tcPr>
          <w:p>
            <w:pPr>
              <w:pStyle w:val="TableContents"/>
              <w:bidi w:val="0"/>
              <w:spacing w:before="0" w:after="0"/>
              <w:ind w:left="0" w:right="0" w:hanging="0"/>
              <w:jc w:val="right"/>
              <w:rPr/>
            </w:pPr>
            <w:r>
              <w:rPr/>
              <w:t>  </w:t>
            </w:r>
          </w:p>
        </w:tc>
        <w:tc>
          <w:tcPr>
            <w:tcW w:w="303" w:type="dxa"/>
            <w:tcBorders/>
            <w:shd w:fill="CCEEFF" w:val="clear"/>
            <w:vAlign w:val="center"/>
          </w:tcPr>
          <w:p>
            <w:pPr>
              <w:pStyle w:val="TableContents"/>
              <w:bidi w:val="0"/>
              <w:spacing w:before="0" w:after="0"/>
              <w:ind w:left="0" w:right="0" w:hanging="0"/>
              <w:jc w:val="left"/>
              <w:rPr/>
            </w:pPr>
            <w:r>
              <w:rPr/>
              <w:t>​</w:t>
            </w:r>
          </w:p>
        </w:tc>
      </w:tr>
      <w:tr>
        <w:trPr/>
        <w:tc>
          <w:tcPr>
            <w:tcW w:w="7728"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Cost of revenues, software subscriptions</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1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44,245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1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45,128</w:t>
            </w:r>
          </w:p>
        </w:tc>
        <w:tc>
          <w:tcPr>
            <w:tcW w:w="303" w:type="dxa"/>
            <w:tcBorders/>
            <w:vAlign w:val="center"/>
          </w:tcPr>
          <w:p>
            <w:pPr>
              <w:pStyle w:val="TableContents"/>
              <w:bidi w:val="0"/>
              <w:spacing w:before="0" w:after="0"/>
              <w:ind w:left="0" w:right="0" w:hanging="0"/>
              <w:jc w:val="left"/>
              <w:rPr/>
            </w:pPr>
            <w:r>
              <w:rPr/>
              <w:t>​</w:t>
            </w:r>
          </w:p>
        </w:tc>
      </w:tr>
      <w:tr>
        <w:trPr/>
        <w:tc>
          <w:tcPr>
            <w:tcW w:w="772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Stock-based compensation expense</w:t>
            </w:r>
          </w:p>
        </w:tc>
        <w:tc>
          <w:tcPr>
            <w:tcW w:w="196" w:type="dxa"/>
            <w:tcBorders/>
            <w:shd w:fill="CCEEFF" w:val="clear"/>
            <w:vAlign w:val="center"/>
          </w:tcPr>
          <w:p>
            <w:pPr>
              <w:pStyle w:val="TableContents"/>
              <w:bidi w:val="0"/>
              <w:spacing w:before="0" w:after="0"/>
              <w:ind w:left="0" w:right="0" w:hanging="0"/>
              <w:jc w:val="left"/>
              <w:rPr/>
            </w:pPr>
            <w:r>
              <w:rPr/>
              <w:t> </w:t>
            </w:r>
          </w:p>
        </w:tc>
        <w:tc>
          <w:tcPr>
            <w:tcW w:w="71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(2,227)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1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(1,590)</w:t>
            </w:r>
          </w:p>
        </w:tc>
        <w:tc>
          <w:tcPr>
            <w:tcW w:w="303" w:type="dxa"/>
            <w:tcBorders/>
            <w:shd w:fill="CCEEFF" w:val="clear"/>
            <w:vAlign w:val="center"/>
          </w:tcPr>
          <w:p>
            <w:pPr>
              <w:pStyle w:val="TableContents"/>
              <w:bidi w:val="0"/>
              <w:spacing w:before="0" w:after="0"/>
              <w:ind w:left="0" w:right="0" w:hanging="0"/>
              <w:jc w:val="left"/>
              <w:rPr/>
            </w:pPr>
            <w:r>
              <w:rPr/>
              <w:t>​</w:t>
            </w:r>
          </w:p>
        </w:tc>
      </w:tr>
      <w:tr>
        <w:trPr/>
        <w:tc>
          <w:tcPr>
            <w:tcW w:w="772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Depreciation and amortization of capitalized software and acquired intangible assets – cost of subscription revenues</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1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(15,855)</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1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(15,347)</w:t>
            </w:r>
          </w:p>
        </w:tc>
        <w:tc>
          <w:tcPr>
            <w:tcW w:w="303" w:type="dxa"/>
            <w:tcBorders/>
            <w:vAlign w:val="center"/>
          </w:tcPr>
          <w:p>
            <w:pPr>
              <w:pStyle w:val="TableContents"/>
              <w:bidi w:val="0"/>
              <w:spacing w:before="0" w:after="0"/>
              <w:ind w:left="0" w:right="0" w:hanging="0"/>
              <w:jc w:val="left"/>
              <w:rPr/>
            </w:pPr>
            <w:r>
              <w:rPr/>
              <w:t>​</w:t>
            </w:r>
          </w:p>
        </w:tc>
      </w:tr>
      <w:tr>
        <w:trPr/>
        <w:tc>
          <w:tcPr>
            <w:tcW w:w="7728"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Non-GAAP cost of revenues, software subscriptions</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1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26,163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1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28,191</w:t>
            </w:r>
          </w:p>
        </w:tc>
        <w:tc>
          <w:tcPr>
            <w:tcW w:w="303" w:type="dxa"/>
            <w:tcBorders/>
            <w:shd w:fill="CCEEFF" w:val="clear"/>
            <w:vAlign w:val="center"/>
          </w:tcPr>
          <w:p>
            <w:pPr>
              <w:pStyle w:val="TableContents"/>
              <w:bidi w:val="0"/>
              <w:spacing w:before="0" w:after="0"/>
              <w:ind w:left="0" w:right="0" w:hanging="0"/>
              <w:jc w:val="left"/>
              <w:rPr/>
            </w:pPr>
            <w:r>
              <w:rPr/>
              <w:t>​</w:t>
            </w:r>
          </w:p>
        </w:tc>
      </w:tr>
      <w:tr>
        <w:trPr/>
        <w:tc>
          <w:tcPr>
            <w:tcW w:w="7728"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1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18" w:type="dxa"/>
            <w:tcBorders/>
            <w:vAlign w:val="center"/>
          </w:tcPr>
          <w:p>
            <w:pPr>
              <w:pStyle w:val="TableContents"/>
              <w:bidi w:val="0"/>
              <w:spacing w:before="0" w:after="0"/>
              <w:ind w:left="0" w:right="0" w:hanging="0"/>
              <w:jc w:val="right"/>
              <w:rPr/>
            </w:pPr>
            <w:r>
              <w:rPr/>
              <w:t>​</w:t>
            </w:r>
          </w:p>
        </w:tc>
        <w:tc>
          <w:tcPr>
            <w:tcW w:w="303" w:type="dxa"/>
            <w:tcBorders/>
            <w:vAlign w:val="center"/>
          </w:tcPr>
          <w:p>
            <w:pPr>
              <w:pStyle w:val="TableContents"/>
              <w:bidi w:val="0"/>
              <w:spacing w:before="0" w:after="0"/>
              <w:ind w:left="0" w:right="0" w:hanging="0"/>
              <w:jc w:val="left"/>
              <w:rPr/>
            </w:pPr>
            <w:r>
              <w:rPr/>
              <w:t>​</w:t>
            </w:r>
          </w:p>
        </w:tc>
      </w:tr>
      <w:tr>
        <w:trPr/>
        <w:tc>
          <w:tcPr>
            <w:tcW w:w="7728"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Non-GAAP Cost of Revenues, Services:</w:t>
            </w:r>
          </w:p>
        </w:tc>
        <w:tc>
          <w:tcPr>
            <w:tcW w:w="196" w:type="dxa"/>
            <w:tcBorders/>
            <w:shd w:fill="CCEEFF" w:val="clear"/>
            <w:vAlign w:val="center"/>
          </w:tcPr>
          <w:p>
            <w:pPr>
              <w:pStyle w:val="TableContents"/>
              <w:bidi w:val="0"/>
              <w:spacing w:before="0" w:after="0"/>
              <w:ind w:left="0" w:right="0" w:hanging="0"/>
              <w:jc w:val="left"/>
              <w:rPr/>
            </w:pPr>
            <w:r>
              <w:rPr/>
              <w:t>​</w:t>
            </w:r>
          </w:p>
        </w:tc>
        <w:tc>
          <w:tcPr>
            <w:tcW w:w="718"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18"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pPr>
            <w:r>
              <w:rPr/>
              <w:t>​</w:t>
            </w:r>
          </w:p>
        </w:tc>
      </w:tr>
      <w:tr>
        <w:trPr/>
        <w:tc>
          <w:tcPr>
            <w:tcW w:w="7728"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Cost of revenues, services</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1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19,823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1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15,861</w:t>
            </w:r>
          </w:p>
        </w:tc>
        <w:tc>
          <w:tcPr>
            <w:tcW w:w="303" w:type="dxa"/>
            <w:tcBorders/>
            <w:vAlign w:val="center"/>
          </w:tcPr>
          <w:p>
            <w:pPr>
              <w:pStyle w:val="TableContents"/>
              <w:bidi w:val="0"/>
              <w:spacing w:before="0" w:after="0"/>
              <w:ind w:left="0" w:right="0" w:hanging="0"/>
              <w:jc w:val="left"/>
              <w:rPr/>
            </w:pPr>
            <w:r>
              <w:rPr/>
              <w:t>​</w:t>
            </w:r>
          </w:p>
        </w:tc>
      </w:tr>
      <w:tr>
        <w:trPr/>
        <w:tc>
          <w:tcPr>
            <w:tcW w:w="772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Stock-based compensation expense</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(1,696)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(1,006)</w:t>
            </w:r>
          </w:p>
        </w:tc>
        <w:tc>
          <w:tcPr>
            <w:tcW w:w="303" w:type="dxa"/>
            <w:tcBorders/>
            <w:shd w:fill="CCEEFF" w:val="clear"/>
            <w:vAlign w:val="center"/>
          </w:tcPr>
          <w:p>
            <w:pPr>
              <w:pStyle w:val="TableContents"/>
              <w:bidi w:val="0"/>
              <w:spacing w:before="0" w:after="0"/>
              <w:ind w:left="0" w:right="0" w:hanging="0"/>
              <w:jc w:val="left"/>
              <w:rPr/>
            </w:pPr>
            <w:r>
              <w:rPr/>
              <w:t>​</w:t>
            </w:r>
          </w:p>
        </w:tc>
      </w:tr>
      <w:tr>
        <w:trPr/>
        <w:tc>
          <w:tcPr>
            <w:tcW w:w="7728"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Non-GAAP cost of revenues, services</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1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18,127</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1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14,855</w:t>
            </w:r>
          </w:p>
        </w:tc>
        <w:tc>
          <w:tcPr>
            <w:tcW w:w="303" w:type="dxa"/>
            <w:tcBorders/>
            <w:vAlign w:val="center"/>
          </w:tcPr>
          <w:p>
            <w:pPr>
              <w:pStyle w:val="TableContents"/>
              <w:bidi w:val="0"/>
              <w:spacing w:before="0" w:after="0"/>
              <w:ind w:left="0" w:right="0" w:hanging="0"/>
              <w:jc w:val="left"/>
              <w:rPr/>
            </w:pPr>
            <w:r>
              <w:rPr/>
              <w:t>​</w:t>
            </w:r>
          </w:p>
        </w:tc>
      </w:tr>
      <w:tr>
        <w:trPr/>
        <w:tc>
          <w:tcPr>
            <w:tcW w:w="7728"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1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18" w:type="dxa"/>
            <w:tcBorders/>
            <w:shd w:fill="CCEEFF" w:val="clear"/>
            <w:vAlign w:val="center"/>
          </w:tcPr>
          <w:p>
            <w:pPr>
              <w:pStyle w:val="TableContents"/>
              <w:bidi w:val="0"/>
              <w:spacing w:before="0" w:after="0"/>
              <w:ind w:left="0" w:right="0" w:hanging="0"/>
              <w:jc w:val="right"/>
              <w:rPr/>
            </w:pPr>
            <w:r>
              <w:rPr/>
              <w:t>​</w:t>
            </w:r>
          </w:p>
        </w:tc>
        <w:tc>
          <w:tcPr>
            <w:tcW w:w="303" w:type="dxa"/>
            <w:tcBorders/>
            <w:shd w:fill="CCEEFF" w:val="clear"/>
            <w:vAlign w:val="center"/>
          </w:tcPr>
          <w:p>
            <w:pPr>
              <w:pStyle w:val="TableContents"/>
              <w:bidi w:val="0"/>
              <w:spacing w:before="0" w:after="0"/>
              <w:ind w:left="0" w:right="0" w:hanging="0"/>
              <w:jc w:val="left"/>
              <w:rPr/>
            </w:pPr>
            <w:r>
              <w:rPr/>
              <w:t>​</w:t>
            </w:r>
          </w:p>
        </w:tc>
      </w:tr>
      <w:tr>
        <w:trPr/>
        <w:tc>
          <w:tcPr>
            <w:tcW w:w="7728"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Non-GAAP Gross Profit:</w:t>
            </w:r>
          </w:p>
        </w:tc>
        <w:tc>
          <w:tcPr>
            <w:tcW w:w="196" w:type="dxa"/>
            <w:tcBorders/>
            <w:vAlign w:val="center"/>
          </w:tcPr>
          <w:p>
            <w:pPr>
              <w:pStyle w:val="TableContents"/>
              <w:bidi w:val="0"/>
              <w:spacing w:before="0" w:after="0"/>
              <w:ind w:left="0" w:right="0" w:hanging="0"/>
              <w:jc w:val="left"/>
              <w:rPr/>
            </w:pPr>
            <w:r>
              <w:rPr/>
              <w:t> </w:t>
            </w:r>
          </w:p>
        </w:tc>
        <w:tc>
          <w:tcPr>
            <w:tcW w:w="71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18" w:type="dxa"/>
            <w:tcBorders/>
            <w:vAlign w:val="center"/>
          </w:tcPr>
          <w:p>
            <w:pPr>
              <w:pStyle w:val="TableContents"/>
              <w:bidi w:val="0"/>
              <w:spacing w:before="0" w:after="0"/>
              <w:ind w:left="0" w:right="0" w:hanging="0"/>
              <w:jc w:val="right"/>
              <w:rPr/>
            </w:pPr>
            <w:r>
              <w:rPr/>
              <w:t>​</w:t>
            </w:r>
          </w:p>
        </w:tc>
        <w:tc>
          <w:tcPr>
            <w:tcW w:w="303" w:type="dxa"/>
            <w:tcBorders/>
            <w:vAlign w:val="center"/>
          </w:tcPr>
          <w:p>
            <w:pPr>
              <w:pStyle w:val="TableContents"/>
              <w:bidi w:val="0"/>
              <w:spacing w:before="0" w:after="0"/>
              <w:ind w:left="0" w:right="0" w:hanging="0"/>
              <w:jc w:val="left"/>
              <w:rPr/>
            </w:pPr>
            <w:r>
              <w:rPr/>
              <w:t>​</w:t>
            </w:r>
          </w:p>
        </w:tc>
      </w:tr>
      <w:tr>
        <w:trPr/>
        <w:tc>
          <w:tcPr>
            <w:tcW w:w="7728"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Gross profit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1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112,994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1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95,792</w:t>
            </w:r>
          </w:p>
        </w:tc>
        <w:tc>
          <w:tcPr>
            <w:tcW w:w="303" w:type="dxa"/>
            <w:tcBorders/>
            <w:shd w:fill="CCEEFF" w:val="clear"/>
            <w:vAlign w:val="center"/>
          </w:tcPr>
          <w:p>
            <w:pPr>
              <w:pStyle w:val="TableContents"/>
              <w:bidi w:val="0"/>
              <w:spacing w:before="0" w:after="0"/>
              <w:ind w:left="0" w:right="0" w:hanging="0"/>
              <w:jc w:val="left"/>
              <w:rPr/>
            </w:pPr>
            <w:r>
              <w:rPr/>
              <w:t>​</w:t>
            </w:r>
          </w:p>
        </w:tc>
      </w:tr>
      <w:tr>
        <w:trPr/>
        <w:tc>
          <w:tcPr>
            <w:tcW w:w="772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Stock-based compensation expense</w:t>
            </w:r>
          </w:p>
        </w:tc>
        <w:tc>
          <w:tcPr>
            <w:tcW w:w="196" w:type="dxa"/>
            <w:tcBorders/>
            <w:vAlign w:val="center"/>
          </w:tcPr>
          <w:p>
            <w:pPr>
              <w:pStyle w:val="TableContents"/>
              <w:bidi w:val="0"/>
              <w:spacing w:before="0" w:after="0"/>
              <w:ind w:left="0" w:right="0" w:hanging="0"/>
              <w:jc w:val="left"/>
              <w:rPr/>
            </w:pPr>
            <w:r>
              <w:rPr/>
              <w:t> </w:t>
            </w:r>
          </w:p>
        </w:tc>
        <w:tc>
          <w:tcPr>
            <w:tcW w:w="71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3,923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1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2,596</w:t>
            </w:r>
          </w:p>
        </w:tc>
        <w:tc>
          <w:tcPr>
            <w:tcW w:w="303" w:type="dxa"/>
            <w:tcBorders/>
            <w:vAlign w:val="center"/>
          </w:tcPr>
          <w:p>
            <w:pPr>
              <w:pStyle w:val="TableContents"/>
              <w:bidi w:val="0"/>
              <w:spacing w:before="0" w:after="0"/>
              <w:ind w:left="0" w:right="0" w:hanging="0"/>
              <w:jc w:val="left"/>
              <w:rPr/>
            </w:pPr>
            <w:r>
              <w:rPr/>
              <w:t>​</w:t>
            </w:r>
          </w:p>
        </w:tc>
      </w:tr>
      <w:tr>
        <w:trPr/>
        <w:tc>
          <w:tcPr>
            <w:tcW w:w="772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Depreciation and amortization of capitalized software and acquired intangible assets – cost of subscription revenues</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15,855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15,347</w:t>
            </w:r>
          </w:p>
        </w:tc>
        <w:tc>
          <w:tcPr>
            <w:tcW w:w="303" w:type="dxa"/>
            <w:tcBorders/>
            <w:shd w:fill="CCEEFF" w:val="clear"/>
            <w:vAlign w:val="center"/>
          </w:tcPr>
          <w:p>
            <w:pPr>
              <w:pStyle w:val="TableContents"/>
              <w:bidi w:val="0"/>
              <w:spacing w:before="0" w:after="0"/>
              <w:ind w:left="0" w:right="0" w:hanging="0"/>
              <w:jc w:val="left"/>
              <w:rPr/>
            </w:pPr>
            <w:r>
              <w:rPr/>
              <w:t>​</w:t>
            </w:r>
          </w:p>
        </w:tc>
      </w:tr>
      <w:tr>
        <w:trPr/>
        <w:tc>
          <w:tcPr>
            <w:tcW w:w="7728"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Non-GAAP gross profit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1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132,772</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1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113,735</w:t>
            </w:r>
          </w:p>
        </w:tc>
        <w:tc>
          <w:tcPr>
            <w:tcW w:w="303" w:type="dxa"/>
            <w:tcBorders/>
            <w:vAlign w:val="center"/>
          </w:tcPr>
          <w:p>
            <w:pPr>
              <w:pStyle w:val="TableContents"/>
              <w:bidi w:val="0"/>
              <w:spacing w:before="0" w:after="0"/>
              <w:ind w:left="0" w:right="0" w:hanging="0"/>
              <w:jc w:val="left"/>
              <w:rPr/>
            </w:pPr>
            <w:r>
              <w:rPr/>
              <w:t>​</w:t>
            </w:r>
          </w:p>
        </w:tc>
      </w:tr>
      <w:tr>
        <w:trPr/>
        <w:tc>
          <w:tcPr>
            <w:tcW w:w="7728"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18"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18"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pPr>
            <w:r>
              <w:rPr/>
              <w:t>​</w:t>
            </w:r>
          </w:p>
        </w:tc>
      </w:tr>
      <w:tr>
        <w:trPr/>
        <w:tc>
          <w:tcPr>
            <w:tcW w:w="7728"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Non-GAAP Gross Margin:</w:t>
            </w:r>
          </w:p>
        </w:tc>
        <w:tc>
          <w:tcPr>
            <w:tcW w:w="196" w:type="dxa"/>
            <w:tcBorders/>
            <w:vAlign w:val="center"/>
          </w:tcPr>
          <w:p>
            <w:pPr>
              <w:pStyle w:val="TableContents"/>
              <w:bidi w:val="0"/>
              <w:spacing w:before="0" w:after="0"/>
              <w:ind w:left="0" w:right="0" w:hanging="0"/>
              <w:jc w:val="left"/>
              <w:rPr/>
            </w:pPr>
            <w:r>
              <w:rPr/>
              <w:t> </w:t>
            </w:r>
          </w:p>
        </w:tc>
        <w:tc>
          <w:tcPr>
            <w:tcW w:w="71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18" w:type="dxa"/>
            <w:tcBorders/>
            <w:vAlign w:val="center"/>
          </w:tcPr>
          <w:p>
            <w:pPr>
              <w:pStyle w:val="TableContents"/>
              <w:bidi w:val="0"/>
              <w:spacing w:before="0" w:after="0"/>
              <w:ind w:left="0" w:right="0" w:hanging="0"/>
              <w:jc w:val="right"/>
              <w:rPr/>
            </w:pPr>
            <w:r>
              <w:rPr/>
              <w:t>​</w:t>
            </w:r>
          </w:p>
        </w:tc>
        <w:tc>
          <w:tcPr>
            <w:tcW w:w="303" w:type="dxa"/>
            <w:tcBorders/>
            <w:vAlign w:val="center"/>
          </w:tcPr>
          <w:p>
            <w:pPr>
              <w:pStyle w:val="TableContents"/>
              <w:bidi w:val="0"/>
              <w:spacing w:before="0" w:after="0"/>
              <w:ind w:left="0" w:right="0" w:hanging="0"/>
              <w:jc w:val="left"/>
              <w:rPr/>
            </w:pPr>
            <w:r>
              <w:rPr/>
              <w:t>​</w:t>
            </w:r>
          </w:p>
        </w:tc>
      </w:tr>
      <w:tr>
        <w:trPr/>
        <w:tc>
          <w:tcPr>
            <w:tcW w:w="772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revenues</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1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177,062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1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156,781</w:t>
            </w:r>
          </w:p>
        </w:tc>
        <w:tc>
          <w:tcPr>
            <w:tcW w:w="303" w:type="dxa"/>
            <w:tcBorders/>
            <w:shd w:fill="CCEEFF" w:val="clear"/>
            <w:vAlign w:val="center"/>
          </w:tcPr>
          <w:p>
            <w:pPr>
              <w:pStyle w:val="TableContents"/>
              <w:bidi w:val="0"/>
              <w:spacing w:before="0" w:after="0"/>
              <w:ind w:left="0" w:right="0" w:hanging="0"/>
              <w:jc w:val="left"/>
              <w:rPr/>
            </w:pPr>
            <w:r>
              <w:rPr/>
              <w:t>​</w:t>
            </w:r>
          </w:p>
        </w:tc>
      </w:tr>
      <w:tr>
        <w:trPr/>
        <w:tc>
          <w:tcPr>
            <w:tcW w:w="7728"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Non-GAAP gross margin</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71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75.0</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71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72.5</w:t>
            </w:r>
          </w:p>
        </w:tc>
        <w:tc>
          <w:tcPr>
            <w:tcW w:w="30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7728"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1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18" w:type="dxa"/>
            <w:tcBorders/>
            <w:vAlign w:val="center"/>
          </w:tcPr>
          <w:p>
            <w:pPr>
              <w:pStyle w:val="TableContents"/>
              <w:bidi w:val="0"/>
              <w:spacing w:before="0" w:after="0"/>
              <w:ind w:left="0" w:right="0" w:hanging="0"/>
              <w:jc w:val="right"/>
              <w:rPr/>
            </w:pPr>
            <w:r>
              <w:rPr/>
              <w:t>​</w:t>
            </w:r>
          </w:p>
        </w:tc>
        <w:tc>
          <w:tcPr>
            <w:tcW w:w="303" w:type="dxa"/>
            <w:tcBorders/>
            <w:vAlign w:val="center"/>
          </w:tcPr>
          <w:p>
            <w:pPr>
              <w:pStyle w:val="TableContents"/>
              <w:bidi w:val="0"/>
              <w:spacing w:before="0" w:after="0"/>
              <w:ind w:left="0" w:right="0" w:hanging="0"/>
              <w:jc w:val="left"/>
              <w:rPr/>
            </w:pPr>
            <w:r>
              <w:rPr/>
              <w:t>​</w:t>
            </w:r>
          </w:p>
        </w:tc>
      </w:tr>
      <w:tr>
        <w:trPr/>
        <w:tc>
          <w:tcPr>
            <w:tcW w:w="7728"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Non-GAAP Research and Development Expense:</w:t>
            </w:r>
          </w:p>
        </w:tc>
        <w:tc>
          <w:tcPr>
            <w:tcW w:w="196" w:type="dxa"/>
            <w:tcBorders/>
            <w:shd w:fill="CCEEFF" w:val="clear"/>
            <w:vAlign w:val="center"/>
          </w:tcPr>
          <w:p>
            <w:pPr>
              <w:pStyle w:val="TableContents"/>
              <w:bidi w:val="0"/>
              <w:spacing w:before="0" w:after="0"/>
              <w:ind w:left="0" w:right="0" w:hanging="0"/>
              <w:jc w:val="left"/>
              <w:rPr/>
            </w:pPr>
            <w:r>
              <w:rPr/>
              <w:t> </w:t>
            </w:r>
          </w:p>
        </w:tc>
        <w:tc>
          <w:tcPr>
            <w:tcW w:w="71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18" w:type="dxa"/>
            <w:tcBorders/>
            <w:shd w:fill="CCEEFF" w:val="clear"/>
            <w:vAlign w:val="center"/>
          </w:tcPr>
          <w:p>
            <w:pPr>
              <w:pStyle w:val="TableContents"/>
              <w:bidi w:val="0"/>
              <w:spacing w:before="0" w:after="0"/>
              <w:ind w:left="0" w:right="0" w:hanging="0"/>
              <w:jc w:val="right"/>
              <w:rPr/>
            </w:pPr>
            <w:r>
              <w:rPr/>
              <w:t>​</w:t>
            </w:r>
          </w:p>
        </w:tc>
        <w:tc>
          <w:tcPr>
            <w:tcW w:w="303" w:type="dxa"/>
            <w:tcBorders/>
            <w:shd w:fill="CCEEFF" w:val="clear"/>
            <w:vAlign w:val="center"/>
          </w:tcPr>
          <w:p>
            <w:pPr>
              <w:pStyle w:val="TableContents"/>
              <w:bidi w:val="0"/>
              <w:spacing w:before="0" w:after="0"/>
              <w:ind w:left="0" w:right="0" w:hanging="0"/>
              <w:jc w:val="left"/>
              <w:rPr/>
            </w:pPr>
            <w:r>
              <w:rPr/>
              <w:t>​</w:t>
            </w:r>
          </w:p>
        </w:tc>
      </w:tr>
      <w:tr>
        <w:trPr/>
        <w:tc>
          <w:tcPr>
            <w:tcW w:w="7728"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Research and development expense</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1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20,886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1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16,845</w:t>
            </w:r>
          </w:p>
        </w:tc>
        <w:tc>
          <w:tcPr>
            <w:tcW w:w="303" w:type="dxa"/>
            <w:tcBorders/>
            <w:vAlign w:val="center"/>
          </w:tcPr>
          <w:p>
            <w:pPr>
              <w:pStyle w:val="TableContents"/>
              <w:bidi w:val="0"/>
              <w:spacing w:before="0" w:after="0"/>
              <w:ind w:left="0" w:right="0" w:hanging="0"/>
              <w:jc w:val="left"/>
              <w:rPr/>
            </w:pPr>
            <w:r>
              <w:rPr/>
              <w:t>​</w:t>
            </w:r>
          </w:p>
        </w:tc>
      </w:tr>
      <w:tr>
        <w:trPr/>
        <w:tc>
          <w:tcPr>
            <w:tcW w:w="772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Stock-based compensation expense</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(4,352)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(3,373)</w:t>
            </w:r>
          </w:p>
        </w:tc>
        <w:tc>
          <w:tcPr>
            <w:tcW w:w="303" w:type="dxa"/>
            <w:tcBorders/>
            <w:shd w:fill="CCEEFF" w:val="clear"/>
            <w:vAlign w:val="center"/>
          </w:tcPr>
          <w:p>
            <w:pPr>
              <w:pStyle w:val="TableContents"/>
              <w:bidi w:val="0"/>
              <w:spacing w:before="0" w:after="0"/>
              <w:ind w:left="0" w:right="0" w:hanging="0"/>
              <w:jc w:val="left"/>
              <w:rPr/>
            </w:pPr>
            <w:r>
              <w:rPr/>
              <w:t>​</w:t>
            </w:r>
          </w:p>
        </w:tc>
      </w:tr>
      <w:tr>
        <w:trPr/>
        <w:tc>
          <w:tcPr>
            <w:tcW w:w="7728"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Non-GAAP research and development expense</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1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16,534</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1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13,472</w:t>
            </w:r>
          </w:p>
        </w:tc>
        <w:tc>
          <w:tcPr>
            <w:tcW w:w="303" w:type="dxa"/>
            <w:tcBorders/>
            <w:vAlign w:val="center"/>
          </w:tcPr>
          <w:p>
            <w:pPr>
              <w:pStyle w:val="TableContents"/>
              <w:bidi w:val="0"/>
              <w:spacing w:before="0" w:after="0"/>
              <w:ind w:left="0" w:right="0" w:hanging="0"/>
              <w:jc w:val="left"/>
              <w:rPr/>
            </w:pPr>
            <w:r>
              <w:rPr/>
              <w:t>​</w:t>
            </w:r>
          </w:p>
        </w:tc>
      </w:tr>
      <w:tr>
        <w:trPr/>
        <w:tc>
          <w:tcPr>
            <w:tcW w:w="7728"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1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18" w:type="dxa"/>
            <w:tcBorders/>
            <w:vAlign w:val="center"/>
          </w:tcPr>
          <w:p>
            <w:pPr>
              <w:pStyle w:val="TableContents"/>
              <w:bidi w:val="0"/>
              <w:spacing w:before="0" w:after="0"/>
              <w:ind w:left="0" w:right="0" w:hanging="0"/>
              <w:jc w:val="right"/>
              <w:rPr/>
            </w:pPr>
            <w:r>
              <w:rPr/>
              <w:t>​</w:t>
            </w:r>
          </w:p>
        </w:tc>
        <w:tc>
          <w:tcPr>
            <w:tcW w:w="303" w:type="dxa"/>
            <w:tcBorders/>
            <w:vAlign w:val="center"/>
          </w:tcPr>
          <w:p>
            <w:pPr>
              <w:pStyle w:val="TableContents"/>
              <w:bidi w:val="0"/>
              <w:spacing w:before="0" w:after="0"/>
              <w:ind w:left="0" w:right="0" w:hanging="0"/>
              <w:jc w:val="left"/>
              <w:rPr/>
            </w:pPr>
            <w:r>
              <w:rPr/>
              <w:t>​</w:t>
            </w:r>
          </w:p>
        </w:tc>
      </w:tr>
      <w:tr>
        <w:trPr/>
        <w:tc>
          <w:tcPr>
            <w:tcW w:w="7728"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1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18" w:type="dxa"/>
            <w:tcBorders/>
            <w:vAlign w:val="center"/>
          </w:tcPr>
          <w:p>
            <w:pPr>
              <w:pStyle w:val="TableContents"/>
              <w:bidi w:val="0"/>
              <w:spacing w:before="0" w:after="0"/>
              <w:ind w:left="0" w:right="0" w:hanging="0"/>
              <w:jc w:val="right"/>
              <w:rPr/>
            </w:pPr>
            <w:r>
              <w:rPr/>
              <w:t>​</w:t>
            </w:r>
          </w:p>
        </w:tc>
        <w:tc>
          <w:tcPr>
            <w:tcW w:w="303" w:type="dxa"/>
            <w:tcBorders/>
            <w:vAlign w:val="center"/>
          </w:tcPr>
          <w:p>
            <w:pPr>
              <w:pStyle w:val="TableContents"/>
              <w:bidi w:val="0"/>
              <w:spacing w:before="0" w:after="0"/>
              <w:ind w:left="0" w:right="0" w:hanging="0"/>
              <w:jc w:val="left"/>
              <w:rPr/>
            </w:pPr>
            <w:r>
              <w:rPr/>
              <w:t>​</w:t>
            </w:r>
          </w:p>
        </w:tc>
      </w:tr>
      <w:tr>
        <w:trPr/>
        <w:tc>
          <w:tcPr>
            <w:tcW w:w="7728"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1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18" w:type="dxa"/>
            <w:tcBorders/>
            <w:vAlign w:val="center"/>
          </w:tcPr>
          <w:p>
            <w:pPr>
              <w:pStyle w:val="TableContents"/>
              <w:bidi w:val="0"/>
              <w:spacing w:before="0" w:after="0"/>
              <w:ind w:left="0" w:right="0" w:hanging="0"/>
              <w:jc w:val="right"/>
              <w:rPr/>
            </w:pPr>
            <w:r>
              <w:rPr/>
              <w:t>​</w:t>
            </w:r>
          </w:p>
        </w:tc>
        <w:tc>
          <w:tcPr>
            <w:tcW w:w="303" w:type="dxa"/>
            <w:tcBorders/>
            <w:vAlign w:val="center"/>
          </w:tcPr>
          <w:p>
            <w:pPr>
              <w:pStyle w:val="TableContents"/>
              <w:bidi w:val="0"/>
              <w:spacing w:before="0" w:after="0"/>
              <w:ind w:left="0" w:right="0" w:hanging="0"/>
              <w:jc w:val="left"/>
              <w:rPr/>
            </w:pPr>
            <w:r>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7572"/>
        <w:gridCol w:w="265"/>
        <w:gridCol w:w="955"/>
        <w:gridCol w:w="147"/>
        <w:gridCol w:w="265"/>
        <w:gridCol w:w="844"/>
        <w:gridCol w:w="157"/>
      </w:tblGrid>
      <w:tr>
        <w:trPr/>
        <w:tc>
          <w:tcPr>
            <w:tcW w:w="7572" w:type="dxa"/>
            <w:tcBorders/>
            <w:vAlign w:val="center"/>
          </w:tcPr>
          <w:p>
            <w:pPr>
              <w:pStyle w:val="TableContents"/>
              <w:bidi w:val="0"/>
              <w:spacing w:before="0" w:after="0"/>
              <w:ind w:left="0" w:right="0" w:hanging="0"/>
              <w:jc w:val="left"/>
              <w:rPr/>
            </w:pPr>
            <w:r>
              <w:rPr/>
              <w:t>​</w:t>
            </w:r>
          </w:p>
        </w:tc>
        <w:tc>
          <w:tcPr>
            <w:tcW w:w="2476"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three months ended</w:t>
            </w:r>
          </w:p>
        </w:tc>
        <w:tc>
          <w:tcPr>
            <w:tcW w:w="157" w:type="dxa"/>
            <w:tcBorders/>
            <w:vAlign w:val="center"/>
          </w:tcPr>
          <w:p>
            <w:pPr>
              <w:pStyle w:val="TableContents"/>
              <w:bidi w:val="0"/>
              <w:spacing w:before="0" w:after="0"/>
              <w:ind w:left="0" w:right="0" w:hanging="0"/>
              <w:jc w:val="left"/>
              <w:rPr/>
            </w:pPr>
            <w:r>
              <w:rPr/>
              <w:t>​</w:t>
            </w:r>
          </w:p>
        </w:tc>
      </w:tr>
      <w:tr>
        <w:trPr/>
        <w:tc>
          <w:tcPr>
            <w:tcW w:w="7572" w:type="dxa"/>
            <w:tcBorders/>
            <w:vAlign w:val="center"/>
          </w:tcPr>
          <w:p>
            <w:pPr>
              <w:pStyle w:val="TableContents"/>
              <w:bidi w:val="0"/>
              <w:spacing w:before="0" w:after="0"/>
              <w:ind w:left="0" w:right="0" w:hanging="0"/>
              <w:jc w:val="left"/>
              <w:rPr/>
            </w:pPr>
            <w:r>
              <w:rPr/>
              <w:t>​</w:t>
            </w:r>
          </w:p>
        </w:tc>
        <w:tc>
          <w:tcPr>
            <w:tcW w:w="247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157" w:type="dxa"/>
            <w:tcBorders/>
            <w:vAlign w:val="center"/>
          </w:tcPr>
          <w:p>
            <w:pPr>
              <w:pStyle w:val="TableContents"/>
              <w:bidi w:val="0"/>
              <w:spacing w:before="0" w:after="0"/>
              <w:ind w:left="0" w:right="0" w:hanging="0"/>
              <w:jc w:val="left"/>
              <w:rPr/>
            </w:pPr>
            <w:r>
              <w:rPr/>
              <w:t>​</w:t>
            </w:r>
          </w:p>
        </w:tc>
      </w:tr>
      <w:tr>
        <w:trPr/>
        <w:tc>
          <w:tcPr>
            <w:tcW w:w="7572"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thousands)</w:t>
            </w:r>
          </w:p>
        </w:tc>
        <w:tc>
          <w:tcPr>
            <w:tcW w:w="12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147" w:type="dxa"/>
            <w:tcBorders/>
            <w:vAlign w:val="center"/>
          </w:tcPr>
          <w:p>
            <w:pPr>
              <w:pStyle w:val="TableContents"/>
              <w:bidi w:val="0"/>
              <w:spacing w:before="0" w:after="0"/>
              <w:ind w:left="0" w:right="0" w:hanging="0"/>
              <w:jc w:val="left"/>
              <w:rPr/>
            </w:pPr>
            <w:r>
              <w:rPr/>
              <w:t>​</w:t>
            </w:r>
          </w:p>
        </w:tc>
        <w:tc>
          <w:tcPr>
            <w:tcW w:w="11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2024</w:t>
            </w:r>
          </w:p>
        </w:tc>
        <w:tc>
          <w:tcPr>
            <w:tcW w:w="157" w:type="dxa"/>
            <w:tcBorders/>
            <w:vAlign w:val="center"/>
          </w:tcPr>
          <w:p>
            <w:pPr>
              <w:pStyle w:val="TableContents"/>
              <w:bidi w:val="0"/>
              <w:spacing w:before="0" w:after="0"/>
              <w:ind w:left="0" w:right="0" w:hanging="0"/>
              <w:jc w:val="left"/>
              <w:rPr/>
            </w:pPr>
            <w:r>
              <w:rPr/>
              <w:t>​</w:t>
            </w:r>
          </w:p>
        </w:tc>
      </w:tr>
      <w:tr>
        <w:trPr/>
        <w:tc>
          <w:tcPr>
            <w:tcW w:w="10205"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7572" w:type="dxa"/>
            <w:tcBorders/>
            <w:vAlign w:val="center"/>
          </w:tcPr>
          <w:p>
            <w:pPr>
              <w:pStyle w:val="TableContents"/>
              <w:bidi w:val="0"/>
              <w:spacing w:before="0" w:after="0"/>
              <w:ind w:left="0" w:right="0" w:hanging="0"/>
              <w:jc w:val="left"/>
              <w:rPr/>
            </w:pPr>
            <w:r>
              <w:rPr/>
              <w:t>​</w:t>
            </w:r>
          </w:p>
        </w:tc>
        <w:tc>
          <w:tcPr>
            <w:tcW w:w="2476"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157" w:type="dxa"/>
            <w:tcBorders/>
            <w:vAlign w:val="center"/>
          </w:tcPr>
          <w:p>
            <w:pPr>
              <w:pStyle w:val="TableContents"/>
              <w:bidi w:val="0"/>
              <w:spacing w:before="0" w:after="0"/>
              <w:ind w:left="0" w:right="0" w:hanging="0"/>
              <w:jc w:val="left"/>
              <w:rPr/>
            </w:pPr>
            <w:r>
              <w:rPr/>
              <w:t>​</w:t>
            </w:r>
          </w:p>
        </w:tc>
      </w:tr>
      <w:tr>
        <w:trPr/>
        <w:tc>
          <w:tcPr>
            <w:tcW w:w="7572"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pPr>
            <w:r>
              <w:rPr/>
              <w:t>​</w:t>
            </w:r>
          </w:p>
        </w:tc>
        <w:tc>
          <w:tcPr>
            <w:tcW w:w="955" w:type="dxa"/>
            <w:tcBorders/>
            <w:vAlign w:val="center"/>
          </w:tcPr>
          <w:p>
            <w:pPr>
              <w:pStyle w:val="TableContents"/>
              <w:bidi w:val="0"/>
              <w:spacing w:before="0" w:after="0"/>
              <w:ind w:left="0" w:right="0" w:hanging="0"/>
              <w:jc w:val="right"/>
              <w:rPr/>
            </w:pPr>
            <w:r>
              <w:rPr/>
              <w:t>​</w:t>
            </w:r>
          </w:p>
        </w:tc>
        <w:tc>
          <w:tcPr>
            <w:tcW w:w="147"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pPr>
            <w:r>
              <w:rPr/>
              <w:t>​</w:t>
            </w:r>
          </w:p>
        </w:tc>
        <w:tc>
          <w:tcPr>
            <w:tcW w:w="844" w:type="dxa"/>
            <w:tcBorders/>
            <w:vAlign w:val="center"/>
          </w:tcPr>
          <w:p>
            <w:pPr>
              <w:pStyle w:val="TableContents"/>
              <w:bidi w:val="0"/>
              <w:spacing w:before="0" w:after="0"/>
              <w:ind w:left="0" w:right="0" w:hanging="0"/>
              <w:jc w:val="right"/>
              <w:rPr/>
            </w:pPr>
            <w:r>
              <w:rPr/>
              <w:t>​</w:t>
            </w:r>
          </w:p>
        </w:tc>
        <w:tc>
          <w:tcPr>
            <w:tcW w:w="157" w:type="dxa"/>
            <w:tcBorders/>
            <w:vAlign w:val="center"/>
          </w:tcPr>
          <w:p>
            <w:pPr>
              <w:pStyle w:val="TableContents"/>
              <w:bidi w:val="0"/>
              <w:spacing w:before="0" w:after="0"/>
              <w:ind w:left="0" w:right="0" w:hanging="0"/>
              <w:jc w:val="left"/>
              <w:rPr/>
            </w:pPr>
            <w:r>
              <w:rPr/>
              <w:t>​</w:t>
            </w:r>
          </w:p>
        </w:tc>
      </w:tr>
      <w:tr>
        <w:trPr/>
        <w:tc>
          <w:tcPr>
            <w:tcW w:w="7572"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Non-GAAP Selling and Marketing Expense:</w:t>
            </w:r>
          </w:p>
        </w:tc>
        <w:tc>
          <w:tcPr>
            <w:tcW w:w="265" w:type="dxa"/>
            <w:tcBorders/>
            <w:shd w:fill="CCEEFF" w:val="clear"/>
            <w:vAlign w:val="center"/>
          </w:tcPr>
          <w:p>
            <w:pPr>
              <w:pStyle w:val="TableContents"/>
              <w:bidi w:val="0"/>
              <w:spacing w:before="0" w:after="0"/>
              <w:ind w:left="0" w:right="0" w:hanging="0"/>
              <w:jc w:val="left"/>
              <w:rPr/>
            </w:pPr>
            <w:r>
              <w:rPr/>
              <w:t> </w:t>
            </w:r>
          </w:p>
        </w:tc>
        <w:tc>
          <w:tcPr>
            <w:tcW w:w="955" w:type="dxa"/>
            <w:tcBorders/>
            <w:shd w:fill="CCEEFF" w:val="clear"/>
            <w:vAlign w:val="center"/>
          </w:tcPr>
          <w:p>
            <w:pPr>
              <w:pStyle w:val="TableContents"/>
              <w:bidi w:val="0"/>
              <w:spacing w:before="0" w:after="0"/>
              <w:ind w:left="0" w:right="0" w:hanging="0"/>
              <w:jc w:val="right"/>
              <w:rPr/>
            </w:pPr>
            <w:r>
              <w:rPr/>
              <w:t>​</w:t>
            </w:r>
          </w:p>
        </w:tc>
        <w:tc>
          <w:tcPr>
            <w:tcW w:w="147"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pPr>
            <w:r>
              <w:rPr/>
              <w:t> </w:t>
            </w:r>
          </w:p>
        </w:tc>
        <w:tc>
          <w:tcPr>
            <w:tcW w:w="844" w:type="dxa"/>
            <w:tcBorders/>
            <w:shd w:fill="CCEEFF" w:val="clear"/>
            <w:vAlign w:val="center"/>
          </w:tcPr>
          <w:p>
            <w:pPr>
              <w:pStyle w:val="TableContents"/>
              <w:bidi w:val="0"/>
              <w:spacing w:before="0" w:after="0"/>
              <w:ind w:left="0" w:right="0" w:hanging="0"/>
              <w:jc w:val="right"/>
              <w:rPr/>
            </w:pPr>
            <w:r>
              <w:rPr/>
              <w:t>​</w:t>
            </w:r>
          </w:p>
        </w:tc>
        <w:tc>
          <w:tcPr>
            <w:tcW w:w="157" w:type="dxa"/>
            <w:tcBorders/>
            <w:shd w:fill="CCEEFF" w:val="clear"/>
            <w:vAlign w:val="center"/>
          </w:tcPr>
          <w:p>
            <w:pPr>
              <w:pStyle w:val="TableContents"/>
              <w:bidi w:val="0"/>
              <w:spacing w:before="0" w:after="0"/>
              <w:ind w:left="0" w:right="0" w:hanging="0"/>
              <w:jc w:val="left"/>
              <w:rPr/>
            </w:pPr>
            <w:r>
              <w:rPr/>
              <w:t>​</w:t>
            </w:r>
          </w:p>
        </w:tc>
      </w:tr>
      <w:tr>
        <w:trPr/>
        <w:tc>
          <w:tcPr>
            <w:tcW w:w="7572"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Selling and marketing expense</w:t>
            </w:r>
          </w:p>
        </w:tc>
        <w:tc>
          <w:tcPr>
            <w:tcW w:w="26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5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48,155</w:t>
            </w:r>
          </w:p>
        </w:tc>
        <w:tc>
          <w:tcPr>
            <w:tcW w:w="147"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4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40,491</w:t>
            </w:r>
          </w:p>
        </w:tc>
        <w:tc>
          <w:tcPr>
            <w:tcW w:w="157" w:type="dxa"/>
            <w:tcBorders/>
            <w:vAlign w:val="center"/>
          </w:tcPr>
          <w:p>
            <w:pPr>
              <w:pStyle w:val="TableContents"/>
              <w:bidi w:val="0"/>
              <w:spacing w:before="0" w:after="0"/>
              <w:ind w:left="0" w:right="0" w:hanging="0"/>
              <w:jc w:val="left"/>
              <w:rPr/>
            </w:pPr>
            <w:r>
              <w:rPr/>
              <w:t>​</w:t>
            </w:r>
          </w:p>
        </w:tc>
      </w:tr>
      <w:tr>
        <w:trPr/>
        <w:tc>
          <w:tcPr>
            <w:tcW w:w="757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Stock-based compensation expense</w:t>
            </w:r>
          </w:p>
        </w:tc>
        <w:tc>
          <w:tcPr>
            <w:tcW w:w="265" w:type="dxa"/>
            <w:tcBorders/>
            <w:shd w:fill="CCEEFF" w:val="clear"/>
            <w:vAlign w:val="center"/>
          </w:tcPr>
          <w:p>
            <w:pPr>
              <w:pStyle w:val="TableContents"/>
              <w:bidi w:val="0"/>
              <w:spacing w:before="0" w:after="0"/>
              <w:ind w:left="0" w:right="0" w:hanging="0"/>
              <w:jc w:val="left"/>
              <w:rPr/>
            </w:pPr>
            <w:r>
              <w:rPr/>
              <w:t>​</w:t>
            </w:r>
          </w:p>
        </w:tc>
        <w:tc>
          <w:tcPr>
            <w:tcW w:w="95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(5,806)</w:t>
            </w:r>
          </w:p>
        </w:tc>
        <w:tc>
          <w:tcPr>
            <w:tcW w:w="147"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pPr>
            <w:r>
              <w:rPr/>
              <w:t> </w:t>
            </w:r>
          </w:p>
        </w:tc>
        <w:tc>
          <w:tcPr>
            <w:tcW w:w="84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(4,222)</w:t>
            </w:r>
          </w:p>
        </w:tc>
        <w:tc>
          <w:tcPr>
            <w:tcW w:w="157" w:type="dxa"/>
            <w:tcBorders/>
            <w:shd w:fill="CCEEFF" w:val="clear"/>
            <w:vAlign w:val="center"/>
          </w:tcPr>
          <w:p>
            <w:pPr>
              <w:pStyle w:val="TableContents"/>
              <w:bidi w:val="0"/>
              <w:spacing w:before="0" w:after="0"/>
              <w:ind w:left="0" w:right="0" w:hanging="0"/>
              <w:jc w:val="left"/>
              <w:rPr/>
            </w:pPr>
            <w:r>
              <w:rPr/>
              <w:t>​</w:t>
            </w:r>
          </w:p>
        </w:tc>
      </w:tr>
      <w:tr>
        <w:trPr/>
        <w:tc>
          <w:tcPr>
            <w:tcW w:w="757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Amortization of acquired intangible assets – selling and marketing expense</w:t>
            </w:r>
          </w:p>
        </w:tc>
        <w:tc>
          <w:tcPr>
            <w:tcW w:w="26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5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(531)</w:t>
            </w:r>
          </w:p>
        </w:tc>
        <w:tc>
          <w:tcPr>
            <w:tcW w:w="147" w:type="dxa"/>
            <w:tcBorders/>
            <w:vAlign w:val="center"/>
          </w:tcPr>
          <w:p>
            <w:pPr>
              <w:pStyle w:val="TableContents"/>
              <w:bidi w:val="0"/>
              <w:spacing w:before="0" w:after="0"/>
              <w:ind w:left="0" w:right="0" w:hanging="0"/>
              <w:jc w:val="left"/>
              <w:rPr/>
            </w:pPr>
            <w:r>
              <w:rPr/>
              <w:t>​</w:t>
            </w:r>
          </w:p>
        </w:tc>
        <w:tc>
          <w:tcPr>
            <w:tcW w:w="26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(595)</w:t>
            </w:r>
          </w:p>
        </w:tc>
        <w:tc>
          <w:tcPr>
            <w:tcW w:w="157" w:type="dxa"/>
            <w:tcBorders/>
            <w:vAlign w:val="center"/>
          </w:tcPr>
          <w:p>
            <w:pPr>
              <w:pStyle w:val="TableContents"/>
              <w:bidi w:val="0"/>
              <w:spacing w:before="0" w:after="0"/>
              <w:ind w:left="0" w:right="0" w:hanging="0"/>
              <w:jc w:val="left"/>
              <w:rPr/>
            </w:pPr>
            <w:r>
              <w:rPr/>
              <w:t>​</w:t>
            </w:r>
          </w:p>
        </w:tc>
      </w:tr>
      <w:tr>
        <w:trPr/>
        <w:tc>
          <w:tcPr>
            <w:tcW w:w="7572"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Non-GAAP selling and marketing expense</w:t>
            </w:r>
          </w:p>
        </w:tc>
        <w:tc>
          <w:tcPr>
            <w:tcW w:w="26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5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41,818</w:t>
            </w:r>
          </w:p>
        </w:tc>
        <w:tc>
          <w:tcPr>
            <w:tcW w:w="147" w:type="dxa"/>
            <w:tcBorders/>
            <w:shd w:fill="CCEEFF" w:val="clear"/>
            <w:vAlign w:val="center"/>
          </w:tcPr>
          <w:p>
            <w:pPr>
              <w:pStyle w:val="TableContents"/>
              <w:bidi w:val="0"/>
              <w:spacing w:before="0" w:after="0"/>
              <w:ind w:left="0" w:right="0" w:hanging="0"/>
              <w:jc w:val="left"/>
              <w:rPr/>
            </w:pPr>
            <w:r>
              <w:rPr/>
              <w:t>​</w:t>
            </w:r>
          </w:p>
        </w:tc>
        <w:tc>
          <w:tcPr>
            <w:tcW w:w="26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4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35,674</w:t>
            </w:r>
          </w:p>
        </w:tc>
        <w:tc>
          <w:tcPr>
            <w:tcW w:w="157" w:type="dxa"/>
            <w:tcBorders/>
            <w:shd w:fill="CCEEFF" w:val="clear"/>
            <w:vAlign w:val="center"/>
          </w:tcPr>
          <w:p>
            <w:pPr>
              <w:pStyle w:val="TableContents"/>
              <w:bidi w:val="0"/>
              <w:spacing w:before="0" w:after="0"/>
              <w:ind w:left="0" w:right="0" w:hanging="0"/>
              <w:jc w:val="left"/>
              <w:rPr/>
            </w:pPr>
            <w:r>
              <w:rPr/>
              <w:t>​</w:t>
            </w:r>
          </w:p>
        </w:tc>
      </w:tr>
      <w:tr>
        <w:trPr/>
        <w:tc>
          <w:tcPr>
            <w:tcW w:w="7572"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pPr>
            <w:r>
              <w:rPr/>
              <w:t>​</w:t>
            </w:r>
          </w:p>
        </w:tc>
        <w:tc>
          <w:tcPr>
            <w:tcW w:w="955" w:type="dxa"/>
            <w:tcBorders/>
            <w:vAlign w:val="center"/>
          </w:tcPr>
          <w:p>
            <w:pPr>
              <w:pStyle w:val="TableContents"/>
              <w:bidi w:val="0"/>
              <w:spacing w:before="0" w:after="0"/>
              <w:ind w:left="0" w:right="0" w:hanging="0"/>
              <w:jc w:val="right"/>
              <w:rPr/>
            </w:pPr>
            <w:r>
              <w:rPr/>
              <w:t>​</w:t>
            </w:r>
          </w:p>
        </w:tc>
        <w:tc>
          <w:tcPr>
            <w:tcW w:w="147"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pPr>
            <w:r>
              <w:rPr/>
              <w:t>​</w:t>
            </w:r>
          </w:p>
        </w:tc>
        <w:tc>
          <w:tcPr>
            <w:tcW w:w="844" w:type="dxa"/>
            <w:tcBorders/>
            <w:vAlign w:val="center"/>
          </w:tcPr>
          <w:p>
            <w:pPr>
              <w:pStyle w:val="TableContents"/>
              <w:bidi w:val="0"/>
              <w:spacing w:before="0" w:after="0"/>
              <w:ind w:left="0" w:right="0" w:hanging="0"/>
              <w:jc w:val="right"/>
              <w:rPr/>
            </w:pPr>
            <w:r>
              <w:rPr/>
              <w:t>​</w:t>
            </w:r>
          </w:p>
        </w:tc>
        <w:tc>
          <w:tcPr>
            <w:tcW w:w="157" w:type="dxa"/>
            <w:tcBorders/>
            <w:vAlign w:val="center"/>
          </w:tcPr>
          <w:p>
            <w:pPr>
              <w:pStyle w:val="TableContents"/>
              <w:bidi w:val="0"/>
              <w:spacing w:before="0" w:after="0"/>
              <w:ind w:left="0" w:right="0" w:hanging="0"/>
              <w:jc w:val="left"/>
              <w:rPr/>
            </w:pPr>
            <w:r>
              <w:rPr/>
              <w:t>​</w:t>
            </w:r>
          </w:p>
        </w:tc>
      </w:tr>
      <w:tr>
        <w:trPr/>
        <w:tc>
          <w:tcPr>
            <w:tcW w:w="7572"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Non-GAAP General and Administrative Expense:</w:t>
            </w:r>
          </w:p>
        </w:tc>
        <w:tc>
          <w:tcPr>
            <w:tcW w:w="265" w:type="dxa"/>
            <w:tcBorders/>
            <w:vAlign w:val="center"/>
          </w:tcPr>
          <w:p>
            <w:pPr>
              <w:pStyle w:val="TableContents"/>
              <w:bidi w:val="0"/>
              <w:spacing w:before="0" w:after="0"/>
              <w:ind w:left="0" w:right="0" w:hanging="0"/>
              <w:jc w:val="left"/>
              <w:rPr/>
            </w:pPr>
            <w:r>
              <w:rPr/>
              <w:t> </w:t>
            </w:r>
          </w:p>
        </w:tc>
        <w:tc>
          <w:tcPr>
            <w:tcW w:w="955" w:type="dxa"/>
            <w:tcBorders/>
            <w:vAlign w:val="center"/>
          </w:tcPr>
          <w:p>
            <w:pPr>
              <w:pStyle w:val="TableContents"/>
              <w:bidi w:val="0"/>
              <w:spacing w:before="0" w:after="0"/>
              <w:ind w:left="0" w:right="0" w:hanging="0"/>
              <w:jc w:val="right"/>
              <w:rPr/>
            </w:pPr>
            <w:r>
              <w:rPr/>
              <w:t>​</w:t>
            </w:r>
          </w:p>
        </w:tc>
        <w:tc>
          <w:tcPr>
            <w:tcW w:w="147"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pPr>
            <w:r>
              <w:rPr/>
              <w:t> </w:t>
            </w:r>
          </w:p>
        </w:tc>
        <w:tc>
          <w:tcPr>
            <w:tcW w:w="844" w:type="dxa"/>
            <w:tcBorders/>
            <w:vAlign w:val="center"/>
          </w:tcPr>
          <w:p>
            <w:pPr>
              <w:pStyle w:val="TableContents"/>
              <w:bidi w:val="0"/>
              <w:spacing w:before="0" w:after="0"/>
              <w:ind w:left="0" w:right="0" w:hanging="0"/>
              <w:jc w:val="right"/>
              <w:rPr/>
            </w:pPr>
            <w:r>
              <w:rPr/>
              <w:t>​</w:t>
            </w:r>
          </w:p>
        </w:tc>
        <w:tc>
          <w:tcPr>
            <w:tcW w:w="157" w:type="dxa"/>
            <w:tcBorders/>
            <w:vAlign w:val="center"/>
          </w:tcPr>
          <w:p>
            <w:pPr>
              <w:pStyle w:val="TableContents"/>
              <w:bidi w:val="0"/>
              <w:spacing w:before="0" w:after="0"/>
              <w:ind w:left="0" w:right="0" w:hanging="0"/>
              <w:jc w:val="left"/>
              <w:rPr/>
            </w:pPr>
            <w:r>
              <w:rPr/>
              <w:t>​</w:t>
            </w:r>
          </w:p>
        </w:tc>
      </w:tr>
      <w:tr>
        <w:trPr/>
        <w:tc>
          <w:tcPr>
            <w:tcW w:w="7572"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General and administrative expense</w:t>
            </w:r>
          </w:p>
        </w:tc>
        <w:tc>
          <w:tcPr>
            <w:tcW w:w="26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5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45,028</w:t>
            </w:r>
          </w:p>
        </w:tc>
        <w:tc>
          <w:tcPr>
            <w:tcW w:w="147"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4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35,542</w:t>
            </w:r>
          </w:p>
        </w:tc>
        <w:tc>
          <w:tcPr>
            <w:tcW w:w="157" w:type="dxa"/>
            <w:tcBorders/>
            <w:shd w:fill="CCEEFF" w:val="clear"/>
            <w:vAlign w:val="center"/>
          </w:tcPr>
          <w:p>
            <w:pPr>
              <w:pStyle w:val="TableContents"/>
              <w:bidi w:val="0"/>
              <w:spacing w:before="0" w:after="0"/>
              <w:ind w:left="0" w:right="0" w:hanging="0"/>
              <w:jc w:val="left"/>
              <w:rPr/>
            </w:pPr>
            <w:r>
              <w:rPr/>
              <w:t>​</w:t>
            </w:r>
          </w:p>
        </w:tc>
      </w:tr>
      <w:tr>
        <w:trPr/>
        <w:tc>
          <w:tcPr>
            <w:tcW w:w="757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Stock-based compensation expense</w:t>
            </w:r>
          </w:p>
        </w:tc>
        <w:tc>
          <w:tcPr>
            <w:tcW w:w="265" w:type="dxa"/>
            <w:tcBorders/>
            <w:vAlign w:val="center"/>
          </w:tcPr>
          <w:p>
            <w:pPr>
              <w:pStyle w:val="TableContents"/>
              <w:bidi w:val="0"/>
              <w:spacing w:before="0" w:after="0"/>
              <w:ind w:left="0" w:right="0" w:hanging="0"/>
              <w:jc w:val="left"/>
              <w:rPr/>
            </w:pPr>
            <w:r>
              <w:rPr/>
              <w:t> </w:t>
            </w:r>
          </w:p>
        </w:tc>
        <w:tc>
          <w:tcPr>
            <w:tcW w:w="95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(6,963)</w:t>
            </w:r>
          </w:p>
        </w:tc>
        <w:tc>
          <w:tcPr>
            <w:tcW w:w="147"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pPr>
            <w:r>
              <w:rPr/>
              <w:t> </w:t>
            </w:r>
          </w:p>
        </w:tc>
        <w:tc>
          <w:tcPr>
            <w:tcW w:w="84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(6,133)</w:t>
            </w:r>
          </w:p>
        </w:tc>
        <w:tc>
          <w:tcPr>
            <w:tcW w:w="157" w:type="dxa"/>
            <w:tcBorders/>
            <w:vAlign w:val="center"/>
          </w:tcPr>
          <w:p>
            <w:pPr>
              <w:pStyle w:val="TableContents"/>
              <w:bidi w:val="0"/>
              <w:spacing w:before="0" w:after="0"/>
              <w:ind w:left="0" w:right="0" w:hanging="0"/>
              <w:jc w:val="left"/>
              <w:rPr/>
            </w:pPr>
            <w:r>
              <w:rPr/>
              <w:t>​</w:t>
            </w:r>
          </w:p>
        </w:tc>
      </w:tr>
      <w:tr>
        <w:trPr/>
        <w:tc>
          <w:tcPr>
            <w:tcW w:w="757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Severance expense</w:t>
            </w:r>
          </w:p>
        </w:tc>
        <w:tc>
          <w:tcPr>
            <w:tcW w:w="265" w:type="dxa"/>
            <w:tcBorders/>
            <w:shd w:fill="CCEEFF" w:val="clear"/>
            <w:vAlign w:val="center"/>
          </w:tcPr>
          <w:p>
            <w:pPr>
              <w:pStyle w:val="TableContents"/>
              <w:bidi w:val="0"/>
              <w:spacing w:before="0" w:after="0"/>
              <w:ind w:left="0" w:right="0" w:hanging="0"/>
              <w:jc w:val="left"/>
              <w:rPr/>
            </w:pPr>
            <w:r>
              <w:rPr/>
              <w:t>​</w:t>
            </w:r>
          </w:p>
        </w:tc>
        <w:tc>
          <w:tcPr>
            <w:tcW w:w="95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(457)</w:t>
            </w:r>
          </w:p>
        </w:tc>
        <w:tc>
          <w:tcPr>
            <w:tcW w:w="147"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pPr>
            <w:r>
              <w:rPr/>
              <w:t>​</w:t>
            </w:r>
          </w:p>
        </w:tc>
        <w:tc>
          <w:tcPr>
            <w:tcW w:w="84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(842)</w:t>
            </w:r>
          </w:p>
        </w:tc>
        <w:tc>
          <w:tcPr>
            <w:tcW w:w="157" w:type="dxa"/>
            <w:tcBorders/>
            <w:shd w:fill="CCEEFF" w:val="clear"/>
            <w:vAlign w:val="center"/>
          </w:tcPr>
          <w:p>
            <w:pPr>
              <w:pStyle w:val="TableContents"/>
              <w:bidi w:val="0"/>
              <w:spacing w:before="0" w:after="0"/>
              <w:ind w:left="0" w:right="0" w:hanging="0"/>
              <w:jc w:val="left"/>
              <w:rPr/>
            </w:pPr>
            <w:r>
              <w:rPr/>
              <w:t>​</w:t>
            </w:r>
          </w:p>
        </w:tc>
      </w:tr>
      <w:tr>
        <w:trPr/>
        <w:tc>
          <w:tcPr>
            <w:tcW w:w="757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Amortization of cloud computing implementation costs – general and administrative</w:t>
            </w:r>
          </w:p>
        </w:tc>
        <w:tc>
          <w:tcPr>
            <w:tcW w:w="26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5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(1,006)</w:t>
            </w:r>
          </w:p>
        </w:tc>
        <w:tc>
          <w:tcPr>
            <w:tcW w:w="147" w:type="dxa"/>
            <w:tcBorders/>
            <w:vAlign w:val="center"/>
          </w:tcPr>
          <w:p>
            <w:pPr>
              <w:pStyle w:val="TableContents"/>
              <w:bidi w:val="0"/>
              <w:spacing w:before="0" w:after="0"/>
              <w:ind w:left="0" w:right="0" w:hanging="0"/>
              <w:jc w:val="left"/>
              <w:rPr/>
            </w:pPr>
            <w:r>
              <w:rPr/>
              <w:t>​</w:t>
            </w:r>
          </w:p>
        </w:tc>
        <w:tc>
          <w:tcPr>
            <w:tcW w:w="26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(994)</w:t>
            </w:r>
          </w:p>
        </w:tc>
        <w:tc>
          <w:tcPr>
            <w:tcW w:w="157" w:type="dxa"/>
            <w:tcBorders/>
            <w:vAlign w:val="center"/>
          </w:tcPr>
          <w:p>
            <w:pPr>
              <w:pStyle w:val="TableContents"/>
              <w:bidi w:val="0"/>
              <w:spacing w:before="0" w:after="0"/>
              <w:ind w:left="0" w:right="0" w:hanging="0"/>
              <w:jc w:val="left"/>
              <w:rPr/>
            </w:pPr>
            <w:r>
              <w:rPr/>
              <w:t>​</w:t>
            </w:r>
          </w:p>
        </w:tc>
      </w:tr>
      <w:tr>
        <w:trPr/>
        <w:tc>
          <w:tcPr>
            <w:tcW w:w="7572"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Non-GAAP general and administrative expense</w:t>
            </w:r>
          </w:p>
        </w:tc>
        <w:tc>
          <w:tcPr>
            <w:tcW w:w="26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5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36,602</w:t>
            </w:r>
          </w:p>
        </w:tc>
        <w:tc>
          <w:tcPr>
            <w:tcW w:w="147" w:type="dxa"/>
            <w:tcBorders/>
            <w:shd w:fill="CCEEFF" w:val="clear"/>
            <w:vAlign w:val="center"/>
          </w:tcPr>
          <w:p>
            <w:pPr>
              <w:pStyle w:val="TableContents"/>
              <w:bidi w:val="0"/>
              <w:spacing w:before="0" w:after="0"/>
              <w:ind w:left="0" w:right="0" w:hanging="0"/>
              <w:jc w:val="left"/>
              <w:rPr/>
            </w:pPr>
            <w:r>
              <w:rPr/>
              <w:t>​</w:t>
            </w:r>
          </w:p>
        </w:tc>
        <w:tc>
          <w:tcPr>
            <w:tcW w:w="26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4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27,573</w:t>
            </w:r>
          </w:p>
        </w:tc>
        <w:tc>
          <w:tcPr>
            <w:tcW w:w="157" w:type="dxa"/>
            <w:tcBorders/>
            <w:shd w:fill="CCEEFF" w:val="clear"/>
            <w:vAlign w:val="center"/>
          </w:tcPr>
          <w:p>
            <w:pPr>
              <w:pStyle w:val="TableContents"/>
              <w:bidi w:val="0"/>
              <w:spacing w:before="0" w:after="0"/>
              <w:ind w:left="0" w:right="0" w:hanging="0"/>
              <w:jc w:val="left"/>
              <w:rPr/>
            </w:pPr>
            <w:r>
              <w:rPr/>
              <w:t>​</w:t>
            </w:r>
          </w:p>
        </w:tc>
      </w:tr>
      <w:tr>
        <w:trPr/>
        <w:tc>
          <w:tcPr>
            <w:tcW w:w="7572"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pPr>
            <w:r>
              <w:rPr/>
              <w:t>​</w:t>
            </w:r>
          </w:p>
        </w:tc>
        <w:tc>
          <w:tcPr>
            <w:tcW w:w="955" w:type="dxa"/>
            <w:tcBorders/>
            <w:vAlign w:val="center"/>
          </w:tcPr>
          <w:p>
            <w:pPr>
              <w:pStyle w:val="TableContents"/>
              <w:bidi w:val="0"/>
              <w:spacing w:before="0" w:after="0"/>
              <w:ind w:left="0" w:right="0" w:hanging="0"/>
              <w:jc w:val="left"/>
              <w:rPr/>
            </w:pPr>
            <w:r>
              <w:rPr/>
              <w:t>​</w:t>
            </w:r>
          </w:p>
        </w:tc>
        <w:tc>
          <w:tcPr>
            <w:tcW w:w="147"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pPr>
            <w:r>
              <w:rPr/>
              <w:t>​</w:t>
            </w:r>
          </w:p>
        </w:tc>
        <w:tc>
          <w:tcPr>
            <w:tcW w:w="844" w:type="dxa"/>
            <w:tcBorders/>
            <w:vAlign w:val="center"/>
          </w:tcPr>
          <w:p>
            <w:pPr>
              <w:pStyle w:val="TableContents"/>
              <w:bidi w:val="0"/>
              <w:spacing w:before="0" w:after="0"/>
              <w:ind w:left="0" w:right="0" w:hanging="0"/>
              <w:jc w:val="left"/>
              <w:rPr/>
            </w:pPr>
            <w:r>
              <w:rPr/>
              <w:t>​</w:t>
            </w:r>
          </w:p>
        </w:tc>
        <w:tc>
          <w:tcPr>
            <w:tcW w:w="157" w:type="dxa"/>
            <w:tcBorders/>
            <w:vAlign w:val="center"/>
          </w:tcPr>
          <w:p>
            <w:pPr>
              <w:pStyle w:val="TableContents"/>
              <w:bidi w:val="0"/>
              <w:spacing w:before="0" w:after="0"/>
              <w:ind w:left="0" w:right="0" w:hanging="0"/>
              <w:jc w:val="left"/>
              <w:rPr/>
            </w:pPr>
            <w:r>
              <w:rPr/>
              <w:t>​</w:t>
            </w:r>
          </w:p>
        </w:tc>
      </w:tr>
      <w:tr>
        <w:trPr/>
        <w:tc>
          <w:tcPr>
            <w:tcW w:w="7572"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Non-GAAP Operating Income:</w:t>
            </w:r>
          </w:p>
        </w:tc>
        <w:tc>
          <w:tcPr>
            <w:tcW w:w="265" w:type="dxa"/>
            <w:tcBorders/>
            <w:vAlign w:val="center"/>
          </w:tcPr>
          <w:p>
            <w:pPr>
              <w:pStyle w:val="TableContents"/>
              <w:bidi w:val="0"/>
              <w:spacing w:before="0" w:after="0"/>
              <w:ind w:left="0" w:right="0" w:hanging="0"/>
              <w:jc w:val="left"/>
              <w:rPr/>
            </w:pPr>
            <w:r>
              <w:rPr/>
              <w:t> </w:t>
            </w:r>
          </w:p>
        </w:tc>
        <w:tc>
          <w:tcPr>
            <w:tcW w:w="955" w:type="dxa"/>
            <w:tcBorders/>
            <w:vAlign w:val="center"/>
          </w:tcPr>
          <w:p>
            <w:pPr>
              <w:pStyle w:val="TableContents"/>
              <w:bidi w:val="0"/>
              <w:spacing w:before="0" w:after="0"/>
              <w:ind w:left="0" w:right="0" w:hanging="0"/>
              <w:jc w:val="right"/>
              <w:rPr/>
            </w:pPr>
            <w:r>
              <w:rPr/>
              <w:t>  </w:t>
            </w:r>
          </w:p>
        </w:tc>
        <w:tc>
          <w:tcPr>
            <w:tcW w:w="147"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pPr>
            <w:r>
              <w:rPr/>
              <w:t> </w:t>
            </w:r>
          </w:p>
        </w:tc>
        <w:tc>
          <w:tcPr>
            <w:tcW w:w="844" w:type="dxa"/>
            <w:tcBorders/>
            <w:vAlign w:val="center"/>
          </w:tcPr>
          <w:p>
            <w:pPr>
              <w:pStyle w:val="TableContents"/>
              <w:bidi w:val="0"/>
              <w:spacing w:before="0" w:after="0"/>
              <w:ind w:left="0" w:right="0" w:hanging="0"/>
              <w:jc w:val="right"/>
              <w:rPr/>
            </w:pPr>
            <w:r>
              <w:rPr/>
              <w:t>  </w:t>
            </w:r>
          </w:p>
        </w:tc>
        <w:tc>
          <w:tcPr>
            <w:tcW w:w="157" w:type="dxa"/>
            <w:tcBorders/>
            <w:vAlign w:val="center"/>
          </w:tcPr>
          <w:p>
            <w:pPr>
              <w:pStyle w:val="TableContents"/>
              <w:bidi w:val="0"/>
              <w:spacing w:before="0" w:after="0"/>
              <w:ind w:left="0" w:right="0" w:hanging="0"/>
              <w:jc w:val="left"/>
              <w:rPr/>
            </w:pPr>
            <w:r>
              <w:rPr/>
              <w:t>​</w:t>
            </w:r>
          </w:p>
        </w:tc>
      </w:tr>
      <w:tr>
        <w:trPr/>
        <w:tc>
          <w:tcPr>
            <w:tcW w:w="7572"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Income (loss) from operations</w:t>
            </w:r>
          </w:p>
        </w:tc>
        <w:tc>
          <w:tcPr>
            <w:tcW w:w="26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5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4,486</w:t>
            </w:r>
          </w:p>
        </w:tc>
        <w:tc>
          <w:tcPr>
            <w:tcW w:w="147"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4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(1,565)</w:t>
            </w:r>
          </w:p>
        </w:tc>
        <w:tc>
          <w:tcPr>
            <w:tcW w:w="157" w:type="dxa"/>
            <w:tcBorders/>
            <w:shd w:fill="CCEEFF" w:val="clear"/>
            <w:vAlign w:val="center"/>
          </w:tcPr>
          <w:p>
            <w:pPr>
              <w:pStyle w:val="TableContents"/>
              <w:bidi w:val="0"/>
              <w:spacing w:before="0" w:after="0"/>
              <w:ind w:left="0" w:right="0" w:hanging="0"/>
              <w:jc w:val="left"/>
              <w:rPr/>
            </w:pPr>
            <w:r>
              <w:rPr/>
              <w:t>​</w:t>
            </w:r>
          </w:p>
        </w:tc>
      </w:tr>
      <w:tr>
        <w:trPr/>
        <w:tc>
          <w:tcPr>
            <w:tcW w:w="757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Stock-based compensation expense</w:t>
            </w:r>
          </w:p>
        </w:tc>
        <w:tc>
          <w:tcPr>
            <w:tcW w:w="265" w:type="dxa"/>
            <w:tcBorders/>
            <w:vAlign w:val="center"/>
          </w:tcPr>
          <w:p>
            <w:pPr>
              <w:pStyle w:val="TableContents"/>
              <w:bidi w:val="0"/>
              <w:spacing w:before="0" w:after="0"/>
              <w:ind w:left="0" w:right="0" w:hanging="0"/>
              <w:jc w:val="left"/>
              <w:rPr/>
            </w:pPr>
            <w:r>
              <w:rPr/>
              <w:t> </w:t>
            </w:r>
          </w:p>
        </w:tc>
        <w:tc>
          <w:tcPr>
            <w:tcW w:w="95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21,044</w:t>
            </w:r>
          </w:p>
        </w:tc>
        <w:tc>
          <w:tcPr>
            <w:tcW w:w="147"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pPr>
            <w:r>
              <w:rPr/>
              <w:t> </w:t>
            </w:r>
          </w:p>
        </w:tc>
        <w:tc>
          <w:tcPr>
            <w:tcW w:w="84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16,324</w:t>
            </w:r>
          </w:p>
        </w:tc>
        <w:tc>
          <w:tcPr>
            <w:tcW w:w="157" w:type="dxa"/>
            <w:tcBorders/>
            <w:vAlign w:val="center"/>
          </w:tcPr>
          <w:p>
            <w:pPr>
              <w:pStyle w:val="TableContents"/>
              <w:bidi w:val="0"/>
              <w:spacing w:before="0" w:after="0"/>
              <w:ind w:left="0" w:right="0" w:hanging="0"/>
              <w:jc w:val="left"/>
              <w:rPr/>
            </w:pPr>
            <w:r>
              <w:rPr/>
              <w:t>​</w:t>
            </w:r>
          </w:p>
        </w:tc>
      </w:tr>
      <w:tr>
        <w:trPr/>
        <w:tc>
          <w:tcPr>
            <w:tcW w:w="757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Depreciation and amortization of capitalized software and acquired intangible assets – cost of subscription revenues</w:t>
            </w:r>
          </w:p>
        </w:tc>
        <w:tc>
          <w:tcPr>
            <w:tcW w:w="265" w:type="dxa"/>
            <w:tcBorders/>
            <w:shd w:fill="CCEEFF" w:val="clear"/>
            <w:vAlign w:val="center"/>
          </w:tcPr>
          <w:p>
            <w:pPr>
              <w:pStyle w:val="TableContents"/>
              <w:bidi w:val="0"/>
              <w:spacing w:before="0" w:after="0"/>
              <w:ind w:left="0" w:right="0" w:hanging="0"/>
              <w:jc w:val="left"/>
              <w:rPr/>
            </w:pPr>
            <w:r>
              <w:rPr/>
              <w:t> </w:t>
            </w:r>
          </w:p>
        </w:tc>
        <w:tc>
          <w:tcPr>
            <w:tcW w:w="95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15,855</w:t>
            </w:r>
          </w:p>
        </w:tc>
        <w:tc>
          <w:tcPr>
            <w:tcW w:w="147"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pPr>
            <w:r>
              <w:rPr/>
              <w:t> </w:t>
            </w:r>
          </w:p>
        </w:tc>
        <w:tc>
          <w:tcPr>
            <w:tcW w:w="84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15,347</w:t>
            </w:r>
          </w:p>
        </w:tc>
        <w:tc>
          <w:tcPr>
            <w:tcW w:w="157" w:type="dxa"/>
            <w:tcBorders/>
            <w:shd w:fill="CCEEFF" w:val="clear"/>
            <w:vAlign w:val="center"/>
          </w:tcPr>
          <w:p>
            <w:pPr>
              <w:pStyle w:val="TableContents"/>
              <w:bidi w:val="0"/>
              <w:spacing w:before="0" w:after="0"/>
              <w:ind w:left="0" w:right="0" w:hanging="0"/>
              <w:jc w:val="left"/>
              <w:rPr/>
            </w:pPr>
            <w:r>
              <w:rPr/>
              <w:t>​</w:t>
            </w:r>
          </w:p>
        </w:tc>
      </w:tr>
      <w:tr>
        <w:trPr/>
        <w:tc>
          <w:tcPr>
            <w:tcW w:w="757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Amortization of acquired intangible assets – selling and marketing expense</w:t>
            </w:r>
          </w:p>
        </w:tc>
        <w:tc>
          <w:tcPr>
            <w:tcW w:w="265" w:type="dxa"/>
            <w:tcBorders/>
            <w:vAlign w:val="center"/>
          </w:tcPr>
          <w:p>
            <w:pPr>
              <w:pStyle w:val="TableContents"/>
              <w:bidi w:val="0"/>
              <w:spacing w:before="0" w:after="0"/>
              <w:ind w:left="0" w:right="0" w:hanging="0"/>
              <w:jc w:val="left"/>
              <w:rPr/>
            </w:pPr>
            <w:r>
              <w:rPr/>
              <w:t>​</w:t>
            </w:r>
          </w:p>
        </w:tc>
        <w:tc>
          <w:tcPr>
            <w:tcW w:w="95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531</w:t>
            </w:r>
          </w:p>
        </w:tc>
        <w:tc>
          <w:tcPr>
            <w:tcW w:w="147"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pPr>
            <w:r>
              <w:rPr/>
              <w:t> </w:t>
            </w:r>
          </w:p>
        </w:tc>
        <w:tc>
          <w:tcPr>
            <w:tcW w:w="84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595</w:t>
            </w:r>
          </w:p>
        </w:tc>
        <w:tc>
          <w:tcPr>
            <w:tcW w:w="157" w:type="dxa"/>
            <w:tcBorders/>
            <w:vAlign w:val="center"/>
          </w:tcPr>
          <w:p>
            <w:pPr>
              <w:pStyle w:val="TableContents"/>
              <w:bidi w:val="0"/>
              <w:spacing w:before="0" w:after="0"/>
              <w:ind w:left="0" w:right="0" w:hanging="0"/>
              <w:jc w:val="left"/>
              <w:rPr/>
            </w:pPr>
            <w:r>
              <w:rPr/>
              <w:t>​</w:t>
            </w:r>
          </w:p>
        </w:tc>
      </w:tr>
      <w:tr>
        <w:trPr/>
        <w:tc>
          <w:tcPr>
            <w:tcW w:w="757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Amortization of cloud computing implementation costs – general and administrative</w:t>
            </w:r>
          </w:p>
        </w:tc>
        <w:tc>
          <w:tcPr>
            <w:tcW w:w="265" w:type="dxa"/>
            <w:tcBorders/>
            <w:shd w:fill="CCEEFF" w:val="clear"/>
            <w:vAlign w:val="center"/>
          </w:tcPr>
          <w:p>
            <w:pPr>
              <w:pStyle w:val="TableContents"/>
              <w:bidi w:val="0"/>
              <w:spacing w:before="0" w:after="0"/>
              <w:ind w:left="0" w:right="0" w:hanging="0"/>
              <w:jc w:val="left"/>
              <w:rPr/>
            </w:pPr>
            <w:r>
              <w:rPr/>
              <w:t>​</w:t>
            </w:r>
          </w:p>
        </w:tc>
        <w:tc>
          <w:tcPr>
            <w:tcW w:w="95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1,006</w:t>
            </w:r>
          </w:p>
        </w:tc>
        <w:tc>
          <w:tcPr>
            <w:tcW w:w="147"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pPr>
            <w:r>
              <w:rPr/>
              <w:t>​</w:t>
            </w:r>
          </w:p>
        </w:tc>
        <w:tc>
          <w:tcPr>
            <w:tcW w:w="84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994</w:t>
            </w:r>
          </w:p>
        </w:tc>
        <w:tc>
          <w:tcPr>
            <w:tcW w:w="157" w:type="dxa"/>
            <w:tcBorders/>
            <w:shd w:fill="CCEEFF" w:val="clear"/>
            <w:vAlign w:val="center"/>
          </w:tcPr>
          <w:p>
            <w:pPr>
              <w:pStyle w:val="TableContents"/>
              <w:bidi w:val="0"/>
              <w:spacing w:before="0" w:after="0"/>
              <w:ind w:left="0" w:right="0" w:hanging="0"/>
              <w:jc w:val="left"/>
              <w:rPr/>
            </w:pPr>
            <w:r>
              <w:rPr/>
              <w:t>​</w:t>
            </w:r>
          </w:p>
        </w:tc>
      </w:tr>
      <w:tr>
        <w:trPr/>
        <w:tc>
          <w:tcPr>
            <w:tcW w:w="757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Severance expense</w:t>
            </w:r>
          </w:p>
        </w:tc>
        <w:tc>
          <w:tcPr>
            <w:tcW w:w="265" w:type="dxa"/>
            <w:tcBorders/>
            <w:vAlign w:val="center"/>
          </w:tcPr>
          <w:p>
            <w:pPr>
              <w:pStyle w:val="TableContents"/>
              <w:bidi w:val="0"/>
              <w:spacing w:before="0" w:after="0"/>
              <w:ind w:left="0" w:right="0" w:hanging="0"/>
              <w:jc w:val="left"/>
              <w:rPr/>
            </w:pPr>
            <w:r>
              <w:rPr/>
              <w:t>​</w:t>
            </w:r>
          </w:p>
        </w:tc>
        <w:tc>
          <w:tcPr>
            <w:tcW w:w="95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457</w:t>
            </w:r>
          </w:p>
        </w:tc>
        <w:tc>
          <w:tcPr>
            <w:tcW w:w="147"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pPr>
            <w:r>
              <w:rPr/>
              <w:t>​</w:t>
            </w:r>
          </w:p>
        </w:tc>
        <w:tc>
          <w:tcPr>
            <w:tcW w:w="84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842</w:t>
            </w:r>
          </w:p>
        </w:tc>
        <w:tc>
          <w:tcPr>
            <w:tcW w:w="157" w:type="dxa"/>
            <w:tcBorders/>
            <w:vAlign w:val="center"/>
          </w:tcPr>
          <w:p>
            <w:pPr>
              <w:pStyle w:val="TableContents"/>
              <w:bidi w:val="0"/>
              <w:spacing w:before="0" w:after="0"/>
              <w:ind w:left="0" w:right="0" w:hanging="0"/>
              <w:jc w:val="left"/>
              <w:rPr/>
            </w:pPr>
            <w:r>
              <w:rPr/>
              <w:t>​</w:t>
            </w:r>
          </w:p>
        </w:tc>
      </w:tr>
      <w:tr>
        <w:trPr/>
        <w:tc>
          <w:tcPr>
            <w:tcW w:w="757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Acquisition contingent consideration</w:t>
            </w:r>
          </w:p>
        </w:tc>
        <w:tc>
          <w:tcPr>
            <w:tcW w:w="265" w:type="dxa"/>
            <w:tcBorders/>
            <w:shd w:fill="CCEEFF" w:val="clear"/>
            <w:vAlign w:val="center"/>
          </w:tcPr>
          <w:p>
            <w:pPr>
              <w:pStyle w:val="TableContents"/>
              <w:bidi w:val="0"/>
              <w:spacing w:before="0" w:after="0"/>
              <w:ind w:left="0" w:right="0" w:hanging="0"/>
              <w:jc w:val="left"/>
              <w:rPr/>
            </w:pPr>
            <w:r>
              <w:rPr/>
              <w:t>​</w:t>
            </w:r>
          </w:p>
        </w:tc>
        <w:tc>
          <w:tcPr>
            <w:tcW w:w="955" w:type="dxa"/>
            <w:tcBorders/>
            <w:shd w:fill="CCEEFF" w:val="clear"/>
            <w:vAlign w:val="center"/>
          </w:tcPr>
          <w:p>
            <w:pPr>
              <w:pStyle w:val="TableContents"/>
              <w:bidi w:val="0"/>
              <w:spacing w:before="0" w:after="0"/>
              <w:ind w:left="0" w:right="0" w:hanging="0"/>
              <w:jc w:val="right"/>
              <w:rPr/>
            </w:pPr>
            <w:r>
              <w:rPr/>
              <w:t>—</w:t>
            </w:r>
          </w:p>
        </w:tc>
        <w:tc>
          <w:tcPr>
            <w:tcW w:w="147"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pPr>
            <w:r>
              <w:rPr/>
              <w:t>​</w:t>
            </w:r>
          </w:p>
        </w:tc>
        <w:tc>
          <w:tcPr>
            <w:tcW w:w="84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(800)</w:t>
            </w:r>
          </w:p>
        </w:tc>
        <w:tc>
          <w:tcPr>
            <w:tcW w:w="157" w:type="dxa"/>
            <w:tcBorders/>
            <w:shd w:fill="CCEEFF" w:val="clear"/>
            <w:vAlign w:val="center"/>
          </w:tcPr>
          <w:p>
            <w:pPr>
              <w:pStyle w:val="TableContents"/>
              <w:bidi w:val="0"/>
              <w:spacing w:before="0" w:after="0"/>
              <w:ind w:left="0" w:right="0" w:hanging="0"/>
              <w:jc w:val="left"/>
              <w:rPr/>
            </w:pPr>
            <w:r>
              <w:rPr/>
              <w:t>​</w:t>
            </w:r>
          </w:p>
        </w:tc>
      </w:tr>
      <w:tr>
        <w:trPr/>
        <w:tc>
          <w:tcPr>
            <w:tcW w:w="757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Change in fair value of acquisition contingent earn-outs</w:t>
            </w:r>
          </w:p>
        </w:tc>
        <w:tc>
          <w:tcPr>
            <w:tcW w:w="265" w:type="dxa"/>
            <w:tcBorders/>
            <w:vAlign w:val="center"/>
          </w:tcPr>
          <w:p>
            <w:pPr>
              <w:pStyle w:val="TableContents"/>
              <w:bidi w:val="0"/>
              <w:spacing w:before="0" w:after="0"/>
              <w:ind w:left="0" w:right="0" w:hanging="0"/>
              <w:jc w:val="left"/>
              <w:rPr/>
            </w:pPr>
            <w:r>
              <w:rPr/>
              <w:t>​</w:t>
            </w:r>
          </w:p>
        </w:tc>
        <w:tc>
          <w:tcPr>
            <w:tcW w:w="95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(14,700)</w:t>
            </w:r>
          </w:p>
        </w:tc>
        <w:tc>
          <w:tcPr>
            <w:tcW w:w="147"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pPr>
            <w:r>
              <w:rPr/>
              <w:t>​</w:t>
            </w:r>
          </w:p>
        </w:tc>
        <w:tc>
          <w:tcPr>
            <w:tcW w:w="844" w:type="dxa"/>
            <w:tcBorders/>
            <w:vAlign w:val="center"/>
          </w:tcPr>
          <w:p>
            <w:pPr>
              <w:pStyle w:val="TableContents"/>
              <w:bidi w:val="0"/>
              <w:spacing w:before="0" w:after="0"/>
              <w:ind w:left="0" w:right="0" w:hanging="0"/>
              <w:jc w:val="right"/>
              <w:rPr/>
            </w:pPr>
            <w:r>
              <w:rPr/>
              <w:t>—</w:t>
            </w:r>
          </w:p>
        </w:tc>
        <w:tc>
          <w:tcPr>
            <w:tcW w:w="157" w:type="dxa"/>
            <w:tcBorders/>
            <w:vAlign w:val="center"/>
          </w:tcPr>
          <w:p>
            <w:pPr>
              <w:pStyle w:val="TableContents"/>
              <w:bidi w:val="0"/>
              <w:spacing w:before="0" w:after="0"/>
              <w:ind w:left="0" w:right="0" w:hanging="0"/>
              <w:jc w:val="left"/>
              <w:rPr/>
            </w:pPr>
            <w:r>
              <w:rPr/>
              <w:t>​</w:t>
            </w:r>
          </w:p>
        </w:tc>
      </w:tr>
      <w:tr>
        <w:trPr/>
        <w:tc>
          <w:tcPr>
            <w:tcW w:w="757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Transaction costs </w:t>
            </w:r>
          </w:p>
        </w:tc>
        <w:tc>
          <w:tcPr>
            <w:tcW w:w="26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2,660</w:t>
            </w:r>
          </w:p>
        </w:tc>
        <w:tc>
          <w:tcPr>
            <w:tcW w:w="147" w:type="dxa"/>
            <w:tcBorders/>
            <w:shd w:fill="CCEEFF" w:val="clear"/>
            <w:vAlign w:val="center"/>
          </w:tcPr>
          <w:p>
            <w:pPr>
              <w:pStyle w:val="TableContents"/>
              <w:bidi w:val="0"/>
              <w:spacing w:before="0" w:after="0"/>
              <w:ind w:left="0" w:right="0" w:hanging="0"/>
              <w:jc w:val="left"/>
              <w:rPr/>
            </w:pPr>
            <w:r>
              <w:rPr/>
              <w:t>​</w:t>
            </w:r>
          </w:p>
        </w:tc>
        <w:tc>
          <w:tcPr>
            <w:tcW w:w="26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57" w:type="dxa"/>
            <w:tcBorders/>
            <w:shd w:fill="CCEEFF" w:val="clear"/>
            <w:vAlign w:val="center"/>
          </w:tcPr>
          <w:p>
            <w:pPr>
              <w:pStyle w:val="TableContents"/>
              <w:bidi w:val="0"/>
              <w:spacing w:before="0" w:after="0"/>
              <w:ind w:left="0" w:right="0" w:hanging="0"/>
              <w:jc w:val="left"/>
              <w:rPr/>
            </w:pPr>
            <w:r>
              <w:rPr/>
              <w:t>​</w:t>
            </w:r>
          </w:p>
        </w:tc>
      </w:tr>
      <w:tr>
        <w:trPr/>
        <w:tc>
          <w:tcPr>
            <w:tcW w:w="7572"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Non-GAAP operating income</w:t>
            </w:r>
          </w:p>
        </w:tc>
        <w:tc>
          <w:tcPr>
            <w:tcW w:w="26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5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31,339</w:t>
            </w:r>
          </w:p>
        </w:tc>
        <w:tc>
          <w:tcPr>
            <w:tcW w:w="147" w:type="dxa"/>
            <w:tcBorders/>
            <w:vAlign w:val="center"/>
          </w:tcPr>
          <w:p>
            <w:pPr>
              <w:pStyle w:val="TableContents"/>
              <w:bidi w:val="0"/>
              <w:spacing w:before="0" w:after="0"/>
              <w:ind w:left="0" w:right="0" w:hanging="0"/>
              <w:jc w:val="left"/>
              <w:rPr/>
            </w:pPr>
            <w:r>
              <w:rPr/>
              <w:t>​</w:t>
            </w:r>
          </w:p>
        </w:tc>
        <w:tc>
          <w:tcPr>
            <w:tcW w:w="26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4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31,737</w:t>
            </w:r>
          </w:p>
        </w:tc>
        <w:tc>
          <w:tcPr>
            <w:tcW w:w="157" w:type="dxa"/>
            <w:tcBorders/>
            <w:vAlign w:val="center"/>
          </w:tcPr>
          <w:p>
            <w:pPr>
              <w:pStyle w:val="TableContents"/>
              <w:bidi w:val="0"/>
              <w:spacing w:before="0" w:after="0"/>
              <w:ind w:left="0" w:right="0" w:hanging="0"/>
              <w:jc w:val="left"/>
              <w:rPr/>
            </w:pPr>
            <w:r>
              <w:rPr/>
              <w:t>​</w:t>
            </w:r>
          </w:p>
        </w:tc>
      </w:tr>
      <w:tr>
        <w:trPr/>
        <w:tc>
          <w:tcPr>
            <w:tcW w:w="7572"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pPr>
            <w:r>
              <w:rPr/>
              <w:t>​</w:t>
            </w:r>
          </w:p>
        </w:tc>
        <w:tc>
          <w:tcPr>
            <w:tcW w:w="955" w:type="dxa"/>
            <w:tcBorders/>
            <w:shd w:fill="CCEEFF" w:val="clear"/>
            <w:vAlign w:val="center"/>
          </w:tcPr>
          <w:p>
            <w:pPr>
              <w:pStyle w:val="TableContents"/>
              <w:bidi w:val="0"/>
              <w:spacing w:before="0" w:after="0"/>
              <w:ind w:left="0" w:right="0" w:hanging="0"/>
              <w:jc w:val="right"/>
              <w:rPr/>
            </w:pPr>
            <w:r>
              <w:rPr/>
              <w:t>​</w:t>
            </w:r>
          </w:p>
        </w:tc>
        <w:tc>
          <w:tcPr>
            <w:tcW w:w="147"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pPr>
            <w:r>
              <w:rPr/>
              <w:t>​</w:t>
            </w:r>
          </w:p>
        </w:tc>
        <w:tc>
          <w:tcPr>
            <w:tcW w:w="844" w:type="dxa"/>
            <w:tcBorders/>
            <w:shd w:fill="CCEEFF" w:val="clear"/>
            <w:vAlign w:val="center"/>
          </w:tcPr>
          <w:p>
            <w:pPr>
              <w:pStyle w:val="TableContents"/>
              <w:bidi w:val="0"/>
              <w:spacing w:before="0" w:after="0"/>
              <w:ind w:left="0" w:right="0" w:hanging="0"/>
              <w:jc w:val="right"/>
              <w:rPr/>
            </w:pPr>
            <w:r>
              <w:rPr/>
              <w:t>​</w:t>
            </w:r>
          </w:p>
        </w:tc>
        <w:tc>
          <w:tcPr>
            <w:tcW w:w="157" w:type="dxa"/>
            <w:tcBorders/>
            <w:shd w:fill="CCEEFF" w:val="clear"/>
            <w:vAlign w:val="center"/>
          </w:tcPr>
          <w:p>
            <w:pPr>
              <w:pStyle w:val="TableContents"/>
              <w:bidi w:val="0"/>
              <w:spacing w:before="0" w:after="0"/>
              <w:ind w:left="0" w:right="0" w:hanging="0"/>
              <w:jc w:val="left"/>
              <w:rPr/>
            </w:pPr>
            <w:r>
              <w:rPr/>
              <w:t>​</w:t>
            </w:r>
          </w:p>
        </w:tc>
      </w:tr>
      <w:tr>
        <w:trPr/>
        <w:tc>
          <w:tcPr>
            <w:tcW w:w="7572"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Non-GAAP Net Income:</w:t>
            </w:r>
          </w:p>
        </w:tc>
        <w:tc>
          <w:tcPr>
            <w:tcW w:w="265" w:type="dxa"/>
            <w:tcBorders/>
            <w:vAlign w:val="center"/>
          </w:tcPr>
          <w:p>
            <w:pPr>
              <w:pStyle w:val="TableContents"/>
              <w:bidi w:val="0"/>
              <w:spacing w:before="0" w:after="0"/>
              <w:ind w:left="0" w:right="0" w:hanging="0"/>
              <w:jc w:val="left"/>
              <w:rPr/>
            </w:pPr>
            <w:r>
              <w:rPr/>
              <w:t> </w:t>
            </w:r>
          </w:p>
        </w:tc>
        <w:tc>
          <w:tcPr>
            <w:tcW w:w="955" w:type="dxa"/>
            <w:tcBorders/>
            <w:vAlign w:val="center"/>
          </w:tcPr>
          <w:p>
            <w:pPr>
              <w:pStyle w:val="TableContents"/>
              <w:bidi w:val="0"/>
              <w:spacing w:before="0" w:after="0"/>
              <w:ind w:left="0" w:right="0" w:hanging="0"/>
              <w:jc w:val="right"/>
              <w:rPr/>
            </w:pPr>
            <w:r>
              <w:rPr/>
              <w:t>  </w:t>
            </w:r>
          </w:p>
        </w:tc>
        <w:tc>
          <w:tcPr>
            <w:tcW w:w="147"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pPr>
            <w:r>
              <w:rPr/>
              <w:t> </w:t>
            </w:r>
          </w:p>
        </w:tc>
        <w:tc>
          <w:tcPr>
            <w:tcW w:w="844" w:type="dxa"/>
            <w:tcBorders/>
            <w:vAlign w:val="center"/>
          </w:tcPr>
          <w:p>
            <w:pPr>
              <w:pStyle w:val="TableContents"/>
              <w:bidi w:val="0"/>
              <w:spacing w:before="0" w:after="0"/>
              <w:ind w:left="0" w:right="0" w:hanging="0"/>
              <w:jc w:val="right"/>
              <w:rPr/>
            </w:pPr>
            <w:r>
              <w:rPr/>
              <w:t>​</w:t>
            </w:r>
          </w:p>
        </w:tc>
        <w:tc>
          <w:tcPr>
            <w:tcW w:w="157" w:type="dxa"/>
            <w:tcBorders/>
            <w:vAlign w:val="center"/>
          </w:tcPr>
          <w:p>
            <w:pPr>
              <w:pStyle w:val="TableContents"/>
              <w:bidi w:val="0"/>
              <w:spacing w:before="0" w:after="0"/>
              <w:ind w:left="0" w:right="0" w:hanging="0"/>
              <w:jc w:val="left"/>
              <w:rPr/>
            </w:pPr>
            <w:r>
              <w:rPr/>
              <w:t>​</w:t>
            </w:r>
          </w:p>
        </w:tc>
      </w:tr>
      <w:tr>
        <w:trPr/>
        <w:tc>
          <w:tcPr>
            <w:tcW w:w="7572"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Net income</w:t>
            </w:r>
          </w:p>
        </w:tc>
        <w:tc>
          <w:tcPr>
            <w:tcW w:w="26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5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11,130</w:t>
            </w:r>
          </w:p>
        </w:tc>
        <w:tc>
          <w:tcPr>
            <w:tcW w:w="147"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4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2,684</w:t>
            </w:r>
          </w:p>
        </w:tc>
        <w:tc>
          <w:tcPr>
            <w:tcW w:w="157" w:type="dxa"/>
            <w:tcBorders/>
            <w:shd w:fill="CCEEFF" w:val="clear"/>
            <w:vAlign w:val="center"/>
          </w:tcPr>
          <w:p>
            <w:pPr>
              <w:pStyle w:val="TableContents"/>
              <w:bidi w:val="0"/>
              <w:spacing w:before="0" w:after="0"/>
              <w:ind w:left="0" w:right="0" w:hanging="0"/>
              <w:jc w:val="left"/>
              <w:rPr/>
            </w:pPr>
            <w:r>
              <w:rPr/>
              <w:t>​</w:t>
            </w:r>
          </w:p>
        </w:tc>
      </w:tr>
      <w:tr>
        <w:trPr/>
        <w:tc>
          <w:tcPr>
            <w:tcW w:w="757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tax benefit</w:t>
            </w:r>
          </w:p>
        </w:tc>
        <w:tc>
          <w:tcPr>
            <w:tcW w:w="265" w:type="dxa"/>
            <w:tcBorders/>
            <w:vAlign w:val="center"/>
          </w:tcPr>
          <w:p>
            <w:pPr>
              <w:pStyle w:val="TableContents"/>
              <w:bidi w:val="0"/>
              <w:spacing w:before="0" w:after="0"/>
              <w:ind w:left="0" w:right="0" w:hanging="0"/>
              <w:jc w:val="left"/>
              <w:rPr/>
            </w:pPr>
            <w:r>
              <w:rPr/>
              <w:t>​</w:t>
            </w:r>
          </w:p>
        </w:tc>
        <w:tc>
          <w:tcPr>
            <w:tcW w:w="95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(5,105)</w:t>
            </w:r>
          </w:p>
        </w:tc>
        <w:tc>
          <w:tcPr>
            <w:tcW w:w="147"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pPr>
            <w:r>
              <w:rPr/>
              <w:t>​</w:t>
            </w:r>
          </w:p>
        </w:tc>
        <w:tc>
          <w:tcPr>
            <w:tcW w:w="84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(4,535)</w:t>
            </w:r>
          </w:p>
        </w:tc>
        <w:tc>
          <w:tcPr>
            <w:tcW w:w="157" w:type="dxa"/>
            <w:tcBorders/>
            <w:vAlign w:val="center"/>
          </w:tcPr>
          <w:p>
            <w:pPr>
              <w:pStyle w:val="TableContents"/>
              <w:bidi w:val="0"/>
              <w:spacing w:before="0" w:after="0"/>
              <w:ind w:left="0" w:right="0" w:hanging="0"/>
              <w:jc w:val="left"/>
              <w:rPr/>
            </w:pPr>
            <w:r>
              <w:rPr/>
              <w:t>​</w:t>
            </w:r>
          </w:p>
        </w:tc>
      </w:tr>
      <w:tr>
        <w:trPr/>
        <w:tc>
          <w:tcPr>
            <w:tcW w:w="757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Stock-based compensation expense</w:t>
            </w:r>
          </w:p>
        </w:tc>
        <w:tc>
          <w:tcPr>
            <w:tcW w:w="265" w:type="dxa"/>
            <w:tcBorders/>
            <w:shd w:fill="CCEEFF" w:val="clear"/>
            <w:vAlign w:val="center"/>
          </w:tcPr>
          <w:p>
            <w:pPr>
              <w:pStyle w:val="TableContents"/>
              <w:bidi w:val="0"/>
              <w:spacing w:before="0" w:after="0"/>
              <w:ind w:left="0" w:right="0" w:hanging="0"/>
              <w:jc w:val="left"/>
              <w:rPr/>
            </w:pPr>
            <w:r>
              <w:rPr/>
              <w:t> </w:t>
            </w:r>
          </w:p>
        </w:tc>
        <w:tc>
          <w:tcPr>
            <w:tcW w:w="95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21,044</w:t>
            </w:r>
          </w:p>
        </w:tc>
        <w:tc>
          <w:tcPr>
            <w:tcW w:w="147"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pPr>
            <w:r>
              <w:rPr/>
              <w:t> </w:t>
            </w:r>
          </w:p>
        </w:tc>
        <w:tc>
          <w:tcPr>
            <w:tcW w:w="84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16,324</w:t>
            </w:r>
          </w:p>
        </w:tc>
        <w:tc>
          <w:tcPr>
            <w:tcW w:w="157" w:type="dxa"/>
            <w:tcBorders/>
            <w:shd w:fill="CCEEFF" w:val="clear"/>
            <w:vAlign w:val="center"/>
          </w:tcPr>
          <w:p>
            <w:pPr>
              <w:pStyle w:val="TableContents"/>
              <w:bidi w:val="0"/>
              <w:spacing w:before="0" w:after="0"/>
              <w:ind w:left="0" w:right="0" w:hanging="0"/>
              <w:jc w:val="left"/>
              <w:rPr/>
            </w:pPr>
            <w:r>
              <w:rPr/>
              <w:t>​</w:t>
            </w:r>
          </w:p>
        </w:tc>
      </w:tr>
      <w:tr>
        <w:trPr/>
        <w:tc>
          <w:tcPr>
            <w:tcW w:w="757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Depreciation and amortization of capitalized software and acquired intangible assets – cost of subscription revenues</w:t>
            </w:r>
          </w:p>
        </w:tc>
        <w:tc>
          <w:tcPr>
            <w:tcW w:w="265" w:type="dxa"/>
            <w:tcBorders/>
            <w:vAlign w:val="center"/>
          </w:tcPr>
          <w:p>
            <w:pPr>
              <w:pStyle w:val="TableContents"/>
              <w:bidi w:val="0"/>
              <w:spacing w:before="0" w:after="0"/>
              <w:ind w:left="0" w:right="0" w:hanging="0"/>
              <w:jc w:val="left"/>
              <w:rPr/>
            </w:pPr>
            <w:r>
              <w:rPr/>
              <w:t>​</w:t>
            </w:r>
          </w:p>
        </w:tc>
        <w:tc>
          <w:tcPr>
            <w:tcW w:w="95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15,855</w:t>
            </w:r>
          </w:p>
        </w:tc>
        <w:tc>
          <w:tcPr>
            <w:tcW w:w="147"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pPr>
            <w:r>
              <w:rPr/>
              <w:t>​</w:t>
            </w:r>
          </w:p>
        </w:tc>
        <w:tc>
          <w:tcPr>
            <w:tcW w:w="84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15,347</w:t>
            </w:r>
          </w:p>
        </w:tc>
        <w:tc>
          <w:tcPr>
            <w:tcW w:w="157" w:type="dxa"/>
            <w:tcBorders/>
            <w:vAlign w:val="center"/>
          </w:tcPr>
          <w:p>
            <w:pPr>
              <w:pStyle w:val="TableContents"/>
              <w:bidi w:val="0"/>
              <w:spacing w:before="0" w:after="0"/>
              <w:ind w:left="0" w:right="0" w:hanging="0"/>
              <w:jc w:val="left"/>
              <w:rPr/>
            </w:pPr>
            <w:r>
              <w:rPr/>
              <w:t>​</w:t>
            </w:r>
          </w:p>
        </w:tc>
      </w:tr>
      <w:tr>
        <w:trPr/>
        <w:tc>
          <w:tcPr>
            <w:tcW w:w="757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Amortization of acquired intangible assets – selling and marketing expense</w:t>
            </w:r>
          </w:p>
        </w:tc>
        <w:tc>
          <w:tcPr>
            <w:tcW w:w="265" w:type="dxa"/>
            <w:tcBorders/>
            <w:shd w:fill="CCEEFF" w:val="clear"/>
            <w:vAlign w:val="center"/>
          </w:tcPr>
          <w:p>
            <w:pPr>
              <w:pStyle w:val="TableContents"/>
              <w:bidi w:val="0"/>
              <w:spacing w:before="0" w:after="0"/>
              <w:ind w:left="0" w:right="0" w:hanging="0"/>
              <w:jc w:val="left"/>
              <w:rPr/>
            </w:pPr>
            <w:r>
              <w:rPr/>
              <w:t>​</w:t>
            </w:r>
          </w:p>
        </w:tc>
        <w:tc>
          <w:tcPr>
            <w:tcW w:w="95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531</w:t>
            </w:r>
          </w:p>
        </w:tc>
        <w:tc>
          <w:tcPr>
            <w:tcW w:w="147"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pPr>
            <w:r>
              <w:rPr/>
              <w:t>​</w:t>
            </w:r>
          </w:p>
        </w:tc>
        <w:tc>
          <w:tcPr>
            <w:tcW w:w="84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595</w:t>
            </w:r>
          </w:p>
        </w:tc>
        <w:tc>
          <w:tcPr>
            <w:tcW w:w="157" w:type="dxa"/>
            <w:tcBorders/>
            <w:shd w:fill="CCEEFF" w:val="clear"/>
            <w:vAlign w:val="center"/>
          </w:tcPr>
          <w:p>
            <w:pPr>
              <w:pStyle w:val="TableContents"/>
              <w:bidi w:val="0"/>
              <w:spacing w:before="0" w:after="0"/>
              <w:ind w:left="0" w:right="0" w:hanging="0"/>
              <w:jc w:val="left"/>
              <w:rPr/>
            </w:pPr>
            <w:r>
              <w:rPr/>
              <w:t>​</w:t>
            </w:r>
          </w:p>
        </w:tc>
      </w:tr>
      <w:tr>
        <w:trPr/>
        <w:tc>
          <w:tcPr>
            <w:tcW w:w="757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Amortization of cloud computing implementation costs – general and administrative</w:t>
            </w:r>
          </w:p>
        </w:tc>
        <w:tc>
          <w:tcPr>
            <w:tcW w:w="265" w:type="dxa"/>
            <w:tcBorders/>
            <w:vAlign w:val="center"/>
          </w:tcPr>
          <w:p>
            <w:pPr>
              <w:pStyle w:val="TableContents"/>
              <w:bidi w:val="0"/>
              <w:spacing w:before="0" w:after="0"/>
              <w:ind w:left="0" w:right="0" w:hanging="0"/>
              <w:jc w:val="left"/>
              <w:rPr/>
            </w:pPr>
            <w:r>
              <w:rPr/>
              <w:t>​</w:t>
            </w:r>
          </w:p>
        </w:tc>
        <w:tc>
          <w:tcPr>
            <w:tcW w:w="95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1,006</w:t>
            </w:r>
          </w:p>
        </w:tc>
        <w:tc>
          <w:tcPr>
            <w:tcW w:w="147"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pPr>
            <w:r>
              <w:rPr/>
              <w:t>​</w:t>
            </w:r>
          </w:p>
        </w:tc>
        <w:tc>
          <w:tcPr>
            <w:tcW w:w="84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994</w:t>
            </w:r>
          </w:p>
        </w:tc>
        <w:tc>
          <w:tcPr>
            <w:tcW w:w="157" w:type="dxa"/>
            <w:tcBorders/>
            <w:vAlign w:val="center"/>
          </w:tcPr>
          <w:p>
            <w:pPr>
              <w:pStyle w:val="TableContents"/>
              <w:bidi w:val="0"/>
              <w:spacing w:before="0" w:after="0"/>
              <w:ind w:left="0" w:right="0" w:hanging="0"/>
              <w:jc w:val="left"/>
              <w:rPr/>
            </w:pPr>
            <w:r>
              <w:rPr/>
              <w:t>​</w:t>
            </w:r>
          </w:p>
        </w:tc>
      </w:tr>
      <w:tr>
        <w:trPr/>
        <w:tc>
          <w:tcPr>
            <w:tcW w:w="757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Severance expense</w:t>
            </w:r>
          </w:p>
        </w:tc>
        <w:tc>
          <w:tcPr>
            <w:tcW w:w="265" w:type="dxa"/>
            <w:tcBorders/>
            <w:shd w:fill="CCEEFF" w:val="clear"/>
            <w:vAlign w:val="center"/>
          </w:tcPr>
          <w:p>
            <w:pPr>
              <w:pStyle w:val="TableContents"/>
              <w:bidi w:val="0"/>
              <w:spacing w:before="0" w:after="0"/>
              <w:ind w:left="0" w:right="0" w:hanging="0"/>
              <w:jc w:val="left"/>
              <w:rPr/>
            </w:pPr>
            <w:r>
              <w:rPr/>
              <w:t> </w:t>
            </w:r>
          </w:p>
        </w:tc>
        <w:tc>
          <w:tcPr>
            <w:tcW w:w="95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457</w:t>
            </w:r>
          </w:p>
        </w:tc>
        <w:tc>
          <w:tcPr>
            <w:tcW w:w="147"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pPr>
            <w:r>
              <w:rPr/>
              <w:t> </w:t>
            </w:r>
          </w:p>
        </w:tc>
        <w:tc>
          <w:tcPr>
            <w:tcW w:w="84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842</w:t>
            </w:r>
          </w:p>
        </w:tc>
        <w:tc>
          <w:tcPr>
            <w:tcW w:w="157" w:type="dxa"/>
            <w:tcBorders/>
            <w:shd w:fill="CCEEFF" w:val="clear"/>
            <w:vAlign w:val="center"/>
          </w:tcPr>
          <w:p>
            <w:pPr>
              <w:pStyle w:val="TableContents"/>
              <w:bidi w:val="0"/>
              <w:spacing w:before="0" w:after="0"/>
              <w:ind w:left="0" w:right="0" w:hanging="0"/>
              <w:jc w:val="left"/>
              <w:rPr/>
            </w:pPr>
            <w:r>
              <w:rPr/>
              <w:t>​</w:t>
            </w:r>
          </w:p>
        </w:tc>
      </w:tr>
      <w:tr>
        <w:trPr/>
        <w:tc>
          <w:tcPr>
            <w:tcW w:w="757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Acquisition contingent consideration</w:t>
            </w:r>
          </w:p>
        </w:tc>
        <w:tc>
          <w:tcPr>
            <w:tcW w:w="265" w:type="dxa"/>
            <w:tcBorders/>
            <w:vAlign w:val="center"/>
          </w:tcPr>
          <w:p>
            <w:pPr>
              <w:pStyle w:val="TableContents"/>
              <w:bidi w:val="0"/>
              <w:spacing w:before="0" w:after="0"/>
              <w:ind w:left="0" w:right="0" w:hanging="0"/>
              <w:jc w:val="left"/>
              <w:rPr/>
            </w:pPr>
            <w:r>
              <w:rPr/>
              <w:t>​</w:t>
            </w:r>
          </w:p>
        </w:tc>
        <w:tc>
          <w:tcPr>
            <w:tcW w:w="955" w:type="dxa"/>
            <w:tcBorders/>
            <w:vAlign w:val="center"/>
          </w:tcPr>
          <w:p>
            <w:pPr>
              <w:pStyle w:val="TableContents"/>
              <w:bidi w:val="0"/>
              <w:spacing w:before="0" w:after="0"/>
              <w:ind w:left="0" w:right="0" w:hanging="0"/>
              <w:jc w:val="right"/>
              <w:rPr/>
            </w:pPr>
            <w:r>
              <w:rPr/>
              <w:t>—</w:t>
            </w:r>
          </w:p>
        </w:tc>
        <w:tc>
          <w:tcPr>
            <w:tcW w:w="147"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pPr>
            <w:r>
              <w:rPr/>
              <w:t>​</w:t>
            </w:r>
          </w:p>
        </w:tc>
        <w:tc>
          <w:tcPr>
            <w:tcW w:w="84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(800)</w:t>
            </w:r>
          </w:p>
        </w:tc>
        <w:tc>
          <w:tcPr>
            <w:tcW w:w="157" w:type="dxa"/>
            <w:tcBorders/>
            <w:vAlign w:val="center"/>
          </w:tcPr>
          <w:p>
            <w:pPr>
              <w:pStyle w:val="TableContents"/>
              <w:bidi w:val="0"/>
              <w:spacing w:before="0" w:after="0"/>
              <w:ind w:left="0" w:right="0" w:hanging="0"/>
              <w:jc w:val="left"/>
              <w:rPr/>
            </w:pPr>
            <w:r>
              <w:rPr/>
              <w:t>​</w:t>
            </w:r>
          </w:p>
        </w:tc>
      </w:tr>
      <w:tr>
        <w:trPr/>
        <w:tc>
          <w:tcPr>
            <w:tcW w:w="757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Change in fair value of acquisition contingent earn-outs</w:t>
            </w:r>
          </w:p>
        </w:tc>
        <w:tc>
          <w:tcPr>
            <w:tcW w:w="265" w:type="dxa"/>
            <w:tcBorders/>
            <w:shd w:fill="CCEEFF" w:val="clear"/>
            <w:vAlign w:val="center"/>
          </w:tcPr>
          <w:p>
            <w:pPr>
              <w:pStyle w:val="TableContents"/>
              <w:bidi w:val="0"/>
              <w:spacing w:before="0" w:after="0"/>
              <w:ind w:left="0" w:right="0" w:hanging="0"/>
              <w:jc w:val="left"/>
              <w:rPr/>
            </w:pPr>
            <w:r>
              <w:rPr/>
              <w:t>​</w:t>
            </w:r>
          </w:p>
        </w:tc>
        <w:tc>
          <w:tcPr>
            <w:tcW w:w="95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(14,700)</w:t>
            </w:r>
          </w:p>
        </w:tc>
        <w:tc>
          <w:tcPr>
            <w:tcW w:w="147"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pPr>
            <w:r>
              <w:rPr/>
              <w:t>​</w:t>
            </w:r>
          </w:p>
        </w:tc>
        <w:tc>
          <w:tcPr>
            <w:tcW w:w="844" w:type="dxa"/>
            <w:tcBorders/>
            <w:shd w:fill="CCEEFF" w:val="clear"/>
            <w:vAlign w:val="center"/>
          </w:tcPr>
          <w:p>
            <w:pPr>
              <w:pStyle w:val="TableContents"/>
              <w:bidi w:val="0"/>
              <w:spacing w:before="0" w:after="0"/>
              <w:ind w:left="0" w:right="0" w:hanging="0"/>
              <w:jc w:val="right"/>
              <w:rPr/>
            </w:pPr>
            <w:r>
              <w:rPr/>
              <w:t>—</w:t>
            </w:r>
          </w:p>
        </w:tc>
        <w:tc>
          <w:tcPr>
            <w:tcW w:w="157" w:type="dxa"/>
            <w:tcBorders/>
            <w:shd w:fill="CCEEFF" w:val="clear"/>
            <w:vAlign w:val="center"/>
          </w:tcPr>
          <w:p>
            <w:pPr>
              <w:pStyle w:val="TableContents"/>
              <w:bidi w:val="0"/>
              <w:spacing w:before="0" w:after="0"/>
              <w:ind w:left="0" w:right="0" w:hanging="0"/>
              <w:jc w:val="left"/>
              <w:rPr/>
            </w:pPr>
            <w:r>
              <w:rPr/>
              <w:t>​</w:t>
            </w:r>
          </w:p>
        </w:tc>
      </w:tr>
      <w:tr>
        <w:trPr/>
        <w:tc>
          <w:tcPr>
            <w:tcW w:w="757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Transaction costs</w:t>
            </w:r>
          </w:p>
        </w:tc>
        <w:tc>
          <w:tcPr>
            <w:tcW w:w="26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5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2,660</w:t>
            </w:r>
          </w:p>
        </w:tc>
        <w:tc>
          <w:tcPr>
            <w:tcW w:w="147" w:type="dxa"/>
            <w:tcBorders/>
            <w:vAlign w:val="center"/>
          </w:tcPr>
          <w:p>
            <w:pPr>
              <w:pStyle w:val="TableContents"/>
              <w:bidi w:val="0"/>
              <w:spacing w:before="0" w:after="0"/>
              <w:ind w:left="0" w:right="0" w:hanging="0"/>
              <w:jc w:val="left"/>
              <w:rPr/>
            </w:pPr>
            <w:r>
              <w:rPr/>
              <w:t>​</w:t>
            </w:r>
          </w:p>
        </w:tc>
        <w:tc>
          <w:tcPr>
            <w:tcW w:w="26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57" w:type="dxa"/>
            <w:tcBorders/>
            <w:vAlign w:val="center"/>
          </w:tcPr>
          <w:p>
            <w:pPr>
              <w:pStyle w:val="TableContents"/>
              <w:bidi w:val="0"/>
              <w:spacing w:before="0" w:after="0"/>
              <w:ind w:left="0" w:right="0" w:hanging="0"/>
              <w:jc w:val="left"/>
              <w:rPr/>
            </w:pPr>
            <w:r>
              <w:rPr/>
              <w:t>​</w:t>
            </w:r>
          </w:p>
        </w:tc>
      </w:tr>
      <w:tr>
        <w:trPr/>
        <w:tc>
          <w:tcPr>
            <w:tcW w:w="757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Non-GAAP income before income taxes</w:t>
            </w:r>
          </w:p>
        </w:tc>
        <w:tc>
          <w:tcPr>
            <w:tcW w:w="265" w:type="dxa"/>
            <w:tcBorders/>
            <w:shd w:fill="CCEEFF" w:val="clear"/>
            <w:vAlign w:val="center"/>
          </w:tcPr>
          <w:p>
            <w:pPr>
              <w:pStyle w:val="TableContents"/>
              <w:bidi w:val="0"/>
              <w:spacing w:before="0" w:after="0"/>
              <w:ind w:left="0" w:right="0" w:hanging="0"/>
              <w:jc w:val="left"/>
              <w:rPr/>
            </w:pPr>
            <w:r>
              <w:rPr/>
              <w:t>​</w:t>
            </w:r>
          </w:p>
        </w:tc>
        <w:tc>
          <w:tcPr>
            <w:tcW w:w="95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32,878</w:t>
            </w:r>
          </w:p>
        </w:tc>
        <w:tc>
          <w:tcPr>
            <w:tcW w:w="147"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pPr>
            <w:r>
              <w:rPr/>
              <w:t> </w:t>
            </w:r>
          </w:p>
        </w:tc>
        <w:tc>
          <w:tcPr>
            <w:tcW w:w="84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31,451</w:t>
            </w:r>
          </w:p>
        </w:tc>
        <w:tc>
          <w:tcPr>
            <w:tcW w:w="157" w:type="dxa"/>
            <w:tcBorders/>
            <w:shd w:fill="CCEEFF" w:val="clear"/>
            <w:vAlign w:val="center"/>
          </w:tcPr>
          <w:p>
            <w:pPr>
              <w:pStyle w:val="TableContents"/>
              <w:bidi w:val="0"/>
              <w:spacing w:before="0" w:after="0"/>
              <w:ind w:left="0" w:right="0" w:hanging="0"/>
              <w:jc w:val="left"/>
              <w:rPr/>
            </w:pPr>
            <w:r>
              <w:rPr/>
              <w:t>​</w:t>
            </w:r>
          </w:p>
        </w:tc>
      </w:tr>
      <w:tr>
        <w:trPr/>
        <w:tc>
          <w:tcPr>
            <w:tcW w:w="7572"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Income tax adjustment at statutory rate </w:t>
            </w:r>
            <w:r>
              <w:rPr>
                <w:rFonts w:ascii="Times New Roman;Times;serif" w:hAnsi="Times New Roman;Times;serif"/>
                <w:sz w:val="14"/>
              </w:rPr>
              <w:t>(1)</w:t>
            </w:r>
          </w:p>
        </w:tc>
        <w:tc>
          <w:tcPr>
            <w:tcW w:w="26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5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(8,384)</w:t>
            </w:r>
          </w:p>
        </w:tc>
        <w:tc>
          <w:tcPr>
            <w:tcW w:w="147" w:type="dxa"/>
            <w:tcBorders/>
            <w:vAlign w:val="center"/>
          </w:tcPr>
          <w:p>
            <w:pPr>
              <w:pStyle w:val="TableContents"/>
              <w:bidi w:val="0"/>
              <w:spacing w:before="0" w:after="0"/>
              <w:ind w:left="0" w:right="0" w:hanging="0"/>
              <w:jc w:val="left"/>
              <w:rPr/>
            </w:pPr>
            <w:r>
              <w:rPr/>
              <w:t>​</w:t>
            </w:r>
          </w:p>
        </w:tc>
        <w:tc>
          <w:tcPr>
            <w:tcW w:w="26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(8,020)</w:t>
            </w:r>
          </w:p>
        </w:tc>
        <w:tc>
          <w:tcPr>
            <w:tcW w:w="157" w:type="dxa"/>
            <w:tcBorders/>
            <w:vAlign w:val="center"/>
          </w:tcPr>
          <w:p>
            <w:pPr>
              <w:pStyle w:val="TableContents"/>
              <w:bidi w:val="0"/>
              <w:spacing w:before="0" w:after="0"/>
              <w:ind w:left="0" w:right="0" w:hanging="0"/>
              <w:jc w:val="left"/>
              <w:rPr/>
            </w:pPr>
            <w:r>
              <w:rPr/>
              <w:t>​</w:t>
            </w:r>
          </w:p>
        </w:tc>
      </w:tr>
      <w:tr>
        <w:trPr/>
        <w:tc>
          <w:tcPr>
            <w:tcW w:w="7572"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Non-GAAP net income</w:t>
            </w:r>
          </w:p>
        </w:tc>
        <w:tc>
          <w:tcPr>
            <w:tcW w:w="26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5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24,494</w:t>
            </w:r>
          </w:p>
        </w:tc>
        <w:tc>
          <w:tcPr>
            <w:tcW w:w="147" w:type="dxa"/>
            <w:tcBorders/>
            <w:shd w:fill="CCEEFF" w:val="clear"/>
            <w:vAlign w:val="center"/>
          </w:tcPr>
          <w:p>
            <w:pPr>
              <w:pStyle w:val="TableContents"/>
              <w:bidi w:val="0"/>
              <w:spacing w:before="0" w:after="0"/>
              <w:ind w:left="0" w:right="0" w:hanging="0"/>
              <w:jc w:val="left"/>
              <w:rPr/>
            </w:pPr>
            <w:r>
              <w:rPr/>
              <w:t>​</w:t>
            </w:r>
          </w:p>
        </w:tc>
        <w:tc>
          <w:tcPr>
            <w:tcW w:w="26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4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23,431</w:t>
            </w:r>
          </w:p>
        </w:tc>
        <w:tc>
          <w:tcPr>
            <w:tcW w:w="157" w:type="dxa"/>
            <w:tcBorders/>
            <w:shd w:fill="CCEEFF" w:val="clear"/>
            <w:vAlign w:val="center"/>
          </w:tcPr>
          <w:p>
            <w:pPr>
              <w:pStyle w:val="TableContents"/>
              <w:bidi w:val="0"/>
              <w:spacing w:before="0" w:after="0"/>
              <w:ind w:left="0" w:right="0" w:hanging="0"/>
              <w:jc w:val="left"/>
              <w:rPr/>
            </w:pPr>
            <w:r>
              <w:rPr/>
              <w:t>​</w:t>
            </w:r>
          </w:p>
        </w:tc>
      </w:tr>
      <w:tr>
        <w:trPr/>
        <w:tc>
          <w:tcPr>
            <w:tcW w:w="7572"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pPr>
            <w:r>
              <w:rPr/>
              <w:t>​</w:t>
            </w:r>
          </w:p>
        </w:tc>
        <w:tc>
          <w:tcPr>
            <w:tcW w:w="955" w:type="dxa"/>
            <w:tcBorders/>
            <w:vAlign w:val="center"/>
          </w:tcPr>
          <w:p>
            <w:pPr>
              <w:pStyle w:val="TableContents"/>
              <w:bidi w:val="0"/>
              <w:spacing w:before="0" w:after="0"/>
              <w:ind w:left="0" w:right="0" w:hanging="0"/>
              <w:jc w:val="right"/>
              <w:rPr/>
            </w:pPr>
            <w:r>
              <w:rPr/>
              <w:t>​</w:t>
            </w:r>
          </w:p>
        </w:tc>
        <w:tc>
          <w:tcPr>
            <w:tcW w:w="147"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pPr>
            <w:r>
              <w:rPr/>
              <w:t>​</w:t>
            </w:r>
          </w:p>
        </w:tc>
        <w:tc>
          <w:tcPr>
            <w:tcW w:w="844" w:type="dxa"/>
            <w:tcBorders/>
            <w:vAlign w:val="center"/>
          </w:tcPr>
          <w:p>
            <w:pPr>
              <w:pStyle w:val="TableContents"/>
              <w:bidi w:val="0"/>
              <w:spacing w:before="0" w:after="0"/>
              <w:ind w:left="0" w:right="0" w:hanging="0"/>
              <w:jc w:val="right"/>
              <w:rPr/>
            </w:pPr>
            <w:r>
              <w:rPr/>
              <w:t>​</w:t>
            </w:r>
          </w:p>
        </w:tc>
        <w:tc>
          <w:tcPr>
            <w:tcW w:w="157" w:type="dxa"/>
            <w:tcBorders/>
            <w:vAlign w:val="center"/>
          </w:tcPr>
          <w:p>
            <w:pPr>
              <w:pStyle w:val="TableContents"/>
              <w:bidi w:val="0"/>
              <w:spacing w:before="0" w:after="0"/>
              <w:ind w:left="0" w:right="0" w:hanging="0"/>
              <w:jc w:val="left"/>
              <w:rPr/>
            </w:pPr>
            <w:r>
              <w:rPr/>
              <w:t>​</w:t>
            </w:r>
          </w:p>
        </w:tc>
      </w:tr>
      <w:tr>
        <w:trPr/>
        <w:tc>
          <w:tcPr>
            <w:tcW w:w="10048" w:type="dxa"/>
            <w:gridSpan w:val="6"/>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2"/>
              </w:rPr>
              <w:t xml:space="preserve">(1) </w:t>
            </w:r>
            <w:r>
              <w:rPr>
                <w:rFonts w:ascii="Times New Roman;Times;serif" w:hAnsi="Times New Roman;Times;serif"/>
                <w:sz w:val="16"/>
              </w:rPr>
              <w:t>Non-GAAP income before income taxes is adjusted for income taxes using the respective statutory tax rates for applicable jurisdictions, which for purposes of this determination were assumed to be 25.5%.</w:t>
            </w:r>
          </w:p>
        </w:tc>
        <w:tc>
          <w:tcPr>
            <w:tcW w:w="157"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Critical Accounting Estimates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critical accounting policies that reflect our more significant judgments and estimates used in the preparation of our condensed consolidated financial statements include revenue recognition and income taxes, which are described in our 2024 Annual Report. There have been no material updates or changes to our critical accounting estimates compared to the critical accounting estimates described in our 2024 Annual Report. </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Recent Accounting Pronouncements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For further information on recent accounting pronouncements, refer to Note 1, “Summary of Significant Accounting Policies” to the condensed consolidated financial statements included in this Quarterly Report on Form 10-Q.</w:t>
      </w:r>
    </w:p>
    <w:p>
      <w:pPr>
        <w:pStyle w:val="Normal"/>
        <w:bidi w:val="0"/>
        <w:spacing w:before="0" w:after="0"/>
        <w:jc w:val="left"/>
        <w:rPr>
          <w:sz w:val="4"/>
          <w:szCs w:val="4"/>
        </w:rPr>
      </w:pPr>
      <w:r>
        <w:rPr>
          <w:sz w:val="4"/>
          <w:szCs w:val="4"/>
        </w:rPr>
      </w:r>
      <w:bookmarkStart w:id="1365" w:name="Item3QUANTITATIVEANDQUALITATIVE_86752"/>
      <w:bookmarkStart w:id="1366" w:name="_ef283408_e609_434a_ad36_c99e9926364e"/>
      <w:bookmarkStart w:id="1367" w:name="Item3QUANTITATIVEANDQUALITATIVE_86752"/>
      <w:bookmarkStart w:id="1368" w:name="_ef283408_e609_434a_ad36_c99e9926364e"/>
      <w:bookmarkEnd w:id="1367"/>
      <w:bookmarkEnd w:id="1368"/>
    </w:p>
    <w:tbl>
      <w:tblPr>
        <w:tblW w:w="7847" w:type="dxa"/>
        <w:jc w:val="left"/>
        <w:tblInd w:w="0" w:type="dxa"/>
        <w:tblLayout w:type="fixed"/>
        <w:tblCellMar>
          <w:top w:w="0" w:type="dxa"/>
          <w:left w:w="0" w:type="dxa"/>
          <w:bottom w:w="0" w:type="dxa"/>
          <w:right w:w="0" w:type="dxa"/>
        </w:tblCellMar>
      </w:tblPr>
      <w:tblGrid>
        <w:gridCol w:w="706"/>
        <w:gridCol w:w="7141"/>
      </w:tblGrid>
      <w:tr>
        <w:trPr/>
        <w:tc>
          <w:tcPr>
            <w:tcW w:w="70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Item 3.</w:t>
            </w:r>
          </w:p>
        </w:tc>
        <w:tc>
          <w:tcPr>
            <w:tcW w:w="714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b/>
                <w:sz w:val="20"/>
              </w:rPr>
              <w:t>QUANTITATIVE AND QUALITATIVE DISCLOSURES ABOUT MARKET RISK</w:t>
            </w:r>
            <w:r>
              <w:rPr>
                <w:rFonts w:ascii="Times New Roman;Times;serif" w:hAnsi="Times New Roman;Times;serif"/>
                <w:sz w:val="20"/>
              </w:rPr>
              <w:t xml:space="preserve"> </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b/>
          <w:sz w:val="20"/>
        </w:rPr>
        <w:t>Interest Rate Risk</w:t>
      </w:r>
      <w:r>
        <w:rPr>
          <w:rFonts w:ascii="Times New Roman;Times;serif" w:hAnsi="Times New Roman;Times;serif"/>
          <w:color w:val="FF0000"/>
          <w:sz w:val="20"/>
        </w:rPr>
        <w:t xml:space="preserve">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We had unrestricted cash and cash equivalents of $270.4 million and $296.1 million as of March 31, 2025 and December 31, 2024, respectively, and investments of $9.2 million as of December 31, 2024. We maintain our cash and cash equivalents in deposit accounts and money market funds with various financial institutions. Due to the short-term nature of these instruments, we believe that we do not have any material exposure to changes in the fair value of these investments as a result of changes in interest rates. Increases or declines in interest rates would be expected to augment or reduce future interest income by an insignificant amount.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We are exposed to risk related to changes in interest rates on our outstanding borrowings. Borrowings under our Credit Agreement bear interest at rates that are variable. Increases in the bank prime or SOFR rates would increase the interest rate on any future outstanding borrowings. Any debt we incur in the future may also bear interest at variable rates. </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Our Notes have a fixed annual interest rate; therefore, we have no financial or economic interest exposure associated with changes in interest rates. However, the fair value of fixed rate debt instruments fluctuates when interest rates change. Additionally, the fair value of the Notes can be affected when the market price of our common stock fluctuates. We carry the Notes at principal value less unamortized issuance costs on our condensed consolidated balance sheets, and we present fair value for required disclosure purposes only.</w:t>
      </w:r>
    </w:p>
    <w:p>
      <w:pPr>
        <w:pStyle w:val="TextBody"/>
        <w:bidi w:val="0"/>
        <w:spacing w:before="0" w:after="240"/>
        <w:ind w:left="0" w:right="0" w:firstLine="360"/>
        <w:jc w:val="both"/>
        <w:rPr/>
      </w:pPr>
      <w:r>
        <w:rPr/>
        <w:t>​</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 xml:space="preserve">Foreign Currency Exchange Risk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revenues and expenses are primarily denominated in U.S. Dollars. For our foreign operations, the majority of our revenues and expenses are denominated in other currencies, such as the Canadian Dollar, Euro, British Pound, Swedish Krona, and Brazilian Real. Decreases in the relative value of the U.S. Dollar as compared to these currencies may negatively affect our revenues and other operating results as expressed in U.S. Dollars. For both the three months ended March 31, 2025 and 2024, approximately 4%</w:t>
      </w:r>
      <w:r>
        <w:rPr>
          <w:rFonts w:ascii="Times New Roman;Times;serif" w:hAnsi="Times New Roman;Times;serif"/>
          <w:color w:val="FF0000"/>
          <w:sz w:val="20"/>
        </w:rPr>
        <w:t xml:space="preserve"> </w:t>
      </w:r>
      <w:r>
        <w:rPr>
          <w:rFonts w:ascii="Times New Roman;Times;serif" w:hAnsi="Times New Roman;Times;serif"/>
          <w:sz w:val="20"/>
        </w:rPr>
        <w:t xml:space="preserve">of our revenues were denominated in currencies other than U.S. Dollars.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We have experienced and will continue to experience fluctuations in our net loss or income as a result of transaction gains or losses related to revaluing certain current asset and current liability balances that are denominated in currencies other than the functional currency of the entities in which they are recorded. We have historically recognized immaterial amounts of foreign currency gains and losses in each of the periods presented. We may in the future hedge selected significant transactions denominated in currencies other than the U.S. dollar as we expand our international operations and our risk grows.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ind w:left="0" w:right="0" w:hanging="0"/>
        <w:jc w:val="left"/>
        <w:rPr>
          <w:sz w:val="4"/>
          <w:szCs w:val="4"/>
        </w:rPr>
      </w:pPr>
      <w:r>
        <w:rPr>
          <w:sz w:val="4"/>
          <w:szCs w:val="4"/>
        </w:rPr>
      </w:r>
      <w:bookmarkStart w:id="1369" w:name="Item4CONTROLSANDPROCEDURES_722053"/>
      <w:bookmarkStart w:id="1370" w:name="_b255e5e2_5a9d_425a_863a_7b5133cca618"/>
      <w:bookmarkStart w:id="1371" w:name="Item4CONTROLSANDPROCEDURES_722053"/>
      <w:bookmarkStart w:id="1372" w:name="_b255e5e2_5a9d_425a_863a_7b5133cca618"/>
      <w:bookmarkEnd w:id="1371"/>
      <w:bookmarkEnd w:id="1372"/>
    </w:p>
    <w:tbl>
      <w:tblPr>
        <w:tblW w:w="3797" w:type="dxa"/>
        <w:jc w:val="left"/>
        <w:tblInd w:w="0" w:type="dxa"/>
        <w:tblLayout w:type="fixed"/>
        <w:tblCellMar>
          <w:top w:w="0" w:type="dxa"/>
          <w:left w:w="0" w:type="dxa"/>
          <w:bottom w:w="0" w:type="dxa"/>
          <w:right w:w="0" w:type="dxa"/>
        </w:tblCellMar>
      </w:tblPr>
      <w:tblGrid>
        <w:gridCol w:w="706"/>
        <w:gridCol w:w="3091"/>
      </w:tblGrid>
      <w:tr>
        <w:trPr/>
        <w:tc>
          <w:tcPr>
            <w:tcW w:w="70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Item 4.</w:t>
            </w:r>
          </w:p>
        </w:tc>
        <w:tc>
          <w:tcPr>
            <w:tcW w:w="309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b/>
                <w:sz w:val="20"/>
              </w:rPr>
              <w:t>CONTROLS AND PROCEDURES</w:t>
            </w:r>
            <w:r>
              <w:rPr>
                <w:rFonts w:ascii="Times New Roman;Times;serif" w:hAnsi="Times New Roman;Times;serif"/>
                <w:sz w:val="20"/>
              </w:rPr>
              <w:t xml:space="preserve"> </w:t>
            </w:r>
          </w:p>
        </w:tc>
      </w:tr>
    </w:tbl>
    <w:p>
      <w:pPr>
        <w:pStyle w:val="TextBody"/>
        <w:bidi w:val="0"/>
        <w:spacing w:before="0" w:after="240"/>
        <w:ind w:left="0" w:right="0" w:firstLine="360"/>
        <w:jc w:val="left"/>
        <w:rPr>
          <w:rFonts w:ascii="Times New Roman;Times;serif" w:hAnsi="Times New Roman;Times;serif"/>
          <w:b/>
          <w:sz w:val="20"/>
        </w:rPr>
      </w:pPr>
      <w:r>
        <w:rPr>
          <w:rFonts w:ascii="Times New Roman;Times;serif" w:hAnsi="Times New Roman;Times;serif"/>
          <w:b/>
          <w:sz w:val="20"/>
        </w:rPr>
        <w:t>Evaluation of Disclosure Controls and Procedures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Our management, with the participation of our principal executive officer and principal financial officer, evaluated the effectiveness of our disclosure controls and procedures as defined in Rule 13a-15(b) of the Securities Exchange Act of 1934, as amended (the “Exchange Act”).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Based on the evaluation of our disclosure controls and procedures, our principal executive officer and principal financial officer concluded that, as of March 31, 2025, our disclosure controls and procedures were effective at a reasonable assurance level.</w:t>
      </w:r>
    </w:p>
    <w:p>
      <w:pPr>
        <w:pStyle w:val="TextBody"/>
        <w:bidi w:val="0"/>
        <w:spacing w:before="0" w:after="240"/>
        <w:ind w:left="0" w:right="0" w:firstLine="360"/>
        <w:jc w:val="left"/>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There were no changes in our internal control over financial reporting during the period covered by this Quarterly Report on Form 10-Q that materially affected, or are reasonably likely to materially affect, our internal control over financial reporting.</w:t>
      </w:r>
    </w:p>
    <w:p>
      <w:pPr>
        <w:pStyle w:val="TextBody"/>
        <w:bidi w:val="0"/>
        <w:spacing w:before="0" w:after="0"/>
        <w:ind w:left="0" w:right="0" w:firstLine="36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sz w:val="20"/>
        </w:rPr>
      </w:pPr>
      <w:bookmarkStart w:id="1373" w:name="PARTIIOTHERINFORMATION_466846"/>
      <w:bookmarkEnd w:id="1373"/>
      <w:r>
        <w:rPr>
          <w:rFonts w:ascii="Times New Roman;Times;serif" w:hAnsi="Times New Roman;Times;serif"/>
          <w:b/>
          <w:sz w:val="20"/>
        </w:rPr>
        <w:t>PART II---OTHER INFORMATION</w:t>
      </w:r>
      <w:r>
        <w:rPr>
          <w:rFonts w:ascii="Times New Roman;Times;serif" w:hAnsi="Times New Roman;Times;serif"/>
          <w:color w:val="FF0000"/>
          <w:sz w:val="20"/>
          <w:shd w:fill="FFFF00" w:val="clear"/>
        </w:rPr>
        <w:t xml:space="preserve"> </w:t>
      </w:r>
    </w:p>
    <w:p>
      <w:pPr>
        <w:pStyle w:val="TextBody"/>
        <w:bidi w:val="0"/>
        <w:spacing w:before="0" w:after="240"/>
        <w:ind w:left="0" w:right="0" w:hanging="0"/>
        <w:jc w:val="both"/>
        <w:rPr>
          <w:rFonts w:ascii="Times New Roman;Times;serif" w:hAnsi="Times New Roman;Times;serif"/>
          <w:sz w:val="20"/>
        </w:rPr>
      </w:pPr>
      <w:bookmarkStart w:id="1374" w:name="ITEM1LEGALPROCEEDINGS_169419"/>
      <w:bookmarkStart w:id="1375" w:name="_f331e2d4_9022_44b9_b3f2_9634886fda03"/>
      <w:bookmarkEnd w:id="1374"/>
      <w:bookmarkEnd w:id="1375"/>
      <w:r>
        <w:rPr>
          <w:rFonts w:ascii="Times New Roman;Times;serif" w:hAnsi="Times New Roman;Times;serif"/>
          <w:b/>
          <w:sz w:val="20"/>
        </w:rPr>
        <w:t>ITEM 1. LEGAL PROCEEDINGS</w:t>
      </w:r>
      <w:r>
        <w:rPr>
          <w:rFonts w:ascii="Times New Roman;Times;serif" w:hAnsi="Times New Roman;Times;serif"/>
          <w:sz w:val="20"/>
        </w:rPr>
        <w:t xml:space="preserve">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On January 25, 2022, we filed a complaint (subsequently amended on February 9, 2022) against Avalara, Inc. (“Avalara”) in the United States District Court for the Eastern District of Pennsylvania. The complaint alleges claims of unfair competition, intentional interference with contractual relations, and trade secret misappropriation against Avalara. We are seeking a permanent injunction to prevent Avalara from further interference with our contractual relations and to prohibit the disclosure in any way of our confidential, proprietary and/or trade secret information. We are also seeking monetary damages, including punitive damages and attorney’s fees. As of March 31, 2025, the matter remains before the Court and is proceeding through the discovery process. We believe the allegations in the complaint, once proven, are sufficient to prevail in this matter. However, the eventual outcome of the case is subject to a number of uncertainties, and therefore we cannot offer any assurance as to the ultimate impact of this case on our business and operations.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addition to the foregoing matter, from time to time, we may be involved in various legal proceedings arising from the normal course of business activities. We are not presently a party to any litigation the outcome of which we believe, if determined adversely to us, would individually or taken together have a material adverse effect on our business, operating results, cash flows or financial condition.</w:t>
      </w:r>
    </w:p>
    <w:p>
      <w:pPr>
        <w:pStyle w:val="TextBody"/>
        <w:bidi w:val="0"/>
        <w:spacing w:before="0" w:after="240"/>
        <w:ind w:left="0" w:right="0" w:hanging="0"/>
        <w:jc w:val="both"/>
        <w:rPr>
          <w:rFonts w:ascii="Times New Roman;Times;serif" w:hAnsi="Times New Roman;Times;serif"/>
          <w:sz w:val="20"/>
        </w:rPr>
      </w:pPr>
      <w:bookmarkStart w:id="1376" w:name="ITEM1ARISKFACTORS_159906"/>
      <w:bookmarkStart w:id="1377" w:name="_43fed7e9_232c_445f_86e6_9bf45cc6cc82"/>
      <w:bookmarkEnd w:id="1376"/>
      <w:bookmarkEnd w:id="1377"/>
      <w:r>
        <w:rPr>
          <w:rFonts w:ascii="Times New Roman;Times;serif" w:hAnsi="Times New Roman;Times;serif"/>
          <w:b/>
          <w:sz w:val="20"/>
        </w:rPr>
        <w:t>ITEM 1A. RISK FACTORS</w:t>
      </w:r>
      <w:r>
        <w:rPr>
          <w:rFonts w:ascii="Times New Roman;Times;serif" w:hAnsi="Times New Roman;Times;serif"/>
          <w:sz w:val="20"/>
        </w:rPr>
        <w:t xml:space="preserve">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This document incorporates by reference various risk factors discussed in the Company’s 2024 Annual Report, under the heading “Risk Factors”. There are no material changes to the risk factors discussed in these filings. You should carefully consider these risks, together with management’s discussion and analysis of our financial condition and results of operations in conjunction with the condensed consolidated financial statements and the notes thereto included elsewhere in this Quarterly Report on Form 10-Q. If any of the events contemplated should occur, our business, results of operations, financial condition and cash flows could suffer significantly.</w:t>
      </w:r>
    </w:p>
    <w:p>
      <w:pPr>
        <w:pStyle w:val="Normal"/>
        <w:bidi w:val="0"/>
        <w:spacing w:before="0" w:after="0"/>
        <w:jc w:val="left"/>
        <w:rPr>
          <w:sz w:val="4"/>
          <w:szCs w:val="4"/>
        </w:rPr>
      </w:pPr>
      <w:r>
        <w:rPr>
          <w:sz w:val="4"/>
          <w:szCs w:val="4"/>
        </w:rPr>
      </w:r>
      <w:bookmarkStart w:id="1378" w:name="ITEM2UNREGISTEREDSALESOFEQUITYSECURITIES"/>
      <w:bookmarkStart w:id="1379" w:name="_6996012a_ef8f_4a39_aaa8_2e84fad9b6f4"/>
      <w:bookmarkStart w:id="1380" w:name="ITEM2UNREGISTEREDSALESOFEQUITYSECURITIES"/>
      <w:bookmarkStart w:id="1381" w:name="_6996012a_ef8f_4a39_aaa8_2e84fad9b6f4"/>
      <w:bookmarkEnd w:id="1380"/>
      <w:bookmarkEnd w:id="1381"/>
    </w:p>
    <w:tbl>
      <w:tblPr>
        <w:tblW w:w="7817" w:type="dxa"/>
        <w:jc w:val="left"/>
        <w:tblInd w:w="0" w:type="dxa"/>
        <w:tblLayout w:type="fixed"/>
        <w:tblCellMar>
          <w:top w:w="0" w:type="dxa"/>
          <w:left w:w="0" w:type="dxa"/>
          <w:bottom w:w="0" w:type="dxa"/>
          <w:right w:w="0" w:type="dxa"/>
        </w:tblCellMar>
      </w:tblPr>
      <w:tblGrid>
        <w:gridCol w:w="841"/>
        <w:gridCol w:w="6976"/>
      </w:tblGrid>
      <w:tr>
        <w:trPr/>
        <w:tc>
          <w:tcPr>
            <w:tcW w:w="84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ITEM 2.</w:t>
            </w:r>
          </w:p>
        </w:tc>
        <w:tc>
          <w:tcPr>
            <w:tcW w:w="69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UNREGISTERED SALES OF EQUITY SECURITIES AND USE OF PROCEEDS</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None. </w:t>
      </w:r>
    </w:p>
    <w:p>
      <w:pPr>
        <w:pStyle w:val="Normal"/>
        <w:bidi w:val="0"/>
        <w:spacing w:before="0" w:after="0"/>
        <w:jc w:val="left"/>
        <w:rPr>
          <w:sz w:val="4"/>
          <w:szCs w:val="4"/>
        </w:rPr>
      </w:pPr>
      <w:r>
        <w:rPr>
          <w:sz w:val="4"/>
          <w:szCs w:val="4"/>
        </w:rPr>
      </w:r>
      <w:bookmarkStart w:id="1382" w:name="ITEM3DEFAULTSUPONSENIORSECURITIES_573487"/>
      <w:bookmarkStart w:id="1383" w:name="_fce2a5e7_3553_40fd_abba_018eaae34c7b"/>
      <w:bookmarkStart w:id="1384" w:name="ITEM3DEFAULTSUPONSENIORSECURITIES_573487"/>
      <w:bookmarkStart w:id="1385" w:name="_fce2a5e7_3553_40fd_abba_018eaae34c7b"/>
      <w:bookmarkEnd w:id="1384"/>
      <w:bookmarkEnd w:id="1385"/>
    </w:p>
    <w:tbl>
      <w:tblPr>
        <w:tblW w:w="4607" w:type="dxa"/>
        <w:jc w:val="left"/>
        <w:tblInd w:w="0" w:type="dxa"/>
        <w:tblLayout w:type="fixed"/>
        <w:tblCellMar>
          <w:top w:w="0" w:type="dxa"/>
          <w:left w:w="0" w:type="dxa"/>
          <w:bottom w:w="0" w:type="dxa"/>
          <w:right w:w="0" w:type="dxa"/>
        </w:tblCellMar>
      </w:tblPr>
      <w:tblGrid>
        <w:gridCol w:w="841"/>
        <w:gridCol w:w="3766"/>
      </w:tblGrid>
      <w:tr>
        <w:trPr/>
        <w:tc>
          <w:tcPr>
            <w:tcW w:w="84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ITEM 3.</w:t>
            </w:r>
          </w:p>
        </w:tc>
        <w:tc>
          <w:tcPr>
            <w:tcW w:w="376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DEFAULTS UPON SENIOR SECURITIES</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sz w:val="20"/>
        </w:rPr>
      </w:pPr>
      <w:bookmarkStart w:id="1386" w:name="ITEM4MINESAFETYDISCLOSURES_7256"/>
      <w:bookmarkStart w:id="1387" w:name="_35d40ce7_4bef_4762_a619_f0bfa4a1d46b"/>
      <w:bookmarkEnd w:id="1386"/>
      <w:bookmarkEnd w:id="1387"/>
      <w:r>
        <w:rPr>
          <w:rFonts w:ascii="Times New Roman;Times;serif" w:hAnsi="Times New Roman;Times;serif"/>
          <w:b/>
          <w:sz w:val="20"/>
        </w:rPr>
        <w:t>ITEM 4</w:t>
      </w:r>
      <w:r>
        <w:rPr>
          <w:rFonts w:ascii="Times New Roman;Times;serif" w:hAnsi="Times New Roman;Times;serif"/>
          <w:sz w:val="20"/>
        </w:rPr>
        <w:t xml:space="preserve">. </w:t>
      </w:r>
      <w:r>
        <w:rPr>
          <w:rFonts w:ascii="Times New Roman;Times;serif" w:hAnsi="Times New Roman;Times;serif"/>
          <w:b/>
          <w:sz w:val="20"/>
        </w:rPr>
        <w:t>MINE SAFETY DISCLOSURES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both"/>
        <w:rPr>
          <w:rFonts w:ascii="Times New Roman;Times;serif" w:hAnsi="Times New Roman;Times;serif"/>
          <w:sz w:val="20"/>
        </w:rPr>
      </w:pPr>
      <w:bookmarkStart w:id="1388" w:name="ITEM5OTHERINFORMATION_591263"/>
      <w:bookmarkStart w:id="1389" w:name="_d2bc6f41_f75d_4583_a867_20800da246a2"/>
      <w:bookmarkEnd w:id="1388"/>
      <w:bookmarkEnd w:id="1389"/>
      <w:r>
        <w:rPr>
          <w:rFonts w:ascii="Times New Roman;Times;serif" w:hAnsi="Times New Roman;Times;serif"/>
          <w:b/>
          <w:sz w:val="20"/>
        </w:rPr>
        <w:t>ITEM 5. OTHER INFORMATION</w:t>
      </w:r>
      <w:r>
        <w:rPr>
          <w:rFonts w:ascii="Times New Roman;Times;serif" w:hAnsi="Times New Roman;Times;serif"/>
          <w:sz w:val="20"/>
        </w:rPr>
        <w:t xml:space="preserve">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During the three months ended March 31, 2025, no director or officer of the Company adopted, modified or terminated a “Rule 10b5-1 trading arrangement” or “non-Rule 10b5-1 trading arrangement,” as each term is defined in Item 408(a) of Regulation S-K.</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bookmarkStart w:id="1390" w:name="ITEM6EXHIBITS_780342"/>
      <w:bookmarkStart w:id="1391" w:name="_8a337c54_eb43_477b_a624_b80e73d9c32c"/>
      <w:bookmarkEnd w:id="1390"/>
      <w:bookmarkEnd w:id="1391"/>
      <w:r>
        <w:rPr>
          <w:rFonts w:ascii="Times New Roman;Times;serif" w:hAnsi="Times New Roman;Times;serif"/>
          <w:b/>
          <w:sz w:val="20"/>
        </w:rPr>
        <w:t>ITEM 6. EXHIBITS</w:t>
      </w:r>
    </w:p>
    <w:tbl>
      <w:tblPr>
        <w:tblW w:w="10205" w:type="dxa"/>
        <w:jc w:val="left"/>
        <w:tblInd w:w="0" w:type="dxa"/>
        <w:tblLayout w:type="fixed"/>
        <w:tblCellMar>
          <w:top w:w="0" w:type="dxa"/>
          <w:left w:w="0" w:type="dxa"/>
          <w:bottom w:w="0" w:type="dxa"/>
          <w:right w:w="0" w:type="dxa"/>
        </w:tblCellMar>
      </w:tblPr>
      <w:tblGrid>
        <w:gridCol w:w="718"/>
        <w:gridCol w:w="386"/>
        <w:gridCol w:w="3408"/>
        <w:gridCol w:w="326"/>
        <w:gridCol w:w="511"/>
        <w:gridCol w:w="326"/>
        <w:gridCol w:w="416"/>
        <w:gridCol w:w="326"/>
        <w:gridCol w:w="631"/>
        <w:gridCol w:w="326"/>
        <w:gridCol w:w="526"/>
        <w:gridCol w:w="326"/>
        <w:gridCol w:w="781"/>
        <w:gridCol w:w="326"/>
        <w:gridCol w:w="872"/>
      </w:tblGrid>
      <w:tr>
        <w:trPr/>
        <w:tc>
          <w:tcPr>
            <w:tcW w:w="718" w:type="dxa"/>
            <w:tcBorders/>
            <w:vAlign w:val="center"/>
          </w:tcPr>
          <w:p>
            <w:pPr>
              <w:pStyle w:val="TableHeading"/>
              <w:bidi w:val="0"/>
              <w:spacing w:before="0" w:after="0"/>
              <w:ind w:left="0" w:right="0" w:hanging="0"/>
              <w:jc w:val="left"/>
              <w:rPr/>
            </w:pPr>
            <w:r>
              <w:rPr/>
              <w:t>​</w:t>
            </w:r>
          </w:p>
        </w:tc>
        <w:tc>
          <w:tcPr>
            <w:tcW w:w="386" w:type="dxa"/>
            <w:tcBorders/>
            <w:vAlign w:val="center"/>
          </w:tcPr>
          <w:p>
            <w:pPr>
              <w:pStyle w:val="TableHeading"/>
              <w:bidi w:val="0"/>
              <w:spacing w:before="0" w:after="283"/>
              <w:ind w:left="0" w:right="0" w:hanging="0"/>
              <w:rPr>
                <w:sz w:val="4"/>
                <w:szCs w:val="4"/>
              </w:rPr>
            </w:pPr>
            <w:r>
              <w:rPr>
                <w:sz w:val="4"/>
                <w:szCs w:val="4"/>
              </w:rPr>
            </w:r>
          </w:p>
        </w:tc>
        <w:tc>
          <w:tcPr>
            <w:tcW w:w="3408" w:type="dxa"/>
            <w:tcBorders/>
            <w:vAlign w:val="center"/>
          </w:tcPr>
          <w:p>
            <w:pPr>
              <w:pStyle w:val="TableHeading"/>
              <w:bidi w:val="0"/>
              <w:spacing w:before="0" w:after="283"/>
              <w:ind w:left="0" w:right="0" w:hanging="0"/>
              <w:rPr>
                <w:sz w:val="4"/>
                <w:szCs w:val="4"/>
              </w:rPr>
            </w:pPr>
            <w:r>
              <w:rPr>
                <w:sz w:val="4"/>
                <w:szCs w:val="4"/>
              </w:rPr>
            </w:r>
          </w:p>
        </w:tc>
        <w:tc>
          <w:tcPr>
            <w:tcW w:w="326" w:type="dxa"/>
            <w:tcBorders/>
            <w:vAlign w:val="center"/>
          </w:tcPr>
          <w:p>
            <w:pPr>
              <w:pStyle w:val="TableHeading"/>
              <w:bidi w:val="0"/>
              <w:spacing w:before="0" w:after="283"/>
              <w:ind w:left="0" w:right="0" w:hanging="0"/>
              <w:rPr>
                <w:sz w:val="4"/>
                <w:szCs w:val="4"/>
              </w:rPr>
            </w:pPr>
            <w:r>
              <w:rPr>
                <w:sz w:val="4"/>
                <w:szCs w:val="4"/>
              </w:rPr>
            </w:r>
          </w:p>
        </w:tc>
        <w:tc>
          <w:tcPr>
            <w:tcW w:w="511" w:type="dxa"/>
            <w:tcBorders/>
            <w:vAlign w:val="center"/>
          </w:tcPr>
          <w:p>
            <w:pPr>
              <w:pStyle w:val="TableHeading"/>
              <w:bidi w:val="0"/>
              <w:spacing w:before="0" w:after="283"/>
              <w:ind w:left="0" w:right="0" w:hanging="0"/>
              <w:rPr>
                <w:sz w:val="4"/>
                <w:szCs w:val="4"/>
              </w:rPr>
            </w:pPr>
            <w:r>
              <w:rPr>
                <w:sz w:val="4"/>
                <w:szCs w:val="4"/>
              </w:rPr>
            </w:r>
          </w:p>
        </w:tc>
        <w:tc>
          <w:tcPr>
            <w:tcW w:w="326" w:type="dxa"/>
            <w:tcBorders/>
            <w:vAlign w:val="center"/>
          </w:tcPr>
          <w:p>
            <w:pPr>
              <w:pStyle w:val="TableHeading"/>
              <w:bidi w:val="0"/>
              <w:spacing w:before="0" w:after="283"/>
              <w:ind w:left="0" w:right="0" w:hanging="0"/>
              <w:rPr>
                <w:sz w:val="4"/>
                <w:szCs w:val="4"/>
              </w:rPr>
            </w:pPr>
            <w:r>
              <w:rPr>
                <w:sz w:val="4"/>
                <w:szCs w:val="4"/>
              </w:rPr>
            </w:r>
          </w:p>
        </w:tc>
        <w:tc>
          <w:tcPr>
            <w:tcW w:w="416" w:type="dxa"/>
            <w:tcBorders/>
            <w:vAlign w:val="center"/>
          </w:tcPr>
          <w:p>
            <w:pPr>
              <w:pStyle w:val="TableHeading"/>
              <w:bidi w:val="0"/>
              <w:spacing w:before="0" w:after="283"/>
              <w:ind w:left="0" w:right="0" w:hanging="0"/>
              <w:rPr>
                <w:sz w:val="4"/>
                <w:szCs w:val="4"/>
              </w:rPr>
            </w:pPr>
            <w:r>
              <w:rPr>
                <w:sz w:val="4"/>
                <w:szCs w:val="4"/>
              </w:rPr>
            </w:r>
          </w:p>
        </w:tc>
        <w:tc>
          <w:tcPr>
            <w:tcW w:w="326" w:type="dxa"/>
            <w:tcBorders/>
            <w:vAlign w:val="center"/>
          </w:tcPr>
          <w:p>
            <w:pPr>
              <w:pStyle w:val="TableHeading"/>
              <w:bidi w:val="0"/>
              <w:spacing w:before="0" w:after="283"/>
              <w:ind w:left="0" w:right="0" w:hanging="0"/>
              <w:rPr>
                <w:sz w:val="4"/>
                <w:szCs w:val="4"/>
              </w:rPr>
            </w:pPr>
            <w:r>
              <w:rPr>
                <w:sz w:val="4"/>
                <w:szCs w:val="4"/>
              </w:rPr>
            </w:r>
          </w:p>
        </w:tc>
        <w:tc>
          <w:tcPr>
            <w:tcW w:w="631" w:type="dxa"/>
            <w:tcBorders/>
            <w:vAlign w:val="center"/>
          </w:tcPr>
          <w:p>
            <w:pPr>
              <w:pStyle w:val="TableHeading"/>
              <w:bidi w:val="0"/>
              <w:spacing w:before="0" w:after="283"/>
              <w:ind w:left="0" w:right="0" w:hanging="0"/>
              <w:rPr>
                <w:sz w:val="4"/>
                <w:szCs w:val="4"/>
              </w:rPr>
            </w:pPr>
            <w:r>
              <w:rPr>
                <w:sz w:val="4"/>
                <w:szCs w:val="4"/>
              </w:rPr>
            </w:r>
          </w:p>
        </w:tc>
        <w:tc>
          <w:tcPr>
            <w:tcW w:w="326" w:type="dxa"/>
            <w:tcBorders/>
            <w:vAlign w:val="center"/>
          </w:tcPr>
          <w:p>
            <w:pPr>
              <w:pStyle w:val="TableHeading"/>
              <w:bidi w:val="0"/>
              <w:spacing w:before="0" w:after="283"/>
              <w:ind w:left="0" w:right="0" w:hanging="0"/>
              <w:rPr>
                <w:sz w:val="4"/>
                <w:szCs w:val="4"/>
              </w:rPr>
            </w:pPr>
            <w:r>
              <w:rPr>
                <w:sz w:val="4"/>
                <w:szCs w:val="4"/>
              </w:rPr>
            </w:r>
          </w:p>
        </w:tc>
        <w:tc>
          <w:tcPr>
            <w:tcW w:w="526" w:type="dxa"/>
            <w:tcBorders/>
            <w:vAlign w:val="center"/>
          </w:tcPr>
          <w:p>
            <w:pPr>
              <w:pStyle w:val="TableHeading"/>
              <w:bidi w:val="0"/>
              <w:spacing w:before="0" w:after="283"/>
              <w:ind w:left="0" w:right="0" w:hanging="0"/>
              <w:rPr>
                <w:sz w:val="4"/>
                <w:szCs w:val="4"/>
              </w:rPr>
            </w:pPr>
            <w:r>
              <w:rPr>
                <w:sz w:val="4"/>
                <w:szCs w:val="4"/>
              </w:rPr>
            </w:r>
          </w:p>
        </w:tc>
        <w:tc>
          <w:tcPr>
            <w:tcW w:w="326" w:type="dxa"/>
            <w:tcBorders/>
            <w:vAlign w:val="center"/>
          </w:tcPr>
          <w:p>
            <w:pPr>
              <w:pStyle w:val="TableHeading"/>
              <w:bidi w:val="0"/>
              <w:spacing w:before="0" w:after="283"/>
              <w:ind w:left="0" w:right="0" w:hanging="0"/>
              <w:rPr>
                <w:sz w:val="4"/>
                <w:szCs w:val="4"/>
              </w:rPr>
            </w:pPr>
            <w:r>
              <w:rPr>
                <w:sz w:val="4"/>
                <w:szCs w:val="4"/>
              </w:rPr>
            </w:r>
          </w:p>
        </w:tc>
        <w:tc>
          <w:tcPr>
            <w:tcW w:w="781" w:type="dxa"/>
            <w:tcBorders/>
            <w:vAlign w:val="center"/>
          </w:tcPr>
          <w:p>
            <w:pPr>
              <w:pStyle w:val="TableHeading"/>
              <w:bidi w:val="0"/>
              <w:spacing w:before="0" w:after="283"/>
              <w:ind w:left="0" w:right="0" w:hanging="0"/>
              <w:rPr>
                <w:sz w:val="4"/>
                <w:szCs w:val="4"/>
              </w:rPr>
            </w:pPr>
            <w:r>
              <w:rPr>
                <w:sz w:val="4"/>
                <w:szCs w:val="4"/>
              </w:rPr>
            </w:r>
          </w:p>
        </w:tc>
        <w:tc>
          <w:tcPr>
            <w:tcW w:w="326" w:type="dxa"/>
            <w:tcBorders/>
            <w:vAlign w:val="center"/>
          </w:tcPr>
          <w:p>
            <w:pPr>
              <w:pStyle w:val="TableHeading"/>
              <w:bidi w:val="0"/>
              <w:spacing w:before="0" w:after="283"/>
              <w:ind w:left="0" w:right="0" w:hanging="0"/>
              <w:rPr>
                <w:sz w:val="4"/>
                <w:szCs w:val="4"/>
              </w:rPr>
            </w:pPr>
            <w:r>
              <w:rPr>
                <w:sz w:val="4"/>
                <w:szCs w:val="4"/>
              </w:rPr>
            </w:r>
          </w:p>
        </w:tc>
        <w:tc>
          <w:tcPr>
            <w:tcW w:w="872" w:type="dxa"/>
            <w:tcBorders/>
            <w:vAlign w:val="center"/>
          </w:tcPr>
          <w:p>
            <w:pPr>
              <w:pStyle w:val="TableHeading"/>
              <w:bidi w:val="0"/>
              <w:spacing w:before="0" w:after="283"/>
              <w:ind w:left="0" w:right="0" w:hanging="0"/>
              <w:rPr>
                <w:sz w:val="4"/>
                <w:szCs w:val="4"/>
              </w:rPr>
            </w:pPr>
            <w:r>
              <w:rPr>
                <w:sz w:val="4"/>
                <w:szCs w:val="4"/>
              </w:rPr>
            </w:r>
          </w:p>
        </w:tc>
      </w:tr>
      <w:tr>
        <w:trPr/>
        <w:tc>
          <w:tcPr>
            <w:tcW w:w="718" w:type="dxa"/>
            <w:tcBorders>
              <w:bottom w:val="single" w:sz="8" w:space="0" w:color="000000"/>
            </w:tcBorders>
            <w:tcMar>
              <w:bottom w:w="28" w:type="dxa"/>
            </w:tcMar>
            <w:vAlign w:val="center"/>
          </w:tcPr>
          <w:p>
            <w:pPr>
              <w:pStyle w:val="TableHeading"/>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 xml:space="preserve">Exhibit </w:t>
              <w:br/>
              <w:t>Number</w:t>
            </w:r>
          </w:p>
        </w:tc>
        <w:tc>
          <w:tcPr>
            <w:tcW w:w="386" w:type="dxa"/>
            <w:tcBorders>
              <w:bottom w:val="single" w:sz="8" w:space="0" w:color="000000"/>
            </w:tcBorders>
            <w:tcMar>
              <w:bottom w:w="28" w:type="dxa"/>
            </w:tcMar>
            <w:vAlign w:val="center"/>
          </w:tcPr>
          <w:p>
            <w:pPr>
              <w:pStyle w:val="TableHeading"/>
              <w:bidi w:val="0"/>
              <w:spacing w:before="0" w:after="0"/>
              <w:ind w:left="0" w:right="0" w:hanging="0"/>
              <w:jc w:val="left"/>
              <w:rPr/>
            </w:pPr>
            <w:r>
              <w:rPr/>
              <w:t>     </w:t>
            </w:r>
          </w:p>
        </w:tc>
        <w:tc>
          <w:tcPr>
            <w:tcW w:w="3408" w:type="dxa"/>
            <w:tcBorders>
              <w:bottom w:val="single" w:sz="8"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Exhibit Description </w:t>
            </w:r>
          </w:p>
        </w:tc>
        <w:tc>
          <w:tcPr>
            <w:tcW w:w="326" w:type="dxa"/>
            <w:tcBorders>
              <w:bottom w:val="single" w:sz="8" w:space="0" w:color="000000"/>
            </w:tcBorders>
            <w:tcMar>
              <w:bottom w:w="28" w:type="dxa"/>
            </w:tcMar>
            <w:vAlign w:val="center"/>
          </w:tcPr>
          <w:p>
            <w:pPr>
              <w:pStyle w:val="TableHeading"/>
              <w:bidi w:val="0"/>
              <w:spacing w:before="0" w:after="0"/>
              <w:ind w:left="0" w:right="0" w:hanging="0"/>
              <w:jc w:val="left"/>
              <w:rPr/>
            </w:pPr>
            <w:r>
              <w:rPr/>
              <w:t>    </w:t>
            </w:r>
          </w:p>
        </w:tc>
        <w:tc>
          <w:tcPr>
            <w:tcW w:w="511" w:type="dxa"/>
            <w:tcBorders>
              <w:bottom w:val="single" w:sz="8"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Form</w:t>
            </w:r>
          </w:p>
        </w:tc>
        <w:tc>
          <w:tcPr>
            <w:tcW w:w="326" w:type="dxa"/>
            <w:tcBorders>
              <w:bottom w:val="single" w:sz="8" w:space="0" w:color="000000"/>
            </w:tcBorders>
            <w:tcMar>
              <w:bottom w:w="28" w:type="dxa"/>
            </w:tcMar>
            <w:vAlign w:val="center"/>
          </w:tcPr>
          <w:p>
            <w:pPr>
              <w:pStyle w:val="TableHeading"/>
              <w:bidi w:val="0"/>
              <w:spacing w:before="0" w:after="0"/>
              <w:ind w:left="0" w:right="0" w:hanging="0"/>
              <w:jc w:val="left"/>
              <w:rPr/>
            </w:pPr>
            <w:r>
              <w:rPr/>
              <w:t>    </w:t>
            </w:r>
          </w:p>
        </w:tc>
        <w:tc>
          <w:tcPr>
            <w:tcW w:w="416" w:type="dxa"/>
            <w:tcBorders>
              <w:bottom w:val="single" w:sz="8"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File No.</w:t>
            </w:r>
          </w:p>
        </w:tc>
        <w:tc>
          <w:tcPr>
            <w:tcW w:w="326" w:type="dxa"/>
            <w:tcBorders>
              <w:bottom w:val="single" w:sz="8" w:space="0" w:color="000000"/>
            </w:tcBorders>
            <w:tcMar>
              <w:bottom w:w="28" w:type="dxa"/>
            </w:tcMar>
            <w:vAlign w:val="center"/>
          </w:tcPr>
          <w:p>
            <w:pPr>
              <w:pStyle w:val="TableHeading"/>
              <w:bidi w:val="0"/>
              <w:spacing w:before="0" w:after="0"/>
              <w:ind w:left="0" w:right="0" w:hanging="0"/>
              <w:jc w:val="left"/>
              <w:rPr/>
            </w:pPr>
            <w:r>
              <w:rPr/>
              <w:t>    </w:t>
            </w:r>
          </w:p>
        </w:tc>
        <w:tc>
          <w:tcPr>
            <w:tcW w:w="631" w:type="dxa"/>
            <w:tcBorders>
              <w:bottom w:val="single" w:sz="8"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Exhibit</w:t>
            </w:r>
          </w:p>
        </w:tc>
        <w:tc>
          <w:tcPr>
            <w:tcW w:w="326" w:type="dxa"/>
            <w:tcBorders>
              <w:bottom w:val="single" w:sz="8" w:space="0" w:color="000000"/>
            </w:tcBorders>
            <w:tcMar>
              <w:bottom w:w="28" w:type="dxa"/>
            </w:tcMar>
            <w:vAlign w:val="center"/>
          </w:tcPr>
          <w:p>
            <w:pPr>
              <w:pStyle w:val="TableHeading"/>
              <w:bidi w:val="0"/>
              <w:spacing w:before="0" w:after="0"/>
              <w:ind w:left="0" w:right="0" w:hanging="0"/>
              <w:jc w:val="left"/>
              <w:rPr/>
            </w:pPr>
            <w:r>
              <w:rPr/>
              <w:t>    </w:t>
            </w:r>
          </w:p>
        </w:tc>
        <w:tc>
          <w:tcPr>
            <w:tcW w:w="526" w:type="dxa"/>
            <w:tcBorders>
              <w:bottom w:val="single" w:sz="8"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Filing</w:t>
              <w:br/>
              <w:t>Date</w:t>
            </w:r>
          </w:p>
        </w:tc>
        <w:tc>
          <w:tcPr>
            <w:tcW w:w="326" w:type="dxa"/>
            <w:tcBorders>
              <w:bottom w:val="single" w:sz="8" w:space="0" w:color="000000"/>
            </w:tcBorders>
            <w:tcMar>
              <w:bottom w:w="28" w:type="dxa"/>
            </w:tcMar>
            <w:vAlign w:val="center"/>
          </w:tcPr>
          <w:p>
            <w:pPr>
              <w:pStyle w:val="TableHeading"/>
              <w:bidi w:val="0"/>
              <w:spacing w:before="0" w:after="0"/>
              <w:ind w:left="0" w:right="0" w:hanging="0"/>
              <w:jc w:val="left"/>
              <w:rPr/>
            </w:pPr>
            <w:r>
              <w:rPr/>
              <w:t>    </w:t>
            </w:r>
          </w:p>
        </w:tc>
        <w:tc>
          <w:tcPr>
            <w:tcW w:w="781" w:type="dxa"/>
            <w:tcBorders>
              <w:bottom w:val="single" w:sz="8"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Filed</w:t>
              <w:br/>
              <w:t>Herewith</w:t>
            </w:r>
          </w:p>
        </w:tc>
        <w:tc>
          <w:tcPr>
            <w:tcW w:w="326" w:type="dxa"/>
            <w:tcBorders>
              <w:bottom w:val="single" w:sz="8" w:space="0" w:color="000000"/>
            </w:tcBorders>
            <w:tcMar>
              <w:bottom w:w="28" w:type="dxa"/>
            </w:tcMar>
            <w:vAlign w:val="center"/>
          </w:tcPr>
          <w:p>
            <w:pPr>
              <w:pStyle w:val="TableHeading"/>
              <w:bidi w:val="0"/>
              <w:spacing w:before="0" w:after="0"/>
              <w:ind w:left="0" w:right="0" w:hanging="0"/>
              <w:jc w:val="left"/>
              <w:rPr/>
            </w:pPr>
            <w:r>
              <w:rPr/>
              <w:t>    </w:t>
            </w:r>
          </w:p>
        </w:tc>
        <w:tc>
          <w:tcPr>
            <w:tcW w:w="872" w:type="dxa"/>
            <w:tcBorders>
              <w:bottom w:val="single" w:sz="8"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Furnished</w:t>
              <w:br/>
              <w:t>Herewith</w:t>
            </w:r>
          </w:p>
        </w:tc>
      </w:tr>
      <w:tr>
        <w:trPr/>
        <w:tc>
          <w:tcPr>
            <w:tcW w:w="718" w:type="dxa"/>
            <w:tcBorders/>
            <w:vAlign w:val="center"/>
          </w:tcPr>
          <w:p>
            <w:pPr>
              <w:pStyle w:val="TableContents"/>
              <w:bidi w:val="0"/>
              <w:spacing w:before="0" w:after="0"/>
              <w:ind w:left="0" w:right="0" w:hanging="0"/>
              <w:jc w:val="left"/>
              <w:rPr/>
            </w:pPr>
            <w:hyperlink w:anchor="verx-20250331xex31d1.htm">
              <w:r>
                <w:rPr>
                  <w:rStyle w:val="InternetLink"/>
                  <w:rFonts w:ascii="Times New Roman;Times;serif" w:hAnsi="Times New Roman;Times;serif"/>
                  <w:b w:val="false"/>
                  <w:i w:val="false"/>
                  <w:caps w:val="false"/>
                  <w:smallCaps w:val="false"/>
                  <w:sz w:val="20"/>
                </w:rPr>
                <w:t>31.1</w:t>
              </w:r>
            </w:hyperlink>
          </w:p>
        </w:tc>
        <w:tc>
          <w:tcPr>
            <w:tcW w:w="386" w:type="dxa"/>
            <w:tcBorders/>
            <w:vAlign w:val="center"/>
          </w:tcPr>
          <w:p>
            <w:pPr>
              <w:pStyle w:val="TableContents"/>
              <w:bidi w:val="0"/>
              <w:spacing w:before="0" w:after="0"/>
              <w:ind w:left="0" w:right="0" w:hanging="0"/>
              <w:jc w:val="both"/>
              <w:rPr/>
            </w:pPr>
            <w:r>
              <w:rPr/>
              <w:t>​</w:t>
            </w:r>
          </w:p>
        </w:tc>
        <w:tc>
          <w:tcPr>
            <w:tcW w:w="3408" w:type="dxa"/>
            <w:tcBorders/>
            <w:vAlign w:val="center"/>
          </w:tcPr>
          <w:p>
            <w:pPr>
              <w:pStyle w:val="TableContents"/>
              <w:bidi w:val="0"/>
              <w:spacing w:before="0" w:after="0"/>
              <w:ind w:left="0" w:right="0" w:hanging="0"/>
              <w:jc w:val="left"/>
              <w:rPr/>
            </w:pPr>
            <w:hyperlink w:anchor="verx-20250331xex31d1.htm">
              <w:r>
                <w:rPr>
                  <w:rStyle w:val="InternetLink"/>
                  <w:rFonts w:ascii="Times New Roman;Times;serif" w:hAnsi="Times New Roman;Times;serif"/>
                  <w:b w:val="false"/>
                  <w:i w:val="false"/>
                  <w:caps w:val="false"/>
                  <w:smallCaps w:val="false"/>
                  <w:sz w:val="20"/>
                </w:rPr>
                <w:t>Certification of Principal Executive Officer Pursuant to Rules 13a-14(a) and 15d-14(a) under the Securities Exchange Act of 1934, as Adopted Pursuant to Section 302 of the Sarbanes-Oxley Act of 2002</w:t>
              </w:r>
            </w:hyperlink>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4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X</w:t>
            </w:r>
          </w:p>
        </w:tc>
        <w:tc>
          <w:tcPr>
            <w:tcW w:w="326" w:type="dxa"/>
            <w:tcBorders/>
            <w:vAlign w:val="center"/>
          </w:tcPr>
          <w:p>
            <w:pPr>
              <w:pStyle w:val="TableContents"/>
              <w:bidi w:val="0"/>
              <w:spacing w:before="0" w:after="0"/>
              <w:ind w:left="0" w:right="0" w:hanging="0"/>
              <w:jc w:val="left"/>
              <w:rPr/>
            </w:pPr>
            <w:r>
              <w:rPr/>
              <w:t>​</w:t>
            </w:r>
          </w:p>
        </w:tc>
        <w:tc>
          <w:tcPr>
            <w:tcW w:w="872" w:type="dxa"/>
            <w:tcBorders/>
            <w:vAlign w:val="center"/>
          </w:tcPr>
          <w:p>
            <w:pPr>
              <w:pStyle w:val="TableContents"/>
              <w:bidi w:val="0"/>
              <w:spacing w:before="0" w:after="0"/>
              <w:ind w:left="0" w:right="0" w:hanging="0"/>
              <w:jc w:val="center"/>
              <w:rPr/>
            </w:pPr>
            <w:r>
              <w:rPr/>
              <w:t>​</w:t>
            </w:r>
          </w:p>
        </w:tc>
      </w:tr>
      <w:tr>
        <w:trPr/>
        <w:tc>
          <w:tcPr>
            <w:tcW w:w="718" w:type="dxa"/>
            <w:tcBorders/>
            <w:vAlign w:val="center"/>
          </w:tcPr>
          <w:p>
            <w:pPr>
              <w:pStyle w:val="TableContents"/>
              <w:bidi w:val="0"/>
              <w:spacing w:before="0" w:after="0"/>
              <w:ind w:left="0" w:right="0" w:hanging="0"/>
              <w:jc w:val="left"/>
              <w:rPr/>
            </w:pPr>
            <w:hyperlink w:anchor="verx-20250331xex31d2.htm">
              <w:r>
                <w:rPr>
                  <w:rStyle w:val="InternetLink"/>
                  <w:rFonts w:ascii="Times New Roman;Times;serif" w:hAnsi="Times New Roman;Times;serif"/>
                  <w:b w:val="false"/>
                  <w:i w:val="false"/>
                  <w:caps w:val="false"/>
                  <w:smallCaps w:val="false"/>
                  <w:sz w:val="20"/>
                </w:rPr>
                <w:t>31.2</w:t>
              </w:r>
            </w:hyperlink>
          </w:p>
        </w:tc>
        <w:tc>
          <w:tcPr>
            <w:tcW w:w="386" w:type="dxa"/>
            <w:tcBorders/>
            <w:vAlign w:val="center"/>
          </w:tcPr>
          <w:p>
            <w:pPr>
              <w:pStyle w:val="TableContents"/>
              <w:bidi w:val="0"/>
              <w:spacing w:before="0" w:after="0"/>
              <w:ind w:left="0" w:right="0" w:hanging="0"/>
              <w:jc w:val="both"/>
              <w:rPr/>
            </w:pPr>
            <w:r>
              <w:rPr/>
              <w:t> </w:t>
            </w:r>
          </w:p>
        </w:tc>
        <w:tc>
          <w:tcPr>
            <w:tcW w:w="3408" w:type="dxa"/>
            <w:tcBorders/>
            <w:vAlign w:val="center"/>
          </w:tcPr>
          <w:p>
            <w:pPr>
              <w:pStyle w:val="TableContents"/>
              <w:bidi w:val="0"/>
              <w:spacing w:before="0" w:after="0"/>
              <w:ind w:left="0" w:right="0" w:hanging="0"/>
              <w:jc w:val="left"/>
              <w:rPr/>
            </w:pPr>
            <w:hyperlink w:anchor="verx-20250331xex31d2.htm">
              <w:r>
                <w:rPr>
                  <w:rStyle w:val="InternetLink"/>
                  <w:rFonts w:ascii="Times New Roman;Times;serif" w:hAnsi="Times New Roman;Times;serif"/>
                  <w:b w:val="false"/>
                  <w:i w:val="false"/>
                  <w:caps w:val="false"/>
                  <w:smallCaps w:val="false"/>
                  <w:sz w:val="20"/>
                </w:rPr>
                <w:t>Certification of Principal Financial Officer Pursuant to Rules 13a-14(a) and 15d-14(a) under the Securities Exchange Act of 1934, as Adopted Pursuant to Section 302 of the Sarbanes-Oxley Act of 2002</w:t>
              </w:r>
            </w:hyperlink>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4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X</w:t>
            </w:r>
          </w:p>
        </w:tc>
        <w:tc>
          <w:tcPr>
            <w:tcW w:w="326" w:type="dxa"/>
            <w:tcBorders/>
            <w:vAlign w:val="center"/>
          </w:tcPr>
          <w:p>
            <w:pPr>
              <w:pStyle w:val="TableContents"/>
              <w:bidi w:val="0"/>
              <w:spacing w:before="0" w:after="0"/>
              <w:ind w:left="0" w:right="0" w:hanging="0"/>
              <w:jc w:val="left"/>
              <w:rPr/>
            </w:pPr>
            <w:r>
              <w:rPr/>
              <w:t>​</w:t>
            </w:r>
          </w:p>
        </w:tc>
        <w:tc>
          <w:tcPr>
            <w:tcW w:w="872" w:type="dxa"/>
            <w:tcBorders/>
            <w:vAlign w:val="center"/>
          </w:tcPr>
          <w:p>
            <w:pPr>
              <w:pStyle w:val="TableContents"/>
              <w:bidi w:val="0"/>
              <w:spacing w:before="0" w:after="0"/>
              <w:ind w:left="0" w:right="0" w:hanging="0"/>
              <w:jc w:val="center"/>
              <w:rPr/>
            </w:pPr>
            <w:r>
              <w:rPr/>
              <w:t>​</w:t>
            </w:r>
          </w:p>
        </w:tc>
      </w:tr>
      <w:tr>
        <w:trPr/>
        <w:tc>
          <w:tcPr>
            <w:tcW w:w="718" w:type="dxa"/>
            <w:tcBorders/>
            <w:vAlign w:val="center"/>
          </w:tcPr>
          <w:p>
            <w:pPr>
              <w:pStyle w:val="TableContents"/>
              <w:bidi w:val="0"/>
              <w:spacing w:before="0" w:after="0"/>
              <w:ind w:left="0" w:right="0" w:hanging="0"/>
              <w:jc w:val="left"/>
              <w:rPr/>
            </w:pPr>
            <w:hyperlink w:anchor="verx-20250331xex32d1.htm">
              <w:r>
                <w:rPr>
                  <w:rStyle w:val="InternetLink"/>
                  <w:rFonts w:ascii="Times New Roman;Times;serif" w:hAnsi="Times New Roman;Times;serif"/>
                  <w:b w:val="false"/>
                  <w:i w:val="false"/>
                  <w:caps w:val="false"/>
                  <w:smallCaps w:val="false"/>
                  <w:sz w:val="20"/>
                </w:rPr>
                <w:t>32.1</w:t>
              </w:r>
            </w:hyperlink>
          </w:p>
        </w:tc>
        <w:tc>
          <w:tcPr>
            <w:tcW w:w="386" w:type="dxa"/>
            <w:tcBorders/>
            <w:vAlign w:val="center"/>
          </w:tcPr>
          <w:p>
            <w:pPr>
              <w:pStyle w:val="TableContents"/>
              <w:bidi w:val="0"/>
              <w:spacing w:before="0" w:after="0"/>
              <w:ind w:left="0" w:right="0" w:hanging="0"/>
              <w:jc w:val="both"/>
              <w:rPr/>
            </w:pPr>
            <w:r>
              <w:rPr/>
              <w:t> </w:t>
            </w:r>
          </w:p>
        </w:tc>
        <w:tc>
          <w:tcPr>
            <w:tcW w:w="3408" w:type="dxa"/>
            <w:tcBorders/>
            <w:vAlign w:val="center"/>
          </w:tcPr>
          <w:p>
            <w:pPr>
              <w:pStyle w:val="TableContents"/>
              <w:bidi w:val="0"/>
              <w:spacing w:before="0" w:after="0"/>
              <w:ind w:left="0" w:right="0" w:hanging="0"/>
              <w:jc w:val="left"/>
              <w:rPr/>
            </w:pPr>
            <w:hyperlink w:anchor="verx-20250331xex32d1.htm">
              <w:r>
                <w:rPr>
                  <w:rStyle w:val="InternetLink"/>
                  <w:rFonts w:ascii="Times New Roman;Times;serif" w:hAnsi="Times New Roman;Times;serif"/>
                  <w:b w:val="false"/>
                  <w:i w:val="false"/>
                  <w:caps w:val="false"/>
                  <w:smallCaps w:val="false"/>
                  <w:sz w:val="20"/>
                </w:rPr>
                <w:t>Certification of Principal Executive Officer Pursuant to 18 U.S.C. Section 1350, as Adopted Pursuant to Section 906 of the Sarbanes-Oxley Act of 2002</w:t>
              </w:r>
            </w:hyperlink>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4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72"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X</w:t>
            </w:r>
          </w:p>
        </w:tc>
      </w:tr>
      <w:tr>
        <w:trPr/>
        <w:tc>
          <w:tcPr>
            <w:tcW w:w="718" w:type="dxa"/>
            <w:tcBorders/>
            <w:vAlign w:val="center"/>
          </w:tcPr>
          <w:p>
            <w:pPr>
              <w:pStyle w:val="TableContents"/>
              <w:bidi w:val="0"/>
              <w:spacing w:before="0" w:after="0"/>
              <w:ind w:left="0" w:right="0" w:hanging="0"/>
              <w:jc w:val="left"/>
              <w:rPr/>
            </w:pPr>
            <w:hyperlink w:anchor="verx-20250331xex32d2.htm">
              <w:r>
                <w:rPr>
                  <w:rStyle w:val="InternetLink"/>
                  <w:rFonts w:ascii="Times New Roman;Times;serif" w:hAnsi="Times New Roman;Times;serif"/>
                  <w:b w:val="false"/>
                  <w:i w:val="false"/>
                  <w:caps w:val="false"/>
                  <w:smallCaps w:val="false"/>
                  <w:sz w:val="20"/>
                </w:rPr>
                <w:t>32.2</w:t>
              </w:r>
            </w:hyperlink>
          </w:p>
        </w:tc>
        <w:tc>
          <w:tcPr>
            <w:tcW w:w="386" w:type="dxa"/>
            <w:tcBorders/>
            <w:vAlign w:val="center"/>
          </w:tcPr>
          <w:p>
            <w:pPr>
              <w:pStyle w:val="TableContents"/>
              <w:bidi w:val="0"/>
              <w:spacing w:before="0" w:after="0"/>
              <w:ind w:left="0" w:right="0" w:hanging="0"/>
              <w:jc w:val="both"/>
              <w:rPr/>
            </w:pPr>
            <w:r>
              <w:rPr/>
              <w:t> </w:t>
            </w:r>
          </w:p>
        </w:tc>
        <w:tc>
          <w:tcPr>
            <w:tcW w:w="3408" w:type="dxa"/>
            <w:tcBorders/>
            <w:vAlign w:val="center"/>
          </w:tcPr>
          <w:p>
            <w:pPr>
              <w:pStyle w:val="TableContents"/>
              <w:bidi w:val="0"/>
              <w:spacing w:before="0" w:after="0"/>
              <w:ind w:left="0" w:right="0" w:hanging="0"/>
              <w:jc w:val="left"/>
              <w:rPr/>
            </w:pPr>
            <w:hyperlink w:anchor="verx-20250331xex32d2.htm">
              <w:r>
                <w:rPr>
                  <w:rStyle w:val="InternetLink"/>
                  <w:rFonts w:ascii="Times New Roman;Times;serif" w:hAnsi="Times New Roman;Times;serif"/>
                  <w:b w:val="false"/>
                  <w:i w:val="false"/>
                  <w:caps w:val="false"/>
                  <w:smallCaps w:val="false"/>
                  <w:sz w:val="20"/>
                </w:rPr>
                <w:t>Certification of Principal Financial Officer Pursuant to 18 U.S.C. Section 1350, as Adopted Pursuant to Section 906 of the Sarbanes-Oxley Act of 2002</w:t>
              </w:r>
            </w:hyperlink>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4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72"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X</w:t>
            </w:r>
          </w:p>
        </w:tc>
      </w:tr>
      <w:tr>
        <w:trPr/>
        <w:tc>
          <w:tcPr>
            <w:tcW w:w="71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101.INS</w:t>
            </w:r>
          </w:p>
        </w:tc>
        <w:tc>
          <w:tcPr>
            <w:tcW w:w="386" w:type="dxa"/>
            <w:tcBorders/>
            <w:vAlign w:val="center"/>
          </w:tcPr>
          <w:p>
            <w:pPr>
              <w:pStyle w:val="TableContents"/>
              <w:bidi w:val="0"/>
              <w:spacing w:before="0" w:after="0"/>
              <w:ind w:left="0" w:right="0" w:hanging="0"/>
              <w:jc w:val="both"/>
              <w:rPr/>
            </w:pPr>
            <w:r>
              <w:rPr/>
              <w:t> </w:t>
            </w:r>
          </w:p>
        </w:tc>
        <w:tc>
          <w:tcPr>
            <w:tcW w:w="340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Inline XBRL Instance Document</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4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X</w:t>
            </w:r>
          </w:p>
        </w:tc>
        <w:tc>
          <w:tcPr>
            <w:tcW w:w="326" w:type="dxa"/>
            <w:tcBorders/>
            <w:vAlign w:val="center"/>
          </w:tcPr>
          <w:p>
            <w:pPr>
              <w:pStyle w:val="TableContents"/>
              <w:bidi w:val="0"/>
              <w:spacing w:before="0" w:after="0"/>
              <w:ind w:left="0" w:right="0" w:hanging="0"/>
              <w:jc w:val="left"/>
              <w:rPr/>
            </w:pPr>
            <w:r>
              <w:rPr/>
              <w:t>​</w:t>
            </w:r>
          </w:p>
        </w:tc>
        <w:tc>
          <w:tcPr>
            <w:tcW w:w="872" w:type="dxa"/>
            <w:tcBorders/>
            <w:vAlign w:val="center"/>
          </w:tcPr>
          <w:p>
            <w:pPr>
              <w:pStyle w:val="TableContents"/>
              <w:bidi w:val="0"/>
              <w:spacing w:before="0" w:after="283"/>
              <w:ind w:left="0" w:right="0" w:hanging="0"/>
              <w:jc w:val="left"/>
              <w:rPr>
                <w:sz w:val="4"/>
                <w:szCs w:val="4"/>
              </w:rPr>
            </w:pPr>
            <w:r>
              <w:rPr>
                <w:sz w:val="4"/>
                <w:szCs w:val="4"/>
              </w:rPr>
            </w:r>
          </w:p>
        </w:tc>
      </w:tr>
      <w:tr>
        <w:trPr/>
        <w:tc>
          <w:tcPr>
            <w:tcW w:w="71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101.SCH</w:t>
            </w:r>
          </w:p>
        </w:tc>
        <w:tc>
          <w:tcPr>
            <w:tcW w:w="386" w:type="dxa"/>
            <w:tcBorders/>
            <w:vAlign w:val="center"/>
          </w:tcPr>
          <w:p>
            <w:pPr>
              <w:pStyle w:val="TableContents"/>
              <w:bidi w:val="0"/>
              <w:spacing w:before="0" w:after="0"/>
              <w:ind w:left="0" w:right="0" w:hanging="0"/>
              <w:jc w:val="both"/>
              <w:rPr/>
            </w:pPr>
            <w:r>
              <w:rPr/>
              <w:t> </w:t>
            </w:r>
          </w:p>
        </w:tc>
        <w:tc>
          <w:tcPr>
            <w:tcW w:w="340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Inline XBRL Taxonomy Extension Schema Document</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4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X</w:t>
            </w:r>
          </w:p>
        </w:tc>
        <w:tc>
          <w:tcPr>
            <w:tcW w:w="326" w:type="dxa"/>
            <w:tcBorders/>
            <w:vAlign w:val="center"/>
          </w:tcPr>
          <w:p>
            <w:pPr>
              <w:pStyle w:val="TableContents"/>
              <w:bidi w:val="0"/>
              <w:spacing w:before="0" w:after="0"/>
              <w:ind w:left="0" w:right="0" w:hanging="0"/>
              <w:jc w:val="left"/>
              <w:rPr/>
            </w:pPr>
            <w:r>
              <w:rPr/>
              <w:t>​</w:t>
            </w:r>
          </w:p>
        </w:tc>
        <w:tc>
          <w:tcPr>
            <w:tcW w:w="872" w:type="dxa"/>
            <w:tcBorders/>
            <w:vAlign w:val="center"/>
          </w:tcPr>
          <w:p>
            <w:pPr>
              <w:pStyle w:val="TableContents"/>
              <w:bidi w:val="0"/>
              <w:spacing w:before="0" w:after="0"/>
              <w:ind w:left="0" w:right="0" w:hanging="0"/>
              <w:jc w:val="center"/>
              <w:rPr/>
            </w:pPr>
            <w:r>
              <w:rPr/>
              <w:t>​</w:t>
            </w:r>
          </w:p>
        </w:tc>
      </w:tr>
      <w:tr>
        <w:trPr/>
        <w:tc>
          <w:tcPr>
            <w:tcW w:w="71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101.CAL</w:t>
            </w:r>
          </w:p>
        </w:tc>
        <w:tc>
          <w:tcPr>
            <w:tcW w:w="386" w:type="dxa"/>
            <w:tcBorders/>
            <w:vAlign w:val="center"/>
          </w:tcPr>
          <w:p>
            <w:pPr>
              <w:pStyle w:val="TableContents"/>
              <w:bidi w:val="0"/>
              <w:spacing w:before="0" w:after="0"/>
              <w:ind w:left="0" w:right="0" w:hanging="0"/>
              <w:jc w:val="both"/>
              <w:rPr/>
            </w:pPr>
            <w:r>
              <w:rPr/>
              <w:t> </w:t>
            </w:r>
          </w:p>
        </w:tc>
        <w:tc>
          <w:tcPr>
            <w:tcW w:w="340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Inline XBRL Taxonomy Extension Calculation Linkbase Document</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4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X</w:t>
            </w:r>
          </w:p>
        </w:tc>
        <w:tc>
          <w:tcPr>
            <w:tcW w:w="326" w:type="dxa"/>
            <w:tcBorders/>
            <w:vAlign w:val="center"/>
          </w:tcPr>
          <w:p>
            <w:pPr>
              <w:pStyle w:val="TableContents"/>
              <w:bidi w:val="0"/>
              <w:spacing w:before="0" w:after="0"/>
              <w:ind w:left="0" w:right="0" w:hanging="0"/>
              <w:jc w:val="left"/>
              <w:rPr/>
            </w:pPr>
            <w:r>
              <w:rPr/>
              <w:t>​</w:t>
            </w:r>
          </w:p>
        </w:tc>
        <w:tc>
          <w:tcPr>
            <w:tcW w:w="872" w:type="dxa"/>
            <w:tcBorders/>
            <w:vAlign w:val="center"/>
          </w:tcPr>
          <w:p>
            <w:pPr>
              <w:pStyle w:val="TableContents"/>
              <w:bidi w:val="0"/>
              <w:spacing w:before="0" w:after="0"/>
              <w:ind w:left="0" w:right="0" w:hanging="0"/>
              <w:jc w:val="center"/>
              <w:rPr/>
            </w:pPr>
            <w:r>
              <w:rPr/>
              <w:t>​</w:t>
            </w:r>
          </w:p>
        </w:tc>
      </w:tr>
      <w:tr>
        <w:trPr/>
        <w:tc>
          <w:tcPr>
            <w:tcW w:w="71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101.DEF</w:t>
            </w:r>
          </w:p>
        </w:tc>
        <w:tc>
          <w:tcPr>
            <w:tcW w:w="386" w:type="dxa"/>
            <w:tcBorders/>
            <w:vAlign w:val="center"/>
          </w:tcPr>
          <w:p>
            <w:pPr>
              <w:pStyle w:val="TableContents"/>
              <w:bidi w:val="0"/>
              <w:spacing w:before="0" w:after="0"/>
              <w:ind w:left="0" w:right="0" w:hanging="0"/>
              <w:jc w:val="both"/>
              <w:rPr/>
            </w:pPr>
            <w:r>
              <w:rPr/>
              <w:t> </w:t>
            </w:r>
          </w:p>
        </w:tc>
        <w:tc>
          <w:tcPr>
            <w:tcW w:w="340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Inline XBRL Taxonomy Extension Definition Linkbase Document</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4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X</w:t>
            </w:r>
          </w:p>
        </w:tc>
        <w:tc>
          <w:tcPr>
            <w:tcW w:w="326" w:type="dxa"/>
            <w:tcBorders/>
            <w:vAlign w:val="center"/>
          </w:tcPr>
          <w:p>
            <w:pPr>
              <w:pStyle w:val="TableContents"/>
              <w:bidi w:val="0"/>
              <w:spacing w:before="0" w:after="0"/>
              <w:ind w:left="0" w:right="0" w:hanging="0"/>
              <w:jc w:val="left"/>
              <w:rPr/>
            </w:pPr>
            <w:r>
              <w:rPr/>
              <w:t>​</w:t>
            </w:r>
          </w:p>
        </w:tc>
        <w:tc>
          <w:tcPr>
            <w:tcW w:w="872" w:type="dxa"/>
            <w:tcBorders/>
            <w:vAlign w:val="center"/>
          </w:tcPr>
          <w:p>
            <w:pPr>
              <w:pStyle w:val="TableContents"/>
              <w:bidi w:val="0"/>
              <w:spacing w:before="0" w:after="0"/>
              <w:ind w:left="0" w:right="0" w:hanging="0"/>
              <w:jc w:val="center"/>
              <w:rPr/>
            </w:pPr>
            <w:r>
              <w:rPr/>
              <w:t>​</w:t>
            </w:r>
          </w:p>
        </w:tc>
      </w:tr>
      <w:tr>
        <w:trPr/>
        <w:tc>
          <w:tcPr>
            <w:tcW w:w="71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101.LAB</w:t>
            </w:r>
          </w:p>
        </w:tc>
        <w:tc>
          <w:tcPr>
            <w:tcW w:w="386" w:type="dxa"/>
            <w:tcBorders/>
            <w:vAlign w:val="center"/>
          </w:tcPr>
          <w:p>
            <w:pPr>
              <w:pStyle w:val="TableContents"/>
              <w:bidi w:val="0"/>
              <w:spacing w:before="0" w:after="0"/>
              <w:ind w:left="0" w:right="0" w:hanging="0"/>
              <w:jc w:val="both"/>
              <w:rPr/>
            </w:pPr>
            <w:r>
              <w:rPr/>
              <w:t> </w:t>
            </w:r>
          </w:p>
        </w:tc>
        <w:tc>
          <w:tcPr>
            <w:tcW w:w="340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Inline XBRL Taxonomy Extension Label Linkbase Document</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4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X</w:t>
            </w:r>
          </w:p>
        </w:tc>
        <w:tc>
          <w:tcPr>
            <w:tcW w:w="326" w:type="dxa"/>
            <w:tcBorders/>
            <w:vAlign w:val="center"/>
          </w:tcPr>
          <w:p>
            <w:pPr>
              <w:pStyle w:val="TableContents"/>
              <w:bidi w:val="0"/>
              <w:spacing w:before="0" w:after="0"/>
              <w:ind w:left="0" w:right="0" w:hanging="0"/>
              <w:jc w:val="left"/>
              <w:rPr/>
            </w:pPr>
            <w:r>
              <w:rPr/>
              <w:t>​</w:t>
            </w:r>
          </w:p>
        </w:tc>
        <w:tc>
          <w:tcPr>
            <w:tcW w:w="872" w:type="dxa"/>
            <w:tcBorders/>
            <w:vAlign w:val="center"/>
          </w:tcPr>
          <w:p>
            <w:pPr>
              <w:pStyle w:val="TableContents"/>
              <w:bidi w:val="0"/>
              <w:spacing w:before="0" w:after="0"/>
              <w:ind w:left="0" w:right="0" w:hanging="0"/>
              <w:jc w:val="center"/>
              <w:rPr/>
            </w:pPr>
            <w:r>
              <w:rPr/>
              <w:t>​</w:t>
            </w:r>
          </w:p>
        </w:tc>
      </w:tr>
      <w:tr>
        <w:trPr/>
        <w:tc>
          <w:tcPr>
            <w:tcW w:w="71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101.PRE</w:t>
            </w:r>
          </w:p>
        </w:tc>
        <w:tc>
          <w:tcPr>
            <w:tcW w:w="386" w:type="dxa"/>
            <w:tcBorders/>
            <w:vAlign w:val="center"/>
          </w:tcPr>
          <w:p>
            <w:pPr>
              <w:pStyle w:val="TableContents"/>
              <w:bidi w:val="0"/>
              <w:spacing w:before="0" w:after="0"/>
              <w:ind w:left="0" w:right="0" w:hanging="0"/>
              <w:jc w:val="both"/>
              <w:rPr/>
            </w:pPr>
            <w:r>
              <w:rPr/>
              <w:t> </w:t>
            </w:r>
          </w:p>
        </w:tc>
        <w:tc>
          <w:tcPr>
            <w:tcW w:w="340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Inline XBRL Taxonomy Extension Presentation Linkbase Document</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4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X</w:t>
            </w:r>
          </w:p>
        </w:tc>
        <w:tc>
          <w:tcPr>
            <w:tcW w:w="326" w:type="dxa"/>
            <w:tcBorders/>
            <w:vAlign w:val="center"/>
          </w:tcPr>
          <w:p>
            <w:pPr>
              <w:pStyle w:val="TableContents"/>
              <w:bidi w:val="0"/>
              <w:spacing w:before="0" w:after="0"/>
              <w:ind w:left="0" w:right="0" w:hanging="0"/>
              <w:jc w:val="left"/>
              <w:rPr/>
            </w:pPr>
            <w:r>
              <w:rPr/>
              <w:t>​</w:t>
            </w:r>
          </w:p>
        </w:tc>
        <w:tc>
          <w:tcPr>
            <w:tcW w:w="872" w:type="dxa"/>
            <w:tcBorders/>
            <w:vAlign w:val="center"/>
          </w:tcPr>
          <w:p>
            <w:pPr>
              <w:pStyle w:val="TableContents"/>
              <w:bidi w:val="0"/>
              <w:spacing w:before="0" w:after="0"/>
              <w:ind w:left="0" w:right="0" w:hanging="0"/>
              <w:jc w:val="center"/>
              <w:rPr/>
            </w:pPr>
            <w:r>
              <w:rPr/>
              <w:t>​</w:t>
            </w:r>
          </w:p>
        </w:tc>
      </w:tr>
      <w:tr>
        <w:trPr/>
        <w:tc>
          <w:tcPr>
            <w:tcW w:w="71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104</w:t>
            </w:r>
          </w:p>
        </w:tc>
        <w:tc>
          <w:tcPr>
            <w:tcW w:w="386" w:type="dxa"/>
            <w:tcBorders/>
            <w:vAlign w:val="center"/>
          </w:tcPr>
          <w:p>
            <w:pPr>
              <w:pStyle w:val="TableContents"/>
              <w:bidi w:val="0"/>
              <w:spacing w:before="0" w:after="0"/>
              <w:ind w:left="0" w:right="0" w:hanging="0"/>
              <w:jc w:val="both"/>
              <w:rPr/>
            </w:pPr>
            <w:r>
              <w:rPr/>
              <w:t>​</w:t>
            </w:r>
          </w:p>
        </w:tc>
        <w:tc>
          <w:tcPr>
            <w:tcW w:w="340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Cover Page Interactive Data File (formatted as inline XBRL and contained in Exhibit 101)</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4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72" w:type="dxa"/>
            <w:tcBorders/>
            <w:vAlign w:val="center"/>
          </w:tcPr>
          <w:p>
            <w:pPr>
              <w:pStyle w:val="TableContents"/>
              <w:bidi w:val="0"/>
              <w:spacing w:before="0" w:after="0"/>
              <w:ind w:left="0" w:right="0" w:hanging="0"/>
              <w:jc w:val="center"/>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392" w:name="SIGNATURES_99336"/>
      <w:bookmarkStart w:id="1393" w:name="_9ed0b9a8_75e4_4e46_9a7d_b982dacbe193"/>
      <w:bookmarkEnd w:id="1392"/>
      <w:bookmarkEnd w:id="1393"/>
      <w:r>
        <w:rPr>
          <w:rFonts w:ascii="Times New Roman;Times;serif" w:hAnsi="Times New Roman;Times;serif"/>
          <w:b/>
          <w:sz w:val="20"/>
        </w:rPr>
        <w:t>SIGNATURES</w:t>
      </w:r>
    </w:p>
    <w:p>
      <w:pPr>
        <w:pStyle w:val="TextBody"/>
        <w:bidi w:val="0"/>
        <w:spacing w:before="0" w:after="0"/>
        <w:ind w:left="0" w:right="0" w:hanging="0"/>
        <w:jc w:val="center"/>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pPr>
      <w:r>
        <w:rPr/>
        <w:t>​</w:t>
      </w:r>
    </w:p>
    <w:tbl>
      <w:tblPr>
        <w:tblW w:w="8999" w:type="dxa"/>
        <w:jc w:val="left"/>
        <w:tblInd w:w="0" w:type="dxa"/>
        <w:tblLayout w:type="fixed"/>
        <w:tblCellMar>
          <w:top w:w="0" w:type="dxa"/>
          <w:left w:w="0" w:type="dxa"/>
          <w:bottom w:w="0" w:type="dxa"/>
          <w:right w:w="0" w:type="dxa"/>
        </w:tblCellMar>
      </w:tblPr>
      <w:tblGrid>
        <w:gridCol w:w="1636"/>
        <w:gridCol w:w="266"/>
        <w:gridCol w:w="406"/>
        <w:gridCol w:w="6691"/>
      </w:tblGrid>
      <w:tr>
        <w:trPr/>
        <w:tc>
          <w:tcPr>
            <w:tcW w:w="1636" w:type="dxa"/>
            <w:tcBorders/>
            <w:vAlign w:val="center"/>
          </w:tcPr>
          <w:p>
            <w:pPr>
              <w:pStyle w:val="TableContents"/>
              <w:bidi w:val="0"/>
              <w:spacing w:before="0" w:after="283"/>
              <w:ind w:left="0" w:right="0" w:hanging="0"/>
              <w:jc w:val="left"/>
              <w:rPr>
                <w:sz w:val="4"/>
                <w:szCs w:val="4"/>
              </w:rPr>
            </w:pPr>
            <w:r>
              <w:rPr>
                <w:sz w:val="4"/>
                <w:szCs w:val="4"/>
              </w:rPr>
            </w:r>
          </w:p>
        </w:tc>
        <w:tc>
          <w:tcPr>
            <w:tcW w:w="26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6691" w:type="dxa"/>
            <w:tcBorders/>
            <w:vAlign w:val="center"/>
          </w:tcPr>
          <w:p>
            <w:pPr>
              <w:pStyle w:val="TableContents"/>
              <w:bidi w:val="0"/>
              <w:spacing w:before="0" w:after="283"/>
              <w:ind w:left="0" w:right="0" w:hanging="0"/>
              <w:jc w:val="left"/>
              <w:rPr>
                <w:sz w:val="4"/>
                <w:szCs w:val="4"/>
              </w:rPr>
            </w:pPr>
            <w:r>
              <w:rPr>
                <w:sz w:val="4"/>
                <w:szCs w:val="4"/>
              </w:rPr>
            </w:r>
          </w:p>
        </w:tc>
      </w:tr>
      <w:tr>
        <w:trPr/>
        <w:tc>
          <w:tcPr>
            <w:tcW w:w="1636"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7097"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Vertex, Inc.</w:t>
            </w:r>
          </w:p>
        </w:tc>
      </w:tr>
      <w:tr>
        <w:trPr/>
        <w:tc>
          <w:tcPr>
            <w:tcW w:w="1636"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w:t>
            </w:r>
          </w:p>
        </w:tc>
        <w:tc>
          <w:tcPr>
            <w:tcW w:w="7097" w:type="dxa"/>
            <w:gridSpan w:val="2"/>
            <w:tcBorders/>
            <w:vAlign w:val="center"/>
          </w:tcPr>
          <w:p>
            <w:pPr>
              <w:pStyle w:val="TableContents"/>
              <w:bidi w:val="0"/>
              <w:spacing w:before="0" w:after="0"/>
              <w:ind w:left="0" w:right="0" w:hanging="0"/>
              <w:jc w:val="left"/>
              <w:rPr/>
            </w:pPr>
            <w:r>
              <w:rPr/>
              <w:t> </w:t>
            </w:r>
          </w:p>
        </w:tc>
      </w:tr>
      <w:tr>
        <w:trPr/>
        <w:tc>
          <w:tcPr>
            <w:tcW w:w="16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7, 2025</w:t>
            </w:r>
          </w:p>
        </w:tc>
        <w:tc>
          <w:tcPr>
            <w:tcW w:w="26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6691"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David DeStefano</w:t>
            </w:r>
          </w:p>
        </w:tc>
      </w:tr>
      <w:tr>
        <w:trPr/>
        <w:tc>
          <w:tcPr>
            <w:tcW w:w="1636"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 </w:t>
            </w:r>
          </w:p>
        </w:tc>
        <w:tc>
          <w:tcPr>
            <w:tcW w:w="66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David DeStefano</w:t>
            </w:r>
          </w:p>
        </w:tc>
      </w:tr>
      <w:tr>
        <w:trPr/>
        <w:tc>
          <w:tcPr>
            <w:tcW w:w="1636"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 </w:t>
            </w:r>
          </w:p>
        </w:tc>
        <w:tc>
          <w:tcPr>
            <w:tcW w:w="669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President, Chief Executive Officer and Chairperson (principal executive officer)</w:t>
            </w:r>
          </w:p>
        </w:tc>
      </w:tr>
      <w:tr>
        <w:trPr/>
        <w:tc>
          <w:tcPr>
            <w:tcW w:w="1636"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w:t>
            </w:r>
          </w:p>
        </w:tc>
        <w:tc>
          <w:tcPr>
            <w:tcW w:w="7097" w:type="dxa"/>
            <w:gridSpan w:val="2"/>
            <w:tcBorders/>
            <w:vAlign w:val="center"/>
          </w:tcPr>
          <w:p>
            <w:pPr>
              <w:pStyle w:val="TableContents"/>
              <w:bidi w:val="0"/>
              <w:spacing w:before="0" w:after="0"/>
              <w:ind w:left="0" w:right="0" w:hanging="0"/>
              <w:jc w:val="left"/>
              <w:rPr/>
            </w:pPr>
            <w:r>
              <w:rPr/>
              <w:t> </w:t>
            </w:r>
          </w:p>
        </w:tc>
      </w:tr>
      <w:tr>
        <w:trPr/>
        <w:tc>
          <w:tcPr>
            <w:tcW w:w="16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7, 2025</w:t>
            </w:r>
          </w:p>
        </w:tc>
        <w:tc>
          <w:tcPr>
            <w:tcW w:w="26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6691"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John Schwab</w:t>
            </w:r>
          </w:p>
        </w:tc>
      </w:tr>
      <w:tr>
        <w:trPr/>
        <w:tc>
          <w:tcPr>
            <w:tcW w:w="1636"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 </w:t>
            </w:r>
          </w:p>
        </w:tc>
        <w:tc>
          <w:tcPr>
            <w:tcW w:w="66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John Schwab</w:t>
            </w:r>
          </w:p>
        </w:tc>
      </w:tr>
      <w:tr>
        <w:trPr/>
        <w:tc>
          <w:tcPr>
            <w:tcW w:w="1636"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 </w:t>
            </w:r>
          </w:p>
        </w:tc>
        <w:tc>
          <w:tcPr>
            <w:tcW w:w="669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Chief Financial Officer (principal financial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TextBody"/>
        <w:bidi w:val="0"/>
        <w:spacing w:before="0" w:after="0"/>
        <w:ind w:left="0" w:right="0" w:hanging="0"/>
        <w:jc w:val="right"/>
        <w:rPr>
          <w:rFonts w:ascii="Times New Roman;Times;serif" w:hAnsi="Times New Roman;Times;serif"/>
          <w:b/>
          <w:sz w:val="20"/>
        </w:rPr>
      </w:pPr>
      <w:bookmarkStart w:id="1394" w:name="verx-20250331xex31d1.htm"/>
      <w:bookmarkStart w:id="1395" w:name="ksverx20250331xex31d1"/>
      <w:bookmarkEnd w:id="1394"/>
      <w:bookmarkEnd w:id="1395"/>
      <w:r>
        <w:rPr>
          <w:rFonts w:ascii="Times New Roman;Times;serif" w:hAnsi="Times New Roman;Times;serif"/>
          <w:b/>
          <w:sz w:val="20"/>
        </w:rPr>
        <w:t>Exhibit 31.1</w:t>
      </w:r>
      <w:r>
        <w:br w:type="page"/>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David DeStefano, certify that:</w:t>
      </w:r>
    </w:p>
    <w:p>
      <w:pPr>
        <w:pStyle w:val="TextBody"/>
        <w:bidi w:val="0"/>
        <w:spacing w:before="0" w:after="0"/>
        <w:ind w:left="0" w:right="0" w:hanging="0"/>
        <w:jc w:val="left"/>
        <w:rPr/>
      </w:pPr>
      <w:r>
        <w:rPr/>
        <w:t>​</w:t>
      </w:r>
    </w:p>
    <w:tbl>
      <w:tblPr>
        <w:tblW w:w="5658" w:type="dxa"/>
        <w:jc w:val="left"/>
        <w:tblInd w:w="0" w:type="dxa"/>
        <w:tblLayout w:type="fixed"/>
        <w:tblCellMar>
          <w:top w:w="0" w:type="dxa"/>
          <w:left w:w="0" w:type="dxa"/>
          <w:bottom w:w="0" w:type="dxa"/>
          <w:right w:w="0" w:type="dxa"/>
        </w:tblCellMar>
      </w:tblPr>
      <w:tblGrid>
        <w:gridCol w:w="23"/>
        <w:gridCol w:w="170"/>
        <w:gridCol w:w="54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w:t>
            </w:r>
          </w:p>
        </w:tc>
        <w:tc>
          <w:tcPr>
            <w:tcW w:w="546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 have reviewed this Quarterly Report on Form 10-Q of Vertex, Inc.;</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1"/>
        <w:gridCol w:w="10041"/>
      </w:tblGrid>
      <w:tr>
        <w:trPr/>
        <w:tc>
          <w:tcPr>
            <w:tcW w:w="2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4.</w:t>
            </w:r>
          </w:p>
        </w:tc>
        <w:tc>
          <w:tcPr>
            <w:tcW w:w="1004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tc>
      </w:tr>
    </w:tbl>
    <w:p>
      <w:pPr>
        <w:pStyle w:val="TextBody"/>
        <w:pBdr/>
        <w:bidi w:val="0"/>
        <w:spacing w:before="0" w:after="0"/>
        <w:ind w:left="1080" w:right="0" w:hanging="360"/>
        <w:jc w:val="both"/>
        <w:rPr/>
      </w:pPr>
      <w:r>
        <w:rPr/>
        <w:t>​</w:t>
      </w:r>
    </w:p>
    <w:p>
      <w:pPr>
        <w:pStyle w:val="TextBody"/>
        <w:pBdr/>
        <w:bidi w:val="0"/>
        <w:spacing w:before="0" w:after="0"/>
        <w:ind w:left="1080" w:right="0" w:hanging="360"/>
        <w:jc w:val="both"/>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5.</w:t>
            </w:r>
          </w:p>
        </w:tc>
        <w:tc>
          <w:tcPr>
            <w:tcW w:w="1003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pPr>
      <w:r>
        <w:rPr/>
        <w:t>​</w:t>
      </w:r>
    </w:p>
    <w:tbl>
      <w:tblPr>
        <w:tblW w:w="4066" w:type="dxa"/>
        <w:jc w:val="left"/>
        <w:tblInd w:w="0" w:type="dxa"/>
        <w:tblLayout w:type="fixed"/>
        <w:tblCellMar>
          <w:top w:w="0" w:type="dxa"/>
          <w:left w:w="0" w:type="dxa"/>
          <w:bottom w:w="0" w:type="dxa"/>
          <w:right w:w="0" w:type="dxa"/>
        </w:tblCellMar>
      </w:tblPr>
      <w:tblGrid>
        <w:gridCol w:w="1636"/>
        <w:gridCol w:w="453"/>
        <w:gridCol w:w="1977"/>
      </w:tblGrid>
      <w:tr>
        <w:trPr/>
        <w:tc>
          <w:tcPr>
            <w:tcW w:w="16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7, 2025</w:t>
            </w:r>
          </w:p>
        </w:tc>
        <w:tc>
          <w:tcPr>
            <w:tcW w:w="45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977"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David DeStefano</w:t>
            </w:r>
          </w:p>
        </w:tc>
      </w:tr>
      <w:tr>
        <w:trPr/>
        <w:tc>
          <w:tcPr>
            <w:tcW w:w="1636" w:type="dxa"/>
            <w:tcBorders/>
            <w:vAlign w:val="center"/>
          </w:tcPr>
          <w:p>
            <w:pPr>
              <w:pStyle w:val="TableContents"/>
              <w:bidi w:val="0"/>
              <w:spacing w:before="0" w:after="0"/>
              <w:ind w:left="0" w:right="0" w:hanging="0"/>
              <w:jc w:val="left"/>
              <w:rPr/>
            </w:pPr>
            <w:r>
              <w:rPr/>
              <w:t> </w:t>
            </w:r>
          </w:p>
        </w:tc>
        <w:tc>
          <w:tcPr>
            <w:tcW w:w="243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David DeStefano</w:t>
            </w:r>
          </w:p>
        </w:tc>
      </w:tr>
      <w:tr>
        <w:trPr/>
        <w:tc>
          <w:tcPr>
            <w:tcW w:w="1636" w:type="dxa"/>
            <w:tcBorders/>
            <w:vAlign w:val="center"/>
          </w:tcPr>
          <w:p>
            <w:pPr>
              <w:pStyle w:val="TableContents"/>
              <w:bidi w:val="0"/>
              <w:spacing w:before="0" w:after="0"/>
              <w:ind w:left="0" w:right="0" w:hanging="0"/>
              <w:jc w:val="left"/>
              <w:rPr/>
            </w:pPr>
            <w:r>
              <w:rPr/>
              <w:t> </w:t>
            </w:r>
          </w:p>
        </w:tc>
        <w:tc>
          <w:tcPr>
            <w:tcW w:w="243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Chief Executive Officer </w:t>
              <w:br/>
            </w:r>
            <w:r>
              <w:rPr>
                <w:rFonts w:ascii="Times New Roman;Times;serif" w:hAnsi="Times New Roman;Times;serif"/>
                <w:i/>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396" w:name="verx-20250331xex31d2.htm"/>
      <w:bookmarkStart w:id="1397" w:name="ksverx20250331xex31d2"/>
      <w:bookmarkEnd w:id="1396"/>
      <w:bookmarkEnd w:id="1397"/>
      <w:r>
        <w:rPr>
          <w:rFonts w:ascii="Times New Roman;Times;serif" w:hAnsi="Times New Roman;Times;serif"/>
          <w:b/>
          <w:sz w:val="20"/>
        </w:rPr>
        <w:t>Exhibit 31.2</w:t>
      </w:r>
      <w:r>
        <w:br w:type="page"/>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John Schwab, certify that:</w:t>
      </w:r>
    </w:p>
    <w:p>
      <w:pPr>
        <w:pStyle w:val="TextBody"/>
        <w:bidi w:val="0"/>
        <w:spacing w:before="0" w:after="0"/>
        <w:ind w:left="0" w:right="0" w:hanging="0"/>
        <w:jc w:val="left"/>
        <w:rPr/>
      </w:pPr>
      <w:r>
        <w:rPr/>
        <w:t>​</w:t>
      </w:r>
    </w:p>
    <w:tbl>
      <w:tblPr>
        <w:tblW w:w="5658" w:type="dxa"/>
        <w:jc w:val="left"/>
        <w:tblInd w:w="0" w:type="dxa"/>
        <w:tblLayout w:type="fixed"/>
        <w:tblCellMar>
          <w:top w:w="0" w:type="dxa"/>
          <w:left w:w="0" w:type="dxa"/>
          <w:bottom w:w="0" w:type="dxa"/>
          <w:right w:w="0" w:type="dxa"/>
        </w:tblCellMar>
      </w:tblPr>
      <w:tblGrid>
        <w:gridCol w:w="23"/>
        <w:gridCol w:w="170"/>
        <w:gridCol w:w="54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w:t>
            </w:r>
          </w:p>
        </w:tc>
        <w:tc>
          <w:tcPr>
            <w:tcW w:w="546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 have reviewed this Quarterly Report on Form 10-Q of Vertex, Inc.;</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1"/>
        <w:gridCol w:w="10041"/>
      </w:tblGrid>
      <w:tr>
        <w:trPr/>
        <w:tc>
          <w:tcPr>
            <w:tcW w:w="2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4.</w:t>
            </w:r>
          </w:p>
        </w:tc>
        <w:tc>
          <w:tcPr>
            <w:tcW w:w="1004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tc>
      </w:tr>
    </w:tbl>
    <w:p>
      <w:pPr>
        <w:pStyle w:val="TextBody"/>
        <w:bidi w:val="0"/>
        <w:spacing w:before="0" w:after="0"/>
        <w:ind w:left="144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5.</w:t>
            </w:r>
          </w:p>
        </w:tc>
        <w:tc>
          <w:tcPr>
            <w:tcW w:w="1003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pPr>
      <w:r>
        <w:rPr/>
        <w:t>​</w:t>
      </w:r>
    </w:p>
    <w:tbl>
      <w:tblPr>
        <w:tblW w:w="4051" w:type="dxa"/>
        <w:jc w:val="center"/>
        <w:tblInd w:w="0" w:type="dxa"/>
        <w:tblLayout w:type="fixed"/>
        <w:tblCellMar>
          <w:top w:w="0" w:type="dxa"/>
          <w:left w:w="0" w:type="dxa"/>
          <w:bottom w:w="0" w:type="dxa"/>
          <w:right w:w="0" w:type="dxa"/>
        </w:tblCellMar>
      </w:tblPr>
      <w:tblGrid>
        <w:gridCol w:w="1636"/>
        <w:gridCol w:w="526"/>
        <w:gridCol w:w="1889"/>
      </w:tblGrid>
      <w:tr>
        <w:trPr/>
        <w:tc>
          <w:tcPr>
            <w:tcW w:w="16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0">
                      <wp:simplePos x="0" y="0"/>
                      <wp:positionH relativeFrom="character">
                        <wp:align>left</wp:align>
                      </wp:positionH>
                      <wp:positionV relativeFrom="line">
                        <wp:posOffset>635</wp:posOffset>
                      </wp:positionV>
                      <wp:extent cx="1038860" cy="29210"/>
                      <wp:effectExtent l="0" t="0" r="0" b="0"/>
                      <wp:wrapNone/>
                      <wp:docPr id="549" name="Frame549"/>
                      <a:graphic xmlns:a="http://schemas.openxmlformats.org/drawingml/2006/main">
                        <a:graphicData uri="http://schemas.microsoft.com/office/word/2010/wordprocessingShape">
                          <wps:wsp>
                            <wps:cNvSpPr txBox="1"/>
                            <wps:spPr>
                              <a:xfrm>
                                <a:off x="0" y="0"/>
                                <a:ext cx="10388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1">
                      <wp:simplePos x="0" y="0"/>
                      <wp:positionH relativeFrom="character">
                        <wp:align>left</wp:align>
                      </wp:positionH>
                      <wp:positionV relativeFrom="line">
                        <wp:posOffset>635</wp:posOffset>
                      </wp:positionV>
                      <wp:extent cx="334010" cy="29210"/>
                      <wp:effectExtent l="0" t="0" r="0" b="0"/>
                      <wp:wrapNone/>
                      <wp:docPr id="550" name="Frame550"/>
                      <a:graphic xmlns:a="http://schemas.openxmlformats.org/drawingml/2006/main">
                        <a:graphicData uri="http://schemas.microsoft.com/office/word/2010/wordprocessingShape">
                          <wps:wsp>
                            <wps:cNvSpPr txBox="1"/>
                            <wps:spPr>
                              <a:xfrm>
                                <a:off x="0" y="0"/>
                                <a:ext cx="3340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8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2">
                      <wp:simplePos x="0" y="0"/>
                      <wp:positionH relativeFrom="character">
                        <wp:align>left</wp:align>
                      </wp:positionH>
                      <wp:positionV relativeFrom="line">
                        <wp:posOffset>635</wp:posOffset>
                      </wp:positionV>
                      <wp:extent cx="1199515" cy="29210"/>
                      <wp:effectExtent l="0" t="0" r="0" b="0"/>
                      <wp:wrapNone/>
                      <wp:docPr id="551" name="Frame551"/>
                      <a:graphic xmlns:a="http://schemas.openxmlformats.org/drawingml/2006/main">
                        <a:graphicData uri="http://schemas.microsoft.com/office/word/2010/wordprocessingShape">
                          <wps:wsp>
                            <wps:cNvSpPr txBox="1"/>
                            <wps:spPr>
                              <a:xfrm>
                                <a:off x="0" y="0"/>
                                <a:ext cx="119951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4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6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7, 2025</w:t>
            </w:r>
          </w:p>
        </w:tc>
        <w:tc>
          <w:tcPr>
            <w:tcW w:w="5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889"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John Schwab</w:t>
            </w:r>
          </w:p>
        </w:tc>
      </w:tr>
      <w:tr>
        <w:trPr/>
        <w:tc>
          <w:tcPr>
            <w:tcW w:w="1636" w:type="dxa"/>
            <w:tcBorders/>
            <w:vAlign w:val="center"/>
          </w:tcPr>
          <w:p>
            <w:pPr>
              <w:pStyle w:val="TableContents"/>
              <w:bidi w:val="0"/>
              <w:spacing w:before="0" w:after="0"/>
              <w:ind w:left="0" w:right="0" w:hanging="0"/>
              <w:jc w:val="left"/>
              <w:rPr/>
            </w:pPr>
            <w:r>
              <w:rPr/>
              <w:t> </w:t>
            </w:r>
          </w:p>
        </w:tc>
        <w:tc>
          <w:tcPr>
            <w:tcW w:w="241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John Schwab</w:t>
            </w:r>
          </w:p>
        </w:tc>
      </w:tr>
      <w:tr>
        <w:trPr/>
        <w:tc>
          <w:tcPr>
            <w:tcW w:w="1636" w:type="dxa"/>
            <w:tcBorders/>
            <w:vAlign w:val="center"/>
          </w:tcPr>
          <w:p>
            <w:pPr>
              <w:pStyle w:val="TableContents"/>
              <w:bidi w:val="0"/>
              <w:spacing w:before="0" w:after="0"/>
              <w:ind w:left="0" w:right="0" w:hanging="0"/>
              <w:jc w:val="left"/>
              <w:rPr/>
            </w:pPr>
            <w:r>
              <w:rPr/>
              <w:t> </w:t>
            </w:r>
          </w:p>
        </w:tc>
        <w:tc>
          <w:tcPr>
            <w:tcW w:w="241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br/>
            </w:r>
            <w:r>
              <w:rPr>
                <w:rFonts w:ascii="Times New Roman;Times;serif" w:hAnsi="Times New Roman;Times;serif"/>
                <w:i/>
                <w:sz w:val="20"/>
              </w:rPr>
              <w:t>(principal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398" w:name="verx-20250331xex32d1.htm"/>
      <w:bookmarkStart w:id="1399" w:name="ksverx20250331xex32d1"/>
      <w:bookmarkEnd w:id="1398"/>
      <w:bookmarkEnd w:id="1399"/>
      <w:r>
        <w:rPr>
          <w:rFonts w:ascii="Times New Roman;Times;serif" w:hAnsi="Times New Roman;Times;serif"/>
          <w:b/>
          <w:sz w:val="20"/>
        </w:rPr>
        <w:t>Exhibit 32.1</w:t>
      </w:r>
      <w:r>
        <w:br w:type="page"/>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 AS ADOPTED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0"/>
        <w:ind w:left="0" w:right="0" w:hanging="0"/>
        <w:jc w:val="center"/>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connection with the Quarterly Report on Form 10-Q of Vertex, Inc. (the “Company”) for the period ended March 31, 2025 as filed with the Securities and Exchange Commission on the date hereof (the “Report”), I certify, pursuant to 18 U.S.C. § 1350, as adopted pursuant to § 906 of the Sarbanes-Oxley Act of 2002, that: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40"/>
        <w:gridCol w:w="9942"/>
      </w:tblGrid>
      <w:tr>
        <w:trPr/>
        <w:tc>
          <w:tcPr>
            <w:tcW w:w="2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w:t>
            </w:r>
          </w:p>
        </w:tc>
        <w:tc>
          <w:tcPr>
            <w:tcW w:w="9942"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as amended; and</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34"/>
        <w:gridCol w:w="9948"/>
      </w:tblGrid>
      <w:tr>
        <w:trPr/>
        <w:tc>
          <w:tcPr>
            <w:tcW w:w="2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(2)</w:t>
            </w:r>
          </w:p>
        </w:tc>
        <w:tc>
          <w:tcPr>
            <w:tcW w:w="9948"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pPr>
      <w:r>
        <w:rPr/>
        <w:t>​</w:t>
      </w:r>
    </w:p>
    <w:tbl>
      <w:tblPr>
        <w:tblW w:w="4066" w:type="dxa"/>
        <w:jc w:val="center"/>
        <w:tblInd w:w="0" w:type="dxa"/>
        <w:tblLayout w:type="fixed"/>
        <w:tblCellMar>
          <w:top w:w="0" w:type="dxa"/>
          <w:left w:w="0" w:type="dxa"/>
          <w:bottom w:w="0" w:type="dxa"/>
          <w:right w:w="0" w:type="dxa"/>
        </w:tblCellMar>
      </w:tblPr>
      <w:tblGrid>
        <w:gridCol w:w="1636"/>
        <w:gridCol w:w="531"/>
        <w:gridCol w:w="1899"/>
      </w:tblGrid>
      <w:tr>
        <w:trPr/>
        <w:tc>
          <w:tcPr>
            <w:tcW w:w="16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3">
                      <wp:simplePos x="0" y="0"/>
                      <wp:positionH relativeFrom="character">
                        <wp:align>left</wp:align>
                      </wp:positionH>
                      <wp:positionV relativeFrom="line">
                        <wp:posOffset>635</wp:posOffset>
                      </wp:positionV>
                      <wp:extent cx="1038860" cy="29210"/>
                      <wp:effectExtent l="0" t="0" r="0" b="0"/>
                      <wp:wrapNone/>
                      <wp:docPr id="552" name="Frame552"/>
                      <a:graphic xmlns:a="http://schemas.openxmlformats.org/drawingml/2006/main">
                        <a:graphicData uri="http://schemas.microsoft.com/office/word/2010/wordprocessingShape">
                          <wps:wsp>
                            <wps:cNvSpPr txBox="1"/>
                            <wps:spPr>
                              <a:xfrm>
                                <a:off x="0" y="0"/>
                                <a:ext cx="10388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5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4">
                      <wp:simplePos x="0" y="0"/>
                      <wp:positionH relativeFrom="character">
                        <wp:align>left</wp:align>
                      </wp:positionH>
                      <wp:positionV relativeFrom="line">
                        <wp:posOffset>635</wp:posOffset>
                      </wp:positionV>
                      <wp:extent cx="337185" cy="29210"/>
                      <wp:effectExtent l="0" t="0" r="0" b="0"/>
                      <wp:wrapNone/>
                      <wp:docPr id="553" name="Frame553"/>
                      <a:graphic xmlns:a="http://schemas.openxmlformats.org/drawingml/2006/main">
                        <a:graphicData uri="http://schemas.microsoft.com/office/word/2010/wordprocessingShape">
                          <wps:wsp>
                            <wps:cNvSpPr txBox="1"/>
                            <wps:spPr>
                              <a:xfrm>
                                <a:off x="0" y="0"/>
                                <a:ext cx="3371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8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5">
                      <wp:simplePos x="0" y="0"/>
                      <wp:positionH relativeFrom="character">
                        <wp:align>left</wp:align>
                      </wp:positionH>
                      <wp:positionV relativeFrom="line">
                        <wp:posOffset>635</wp:posOffset>
                      </wp:positionV>
                      <wp:extent cx="1206500" cy="29210"/>
                      <wp:effectExtent l="0" t="0" r="0" b="0"/>
                      <wp:wrapNone/>
                      <wp:docPr id="554" name="Frame554"/>
                      <a:graphic xmlns:a="http://schemas.openxmlformats.org/drawingml/2006/main">
                        <a:graphicData uri="http://schemas.microsoft.com/office/word/2010/wordprocessingShape">
                          <wps:wsp>
                            <wps:cNvSpPr txBox="1"/>
                            <wps:spPr>
                              <a:xfrm>
                                <a:off x="0" y="0"/>
                                <a:ext cx="120650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6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7, 2025</w:t>
            </w:r>
          </w:p>
        </w:tc>
        <w:tc>
          <w:tcPr>
            <w:tcW w:w="5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w:t>
            </w:r>
          </w:p>
        </w:tc>
        <w:tc>
          <w:tcPr>
            <w:tcW w:w="1899"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David DeStefano</w:t>
            </w:r>
          </w:p>
        </w:tc>
      </w:tr>
      <w:tr>
        <w:trPr/>
        <w:tc>
          <w:tcPr>
            <w:tcW w:w="1636" w:type="dxa"/>
            <w:tcBorders/>
            <w:vAlign w:val="center"/>
          </w:tcPr>
          <w:p>
            <w:pPr>
              <w:pStyle w:val="TableContents"/>
              <w:bidi w:val="0"/>
              <w:spacing w:before="0" w:after="0"/>
              <w:ind w:left="0" w:right="0" w:hanging="0"/>
              <w:jc w:val="left"/>
              <w:rPr/>
            </w:pPr>
            <w:r>
              <w:rPr/>
              <w:t> </w:t>
            </w:r>
          </w:p>
        </w:tc>
        <w:tc>
          <w:tcPr>
            <w:tcW w:w="243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David DeStefano</w:t>
            </w:r>
          </w:p>
        </w:tc>
      </w:tr>
      <w:tr>
        <w:trPr/>
        <w:tc>
          <w:tcPr>
            <w:tcW w:w="1636" w:type="dxa"/>
            <w:tcBorders/>
            <w:vAlign w:val="center"/>
          </w:tcPr>
          <w:p>
            <w:pPr>
              <w:pStyle w:val="TableContents"/>
              <w:bidi w:val="0"/>
              <w:spacing w:before="0" w:after="0"/>
              <w:ind w:left="0" w:right="0" w:hanging="0"/>
              <w:jc w:val="left"/>
              <w:rPr/>
            </w:pPr>
            <w:r>
              <w:rPr/>
              <w:t> </w:t>
            </w:r>
          </w:p>
        </w:tc>
        <w:tc>
          <w:tcPr>
            <w:tcW w:w="243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br/>
            </w:r>
            <w:r>
              <w:rPr>
                <w:rFonts w:ascii="Times New Roman;Times;serif" w:hAnsi="Times New Roman;Times;serif"/>
                <w:i/>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400" w:name="verx-20250331xex32d2.htm"/>
      <w:bookmarkStart w:id="1401" w:name="ksverx20250331xex32d2"/>
      <w:bookmarkEnd w:id="1400"/>
      <w:bookmarkEnd w:id="1401"/>
      <w:r>
        <w:rPr>
          <w:rFonts w:ascii="Times New Roman;Times;serif" w:hAnsi="Times New Roman;Times;serif"/>
          <w:b/>
          <w:sz w:val="20"/>
        </w:rPr>
        <w:t>Exhibit 32.2</w:t>
      </w:r>
      <w:r>
        <w:br w:type="page"/>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 AS ADOPTED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0"/>
        <w:ind w:left="0" w:right="0" w:hanging="0"/>
        <w:jc w:val="center"/>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connection with the Quarterly Report on Form 10-Q of Vertex, Inc. (the “Company”) for the period ended March 31, 2025 as filed with the Securities and Exchange Commission on the date hereof (the “Report”), I certify, pursuant to 18 U.S.C. § 1350, as adopted pursuant to § 906 of the Sarbanes-Oxley Act of 2002, that: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40"/>
        <w:gridCol w:w="9942"/>
      </w:tblGrid>
      <w:tr>
        <w:trPr/>
        <w:tc>
          <w:tcPr>
            <w:tcW w:w="2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w:t>
            </w:r>
          </w:p>
        </w:tc>
        <w:tc>
          <w:tcPr>
            <w:tcW w:w="994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as amended; and</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34"/>
        <w:gridCol w:w="9948"/>
      </w:tblGrid>
      <w:tr>
        <w:trPr/>
        <w:tc>
          <w:tcPr>
            <w:tcW w:w="2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(2)</w:t>
            </w:r>
          </w:p>
        </w:tc>
        <w:tc>
          <w:tcPr>
            <w:tcW w:w="994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both"/>
        <w:rPr/>
      </w:pPr>
      <w:r>
        <w:rPr/>
        <w:t>​</w:t>
      </w:r>
    </w:p>
    <w:tbl>
      <w:tblPr>
        <w:tblW w:w="4051" w:type="dxa"/>
        <w:jc w:val="left"/>
        <w:tblInd w:w="0" w:type="dxa"/>
        <w:tblLayout w:type="fixed"/>
        <w:tblCellMar>
          <w:top w:w="0" w:type="dxa"/>
          <w:left w:w="0" w:type="dxa"/>
          <w:bottom w:w="0" w:type="dxa"/>
          <w:right w:w="0" w:type="dxa"/>
        </w:tblCellMar>
      </w:tblPr>
      <w:tblGrid>
        <w:gridCol w:w="1636"/>
        <w:gridCol w:w="526"/>
        <w:gridCol w:w="1889"/>
      </w:tblGrid>
      <w:tr>
        <w:trPr/>
        <w:tc>
          <w:tcPr>
            <w:tcW w:w="16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6">
                      <wp:simplePos x="0" y="0"/>
                      <wp:positionH relativeFrom="character">
                        <wp:align>left</wp:align>
                      </wp:positionH>
                      <wp:positionV relativeFrom="line">
                        <wp:posOffset>635</wp:posOffset>
                      </wp:positionV>
                      <wp:extent cx="1038860" cy="160655"/>
                      <wp:effectExtent l="0" t="0" r="0" b="0"/>
                      <wp:wrapNone/>
                      <wp:docPr id="555" name="Frame555"/>
                      <a:graphic xmlns:a="http://schemas.openxmlformats.org/drawingml/2006/main">
                        <a:graphicData uri="http://schemas.microsoft.com/office/word/2010/wordprocessingShape">
                          <wps:wsp>
                            <wps:cNvSpPr txBox="1"/>
                            <wps:spPr>
                              <a:xfrm>
                                <a:off x="0" y="0"/>
                                <a:ext cx="1038860" cy="160655"/>
                              </a:xfrm>
                              <a:prstGeom prst="rect"/>
                              <a:solidFill>
                                <a:srgbClr val="FFFFFF"/>
                              </a:solidFill>
                            </wps:spPr>
                            <wps:txbx>
                              <w:txbxContent>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ov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8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ov</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7">
                      <wp:simplePos x="0" y="0"/>
                      <wp:positionH relativeFrom="character">
                        <wp:align>left</wp:align>
                      </wp:positionH>
                      <wp:positionV relativeFrom="line">
                        <wp:posOffset>635</wp:posOffset>
                      </wp:positionV>
                      <wp:extent cx="334010" cy="29210"/>
                      <wp:effectExtent l="0" t="0" r="0" b="0"/>
                      <wp:wrapNone/>
                      <wp:docPr id="556" name="Frame556"/>
                      <a:graphic xmlns:a="http://schemas.openxmlformats.org/drawingml/2006/main">
                        <a:graphicData uri="http://schemas.microsoft.com/office/word/2010/wordprocessingShape">
                          <wps:wsp>
                            <wps:cNvSpPr txBox="1"/>
                            <wps:spPr>
                              <a:xfrm>
                                <a:off x="0" y="0"/>
                                <a:ext cx="3340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8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8">
                      <wp:simplePos x="0" y="0"/>
                      <wp:positionH relativeFrom="character">
                        <wp:align>left</wp:align>
                      </wp:positionH>
                      <wp:positionV relativeFrom="line">
                        <wp:posOffset>635</wp:posOffset>
                      </wp:positionV>
                      <wp:extent cx="1199515" cy="29210"/>
                      <wp:effectExtent l="0" t="0" r="0" b="0"/>
                      <wp:wrapNone/>
                      <wp:docPr id="557" name="Frame557"/>
                      <a:graphic xmlns:a="http://schemas.openxmlformats.org/drawingml/2006/main">
                        <a:graphicData uri="http://schemas.microsoft.com/office/word/2010/wordprocessingShape">
                          <wps:wsp>
                            <wps:cNvSpPr txBox="1"/>
                            <wps:spPr>
                              <a:xfrm>
                                <a:off x="0" y="0"/>
                                <a:ext cx="119951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4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6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7, 2025</w:t>
            </w:r>
          </w:p>
        </w:tc>
        <w:tc>
          <w:tcPr>
            <w:tcW w:w="5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889"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John Schwab</w:t>
            </w:r>
          </w:p>
        </w:tc>
      </w:tr>
      <w:tr>
        <w:trPr/>
        <w:tc>
          <w:tcPr>
            <w:tcW w:w="1636" w:type="dxa"/>
            <w:tcBorders/>
            <w:vAlign w:val="center"/>
          </w:tcPr>
          <w:p>
            <w:pPr>
              <w:pStyle w:val="TableContents"/>
              <w:bidi w:val="0"/>
              <w:spacing w:before="0" w:after="0"/>
              <w:ind w:left="0" w:right="0" w:hanging="0"/>
              <w:jc w:val="left"/>
              <w:rPr/>
            </w:pPr>
            <w:r>
              <w:rPr/>
              <w:t> </w:t>
            </w:r>
          </w:p>
        </w:tc>
        <w:tc>
          <w:tcPr>
            <w:tcW w:w="241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John Schwab</w:t>
            </w:r>
          </w:p>
        </w:tc>
      </w:tr>
      <w:tr>
        <w:trPr/>
        <w:tc>
          <w:tcPr>
            <w:tcW w:w="1636" w:type="dxa"/>
            <w:tcBorders/>
            <w:vAlign w:val="center"/>
          </w:tcPr>
          <w:p>
            <w:pPr>
              <w:pStyle w:val="TableContents"/>
              <w:bidi w:val="0"/>
              <w:spacing w:before="0" w:after="0"/>
              <w:ind w:left="0" w:right="0" w:hanging="0"/>
              <w:jc w:val="left"/>
              <w:rPr/>
            </w:pPr>
            <w:r>
              <w:rPr/>
              <w:t> </w:t>
            </w:r>
          </w:p>
        </w:tc>
        <w:tc>
          <w:tcPr>
            <w:tcW w:w="241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br/>
            </w:r>
            <w:r>
              <w:rPr>
                <w:rFonts w:ascii="Times New Roman;Times;serif" w:hAnsi="Times New Roman;Times;serif"/>
                <w:i/>
                <w:sz w:val="20"/>
              </w:rPr>
              <w:t>(principal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24015</Words>
  <Characters>137179</Characters>
  <CharactersWithSpaces>163508</CharactersWithSpaces>
  <Paragraphs>7973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