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verx-20260331x10q.htm"/>
        <w:bookmarkStart w:id="1" w:name="ksverx2026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0"/>
        <w:ind w:left="0" w:right="0" w:hanging="0"/>
        <w:jc w:val="center"/>
        <w:rPr>
          <w:rFonts w:ascii="Times New Roman;Times;serif" w:hAnsi="Times New Roman;Times;serif"/>
          <w:sz w:val="2"/>
        </w:rPr>
      </w:pPr>
      <w:r>
        <w:rPr>
          <w:rFonts w:ascii="Times New Roman;Times;serif" w:hAnsi="Times New Roman;Times;serif"/>
          <w:sz w:val="2"/>
        </w:rPr>
        <w:t>v</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34"/>
        </w:rPr>
      </w:pPr>
      <w:bookmarkStart w:id="2" w:name="_8fcab73f_7cd9_4a77_82c6_90bf111d9120"/>
      <w:bookmarkEnd w:id="2"/>
      <w:r>
        <w:rPr>
          <w:rFonts w:ascii="Times New Roman;Times;serif" w:hAnsi="Times New Roman;Times;serif"/>
          <w:b/>
          <w:sz w:val="34"/>
        </w:rPr>
        <w:t>UNITED STATES</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SECURITIES AND EXCHANGE COMMISSION</w:t>
      </w:r>
    </w:p>
    <w:p>
      <w:pPr>
        <w:pStyle w:val="TextBody"/>
        <w:bidi w:val="0"/>
        <w:spacing w:before="0" w:after="80"/>
        <w:ind w:left="0" w:right="0" w:hanging="0"/>
        <w:jc w:val="center"/>
        <w:rPr>
          <w:rFonts w:ascii="Times New Roman;Times;serif" w:hAnsi="Times New Roman;Times;serif"/>
          <w:b/>
          <w:sz w:val="22"/>
        </w:rPr>
      </w:pPr>
      <w:r>
        <w:rPr>
          <w:rFonts w:ascii="Times New Roman;Times;serif" w:hAnsi="Times New Roman;Times;serif"/>
          <w:b/>
          <w:sz w:val="22"/>
        </w:rPr>
        <w:t>WASHINGTON, DC 20549</w:t>
      </w:r>
    </w:p>
    <w:p>
      <w:pPr>
        <w:pStyle w:val="TextBody"/>
        <w:bidi w:val="0"/>
        <w:spacing w:before="0" w:after="80"/>
        <w:ind w:left="0" w:right="0" w:hanging="0"/>
        <w:jc w:val="center"/>
        <w:rPr>
          <w:rFonts w:ascii="Times New Roman;Times;serif" w:hAnsi="Times New Roman;Times;serif"/>
          <w:b/>
          <w:sz w:val="34"/>
        </w:rPr>
      </w:pPr>
      <w:r>
        <w:rPr>
          <w:rFonts w:ascii="Times New Roman;Times;serif" w:hAnsi="Times New Roman;Times;serif"/>
          <w:b/>
          <w:sz w:val="34"/>
        </w:rPr>
        <w:t>FORM 10-Q</w:t>
      </w:r>
    </w:p>
    <w:p>
      <w:pPr>
        <w:pStyle w:val="TextBody"/>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(Mark One)</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 w:name="Tc_F1sVZWeefEqNBzaxZIOkpQ_1_2"/>
      <w:bookmarkStart w:id="4" w:name="_bf128692_be5f_4c23_8561_ac62219be472"/>
      <w:bookmarkStart w:id="5" w:name="Tc_F1sVZWeefEqNBzaxZIOkpQ_1_2"/>
      <w:bookmarkStart w:id="6" w:name="_bf128692_be5f_4c23_8561_ac62219be472"/>
      <w:bookmarkEnd w:id="5"/>
      <w:bookmarkEnd w:id="6"/>
    </w:p>
    <w:tbl>
      <w:tblPr>
        <w:tblW w:w="10205" w:type="dxa"/>
        <w:jc w:val="left"/>
        <w:tblInd w:w="0" w:type="dxa"/>
        <w:tblLayout w:type="fixed"/>
        <w:tblCellMar>
          <w:top w:w="0" w:type="dxa"/>
          <w:left w:w="0" w:type="dxa"/>
          <w:bottom w:w="0" w:type="dxa"/>
          <w:right w:w="0" w:type="dxa"/>
        </w:tblCellMar>
      </w:tblPr>
      <w:tblGrid>
        <w:gridCol w:w="331"/>
        <w:gridCol w:w="346"/>
        <w:gridCol w:w="9528"/>
      </w:tblGrid>
      <w:tr>
        <w:trPr/>
        <w:tc>
          <w:tcPr>
            <w:tcW w:w="3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528"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  ​ ​ ​</w:t>
            </w:r>
          </w:p>
        </w:tc>
        <w:tc>
          <w:tcPr>
            <w:tcW w:w="9528" w:type="dxa"/>
            <w:tcBorders/>
            <w:vAlign w:val="center"/>
          </w:tcPr>
          <w:p>
            <w:pPr>
              <w:pStyle w:val="TableContents"/>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80"/>
        <w:ind w:left="0" w:right="0" w:hanging="0"/>
        <w:jc w:val="center"/>
        <w:rPr>
          <w:rFonts w:ascii="Times New Roman;Times;serif" w:hAnsi="Times New Roman;Times;serif"/>
          <w:b/>
          <w:sz w:val="18"/>
        </w:rPr>
      </w:pPr>
      <w:r>
        <w:rPr>
          <w:rFonts w:ascii="Times New Roman;Times;serif" w:hAnsi="Times New Roman;Times;serif"/>
          <w:b/>
          <w:sz w:val="18"/>
        </w:rPr>
        <w:t>For the quarterly period ended March 31, 2026</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OR</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7" w:name="Tc_ekFF2f0JxkS9CpWVBC5f2A_1_2"/>
      <w:bookmarkStart w:id="8" w:name="_fcfd63c3_2698_4c49_b53c_deb29d8f9193"/>
      <w:bookmarkStart w:id="9" w:name="Tc_ekFF2f0JxkS9CpWVBC5f2A_1_2"/>
      <w:bookmarkStart w:id="10" w:name="_fcfd63c3_2698_4c49_b53c_deb29d8f9193"/>
      <w:bookmarkEnd w:id="9"/>
      <w:bookmarkEnd w:id="10"/>
    </w:p>
    <w:tbl>
      <w:tblPr>
        <w:tblW w:w="10205" w:type="dxa"/>
        <w:jc w:val="left"/>
        <w:tblInd w:w="0" w:type="dxa"/>
        <w:tblLayout w:type="fixed"/>
        <w:tblCellMar>
          <w:top w:w="0" w:type="dxa"/>
          <w:left w:w="0" w:type="dxa"/>
          <w:bottom w:w="0" w:type="dxa"/>
          <w:right w:w="0" w:type="dxa"/>
        </w:tblCellMar>
      </w:tblPr>
      <w:tblGrid>
        <w:gridCol w:w="331"/>
        <w:gridCol w:w="346"/>
        <w:gridCol w:w="9528"/>
      </w:tblGrid>
      <w:tr>
        <w:trPr/>
        <w:tc>
          <w:tcPr>
            <w:tcW w:w="3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528"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  ​ ​ ​</w:t>
            </w:r>
          </w:p>
        </w:tc>
        <w:tc>
          <w:tcPr>
            <w:tcW w:w="9528" w:type="dxa"/>
            <w:tcBorders/>
            <w:vAlign w:val="center"/>
          </w:tcPr>
          <w:p>
            <w:pPr>
              <w:pStyle w:val="TableContents"/>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80"/>
        <w:ind w:left="0" w:right="0" w:hanging="0"/>
        <w:jc w:val="center"/>
        <w:rPr>
          <w:rFonts w:ascii="Times New Roman;Times;serif" w:hAnsi="Times New Roman;Times;serif"/>
          <w:b/>
          <w:sz w:val="18"/>
        </w:rPr>
      </w:pPr>
      <w:r>
        <w:rPr>
          <w:rFonts w:ascii="Times New Roman;Times;serif" w:hAnsi="Times New Roman;Times;serif"/>
          <w:b/>
          <w:sz w:val="18"/>
        </w:rPr>
        <w:t>For the transition period from ________ to ________</w:t>
      </w:r>
    </w:p>
    <w:p>
      <w:pPr>
        <w:pStyle w:val="TextBody"/>
        <w:bidi w:val="0"/>
        <w:spacing w:before="0" w:after="80"/>
        <w:ind w:left="0" w:right="0" w:hanging="0"/>
        <w:jc w:val="center"/>
        <w:rPr>
          <w:rFonts w:ascii="Times New Roman;Times;serif" w:hAnsi="Times New Roman;Times;serif"/>
          <w:b/>
          <w:sz w:val="18"/>
        </w:rPr>
      </w:pPr>
      <w:r>
        <w:rPr>
          <w:rFonts w:ascii="Times New Roman;Times;serif" w:hAnsi="Times New Roman;Times;serif"/>
          <w:b/>
          <w:sz w:val="18"/>
        </w:rPr>
        <w:t>Commission File Number: 001-39413</w:t>
      </w:r>
    </w:p>
    <w:p>
      <w:pPr>
        <w:pStyle w:val="TextBody"/>
        <w:bidi w:val="0"/>
        <w:spacing w:before="0" w:after="0"/>
        <w:ind w:left="0" w:right="0" w:hanging="0"/>
        <w:jc w:val="center"/>
        <w:rPr>
          <w:rFonts w:ascii="Times New Roman;Times;serif" w:hAnsi="Times New Roman;Times;serif"/>
          <w:b/>
          <w:i w:val="false"/>
          <w:caps w:val="false"/>
          <w:smallCaps w:val="false"/>
          <w:sz w:val="46"/>
        </w:rPr>
      </w:pPr>
      <w:r>
        <w:rPr>
          <w:rFonts w:ascii="Times New Roman;Times;serif" w:hAnsi="Times New Roman;Times;serif"/>
          <w:b/>
          <w:i w:val="false"/>
          <w:caps w:val="false"/>
          <w:smallCaps w:val="false"/>
          <w:sz w:val="46"/>
        </w:rPr>
        <w:t>VERTEX, INC.</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(Exact Name of Registrant as Specified in its Charter)</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1" w:name="Tc_s-GVSr2plEC-oNq4F8sPLQ_5_4"/>
      <w:bookmarkStart w:id="12" w:name="Tc_LUZBUZDE9k-dlnAkjYixOQ_5_0"/>
      <w:bookmarkStart w:id="13" w:name="Tc_-hX9mzv-PUCY2Y4l6721Jw_4_4"/>
      <w:bookmarkStart w:id="14" w:name="Tc_Nw9UgQQVrEeRBr1tffR_eg_4_0"/>
      <w:bookmarkStart w:id="15" w:name="Tc_Auozkov5KEiXyaTnsdnKoA_2_4"/>
      <w:bookmarkStart w:id="16" w:name="Tc_PSEi0tr_UkK_LXZvY2uc6A_2_0"/>
      <w:bookmarkStart w:id="17" w:name="_b80f365e_57d5_4c51_95d7_52d4c2e246ab"/>
      <w:bookmarkStart w:id="18" w:name="Tc_s-GVSr2plEC-oNq4F8sPLQ_5_4"/>
      <w:bookmarkStart w:id="19" w:name="Tc_LUZBUZDE9k-dlnAkjYixOQ_5_0"/>
      <w:bookmarkStart w:id="20" w:name="Tc_-hX9mzv-PUCY2Y4l6721Jw_4_4"/>
      <w:bookmarkStart w:id="21" w:name="Tc_Nw9UgQQVrEeRBr1tffR_eg_4_0"/>
      <w:bookmarkStart w:id="22" w:name="Tc_Auozkov5KEiXyaTnsdnKoA_2_4"/>
      <w:bookmarkStart w:id="23" w:name="Tc_PSEi0tr_UkK_LXZvY2uc6A_2_0"/>
      <w:bookmarkStart w:id="24" w:name="_b80f365e_57d5_4c51_95d7_52d4c2e246ab"/>
      <w:bookmarkEnd w:id="18"/>
      <w:bookmarkEnd w:id="19"/>
      <w:bookmarkEnd w:id="20"/>
      <w:bookmarkEnd w:id="21"/>
      <w:bookmarkEnd w:id="22"/>
      <w:bookmarkEnd w:id="23"/>
      <w:bookmarkEnd w:id="24"/>
    </w:p>
    <w:tbl>
      <w:tblPr>
        <w:tblW w:w="4545" w:type="dxa"/>
        <w:jc w:val="left"/>
        <w:tblInd w:w="0" w:type="dxa"/>
        <w:tblLayout w:type="fixed"/>
        <w:tblCellMar>
          <w:top w:w="0" w:type="dxa"/>
          <w:left w:w="0" w:type="dxa"/>
          <w:bottom w:w="0" w:type="dxa"/>
          <w:right w:w="0" w:type="dxa"/>
        </w:tblCellMar>
      </w:tblPr>
      <w:tblGrid>
        <w:gridCol w:w="2461"/>
        <w:gridCol w:w="346"/>
        <w:gridCol w:w="146"/>
        <w:gridCol w:w="346"/>
        <w:gridCol w:w="1246"/>
      </w:tblGrid>
      <w:tr>
        <w:trPr/>
        <w:tc>
          <w:tcPr>
            <w:tcW w:w="24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left"/>
              <w:rPr/>
            </w:pPr>
            <w:r>
              <w:rPr/>
              <w:t>​</w:t>
            </w:r>
          </w:p>
        </w:tc>
      </w:tr>
      <w:tr>
        <w:trPr/>
        <w:tc>
          <w:tcPr>
            <w:tcW w:w="24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Delaware</w:t>
            </w:r>
          </w:p>
        </w:tc>
        <w:tc>
          <w:tcPr>
            <w:tcW w:w="346" w:type="dxa"/>
            <w:tcBorders/>
            <w:vAlign w:val="center"/>
          </w:tcPr>
          <w:p>
            <w:pPr>
              <w:pStyle w:val="TableContents"/>
              <w:bidi w:val="0"/>
              <w:spacing w:before="0" w:after="0"/>
              <w:ind w:left="0" w:right="0" w:hanging="0"/>
              <w:jc w:val="both"/>
              <w:rPr/>
            </w:pPr>
            <w:r>
              <w:rPr/>
              <w:t>  ​ ​ ​</w:t>
            </w:r>
          </w:p>
        </w:tc>
        <w:tc>
          <w:tcPr>
            <w:tcW w:w="14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both"/>
              <w:rPr/>
            </w:pPr>
            <w:r>
              <w:rPr/>
              <w:t>  ​ ​ ​</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23-2081753</w:t>
            </w:r>
          </w:p>
        </w:tc>
      </w:tr>
      <w:tr>
        <w:trPr/>
        <w:tc>
          <w:tcPr>
            <w:tcW w:w="246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(State or other jurisdiction of</w:t>
            </w:r>
          </w:p>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incorporation or organization)</w:t>
            </w:r>
          </w:p>
        </w:tc>
        <w:tc>
          <w:tcPr>
            <w:tcW w:w="346" w:type="dxa"/>
            <w:tcBorders/>
            <w:vAlign w:val="center"/>
          </w:tcPr>
          <w:p>
            <w:pPr>
              <w:pStyle w:val="TableContents"/>
              <w:bidi w:val="0"/>
              <w:spacing w:before="0" w:after="240"/>
              <w:ind w:left="0" w:right="0" w:hanging="0"/>
              <w:jc w:val="both"/>
              <w:rPr/>
            </w:pPr>
            <w:r>
              <w:rPr/>
              <w:t>​</w:t>
            </w:r>
          </w:p>
        </w:tc>
        <w:tc>
          <w:tcPr>
            <w:tcW w:w="14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240"/>
              <w:ind w:left="0" w:right="0" w:hanging="0"/>
              <w:jc w:val="both"/>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(I.R.S. Employer</w:t>
            </w:r>
          </w:p>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Identification No.)</w:t>
            </w:r>
          </w:p>
        </w:tc>
      </w:tr>
      <w:tr>
        <w:trPr/>
        <w:tc>
          <w:tcPr>
            <w:tcW w:w="246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240"/>
              <w:ind w:left="0" w:right="0" w:hanging="0"/>
              <w:jc w:val="both"/>
              <w:rPr/>
            </w:pPr>
            <w:r>
              <w:rPr/>
              <w:t>​</w:t>
            </w:r>
          </w:p>
        </w:tc>
        <w:tc>
          <w:tcPr>
            <w:tcW w:w="14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240"/>
              <w:ind w:left="0" w:right="0" w:hanging="0"/>
              <w:jc w:val="both"/>
              <w:rPr/>
            </w:pPr>
            <w:r>
              <w:rPr/>
              <w:t>​</w:t>
            </w:r>
          </w:p>
        </w:tc>
        <w:tc>
          <w:tcPr>
            <w:tcW w:w="1246" w:type="dxa"/>
            <w:tcBorders/>
            <w:vAlign w:val="center"/>
          </w:tcPr>
          <w:p>
            <w:pPr>
              <w:pStyle w:val="TableContents"/>
              <w:bidi w:val="0"/>
              <w:spacing w:before="0" w:after="0"/>
              <w:ind w:left="0" w:right="0" w:hanging="0"/>
              <w:jc w:val="center"/>
              <w:rPr/>
            </w:pPr>
            <w:r>
              <w:rPr/>
              <w:t> </w:t>
            </w:r>
          </w:p>
        </w:tc>
      </w:tr>
      <w:tr>
        <w:trPr/>
        <w:tc>
          <w:tcPr>
            <w:tcW w:w="24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2301 Renaissance Blvd</w:t>
            </w:r>
            <w:r>
              <w:rPr>
                <w:rFonts w:ascii="Times New Roman;Times;serif" w:hAnsi="Times New Roman;Times;serif"/>
                <w:sz w:val="18"/>
              </w:rPr>
              <w:br/>
            </w:r>
            <w:r>
              <w:rPr>
                <w:rFonts w:ascii="Times New Roman;Times;serif" w:hAnsi="Times New Roman;Times;serif"/>
                <w:b/>
                <w:sz w:val="18"/>
              </w:rPr>
              <w:t>King of Prussia, Pennsylvania</w:t>
            </w:r>
            <w:r>
              <w:rPr>
                <w:rFonts w:ascii="Times New Roman;Times;serif" w:hAnsi="Times New Roman;Times;serif"/>
                <w:sz w:val="20"/>
              </w:rPr>
              <w:t xml:space="preserve"> </w:t>
            </w:r>
          </w:p>
        </w:tc>
        <w:tc>
          <w:tcPr>
            <w:tcW w:w="346" w:type="dxa"/>
            <w:tcBorders/>
            <w:vAlign w:val="center"/>
          </w:tcPr>
          <w:p>
            <w:pPr>
              <w:pStyle w:val="TableContents"/>
              <w:bidi w:val="0"/>
              <w:spacing w:before="0" w:after="240"/>
              <w:ind w:left="0" w:right="0" w:hanging="0"/>
              <w:jc w:val="both"/>
              <w:rPr/>
            </w:pPr>
            <w:r>
              <w:rPr/>
              <w:t>​</w:t>
            </w:r>
          </w:p>
        </w:tc>
        <w:tc>
          <w:tcPr>
            <w:tcW w:w="14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240"/>
              <w:ind w:left="0" w:right="0" w:hanging="0"/>
              <w:jc w:val="both"/>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19406</w:t>
            </w:r>
            <w:r>
              <w:rPr>
                <w:rFonts w:ascii="Times New Roman;Times;serif" w:hAnsi="Times New Roman;Times;serif"/>
                <w:sz w:val="20"/>
              </w:rPr>
              <w:t> </w:t>
            </w:r>
          </w:p>
        </w:tc>
      </w:tr>
      <w:tr>
        <w:trPr/>
        <w:tc>
          <w:tcPr>
            <w:tcW w:w="246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(Address of principal executive offices)</w:t>
            </w:r>
          </w:p>
        </w:tc>
        <w:tc>
          <w:tcPr>
            <w:tcW w:w="346" w:type="dxa"/>
            <w:tcBorders/>
            <w:vAlign w:val="center"/>
          </w:tcPr>
          <w:p>
            <w:pPr>
              <w:pStyle w:val="TableContents"/>
              <w:bidi w:val="0"/>
              <w:spacing w:before="0" w:after="240"/>
              <w:ind w:left="0" w:right="0" w:hanging="0"/>
              <w:jc w:val="both"/>
              <w:rPr/>
            </w:pPr>
            <w:r>
              <w:rPr/>
              <w:t>​</w:t>
            </w:r>
          </w:p>
        </w:tc>
        <w:tc>
          <w:tcPr>
            <w:tcW w:w="14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240"/>
              <w:ind w:left="0" w:right="0" w:hanging="0"/>
              <w:jc w:val="both"/>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(Zip Code)</w:t>
            </w:r>
          </w:p>
        </w:tc>
      </w:tr>
    </w:tbl>
    <w:p>
      <w:pPr>
        <w:pStyle w:val="TextBody"/>
        <w:bidi w:val="0"/>
        <w:spacing w:before="0" w:after="0"/>
        <w:ind w:left="0" w:right="0" w:hanging="0"/>
        <w:jc w:val="left"/>
        <w:rPr/>
      </w:pPr>
      <w:r>
        <w:rPr/>
        <w:t>​</w:t>
      </w:r>
    </w:p>
    <w:p>
      <w:pPr>
        <w:pStyle w:val="TextBody"/>
        <w:bidi w:val="0"/>
        <w:spacing w:before="0" w:after="80"/>
        <w:ind w:left="0" w:right="0" w:hanging="0"/>
        <w:jc w:val="center"/>
        <w:rPr>
          <w:rFonts w:ascii="Times New Roman;Times;serif" w:hAnsi="Times New Roman;Times;serif"/>
          <w:b/>
          <w:sz w:val="18"/>
        </w:rPr>
      </w:pPr>
      <w:r>
        <w:rPr>
          <w:rFonts w:ascii="Times New Roman;Times;serif" w:hAnsi="Times New Roman;Times;serif"/>
          <w:b/>
          <w:sz w:val="18"/>
        </w:rPr>
        <w:t>Registrant’s telephone number, including area code: (800) 355-3500</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Securities registered pursuant to Section 12(b) of the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5" w:name="Tc_-4E8SKEnKEyMX0apArpYxA_1_4"/>
      <w:bookmarkStart w:id="26" w:name="Tc_56buxwsd-keyKVoGSHcGpA_1_2"/>
      <w:bookmarkStart w:id="27" w:name="Tc_DaQlfXkaaUGHDdPUZJVnIw_1_0"/>
      <w:bookmarkStart w:id="28" w:name="_2de39deb_a515_459a_b1f1_fd289b9c31c6"/>
      <w:bookmarkStart w:id="29" w:name="Tc_-4E8SKEnKEyMX0apArpYxA_1_4"/>
      <w:bookmarkStart w:id="30" w:name="Tc_56buxwsd-keyKVoGSHcGpA_1_2"/>
      <w:bookmarkStart w:id="31" w:name="Tc_DaQlfXkaaUGHDdPUZJVnIw_1_0"/>
      <w:bookmarkStart w:id="32" w:name="_2de39deb_a515_459a_b1f1_fd289b9c31c6"/>
      <w:bookmarkEnd w:id="29"/>
      <w:bookmarkEnd w:id="30"/>
      <w:bookmarkEnd w:id="31"/>
      <w:bookmarkEnd w:id="32"/>
    </w:p>
    <w:tbl>
      <w:tblPr>
        <w:tblW w:w="8615" w:type="dxa"/>
        <w:jc w:val="left"/>
        <w:tblInd w:w="0" w:type="dxa"/>
        <w:tblLayout w:type="fixed"/>
        <w:tblCellMar>
          <w:top w:w="0" w:type="dxa"/>
          <w:left w:w="0" w:type="dxa"/>
          <w:bottom w:w="0" w:type="dxa"/>
          <w:right w:w="0" w:type="dxa"/>
        </w:tblCellMar>
      </w:tblPr>
      <w:tblGrid>
        <w:gridCol w:w="4156"/>
        <w:gridCol w:w="346"/>
        <w:gridCol w:w="1066"/>
        <w:gridCol w:w="346"/>
        <w:gridCol w:w="2701"/>
      </w:tblGrid>
      <w:tr>
        <w:trPr/>
        <w:tc>
          <w:tcPr>
            <w:tcW w:w="4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01" w:type="dxa"/>
            <w:tcBorders/>
            <w:vAlign w:val="center"/>
          </w:tcPr>
          <w:p>
            <w:pPr>
              <w:pStyle w:val="TableContents"/>
              <w:bidi w:val="0"/>
              <w:spacing w:before="0" w:after="0"/>
              <w:ind w:left="0" w:right="0" w:hanging="0"/>
              <w:jc w:val="left"/>
              <w:rPr/>
            </w:pPr>
            <w:r>
              <w:rPr/>
              <w:t>​</w:t>
            </w:r>
          </w:p>
        </w:tc>
      </w:tr>
      <w:tr>
        <w:trPr/>
        <w:tc>
          <w:tcPr>
            <w:tcW w:w="4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Title of each class</w:t>
            </w:r>
          </w:p>
        </w:tc>
        <w:tc>
          <w:tcPr>
            <w:tcW w:w="346" w:type="dxa"/>
            <w:tcBorders/>
            <w:vAlign w:val="center"/>
          </w:tcPr>
          <w:p>
            <w:pPr>
              <w:pStyle w:val="TableContents"/>
              <w:bidi w:val="0"/>
              <w:spacing w:before="0" w:after="0"/>
              <w:ind w:left="0" w:right="0" w:hanging="0"/>
              <w:jc w:val="both"/>
              <w:rPr/>
            </w:pPr>
            <w:r>
              <w:rPr/>
              <w:t>  ​ ​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Trading symbol</w:t>
            </w:r>
          </w:p>
        </w:tc>
        <w:tc>
          <w:tcPr>
            <w:tcW w:w="346" w:type="dxa"/>
            <w:tcBorders/>
            <w:vAlign w:val="center"/>
          </w:tcPr>
          <w:p>
            <w:pPr>
              <w:pStyle w:val="TableContents"/>
              <w:bidi w:val="0"/>
              <w:spacing w:before="0" w:after="0"/>
              <w:ind w:left="0" w:right="0" w:hanging="0"/>
              <w:jc w:val="both"/>
              <w:rPr/>
            </w:pPr>
            <w:r>
              <w:rPr/>
              <w:t>  ​ ​ ​</w:t>
            </w:r>
          </w:p>
        </w:tc>
        <w:tc>
          <w:tcPr>
            <w:tcW w:w="27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Name of each exchange on which registered</w:t>
            </w:r>
          </w:p>
        </w:tc>
      </w:tr>
      <w:tr>
        <w:trPr/>
        <w:tc>
          <w:tcPr>
            <w:tcW w:w="415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Class A Common Stock, Par Value $0.001 Per Share</w:t>
            </w:r>
          </w:p>
        </w:tc>
        <w:tc>
          <w:tcPr>
            <w:tcW w:w="346" w:type="dxa"/>
            <w:tcBorders/>
            <w:vAlign w:val="center"/>
          </w:tcPr>
          <w:p>
            <w:pPr>
              <w:pStyle w:val="TableContents"/>
              <w:bidi w:val="0"/>
              <w:spacing w:before="0" w:after="240"/>
              <w:ind w:left="0" w:right="0" w:hanging="0"/>
              <w:jc w:val="both"/>
              <w:rPr/>
            </w:pPr>
            <w:r>
              <w:rPr/>
              <w:t>​</w:t>
            </w:r>
          </w:p>
        </w:tc>
        <w:tc>
          <w:tcPr>
            <w:tcW w:w="106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VERX</w:t>
            </w:r>
          </w:p>
        </w:tc>
        <w:tc>
          <w:tcPr>
            <w:tcW w:w="346" w:type="dxa"/>
            <w:tcBorders/>
            <w:vAlign w:val="center"/>
          </w:tcPr>
          <w:p>
            <w:pPr>
              <w:pStyle w:val="TableContents"/>
              <w:bidi w:val="0"/>
              <w:spacing w:before="0" w:after="240"/>
              <w:ind w:left="0" w:right="0" w:hanging="0"/>
              <w:jc w:val="both"/>
              <w:rPr/>
            </w:pPr>
            <w:r>
              <w:rPr/>
              <w:t>​</w:t>
            </w:r>
          </w:p>
        </w:tc>
        <w:tc>
          <w:tcPr>
            <w:tcW w:w="270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The Nasdaq Stock Market LLC</w:t>
            </w:r>
          </w:p>
        </w:tc>
      </w:tr>
    </w:tbl>
    <w:p>
      <w:pPr>
        <w:pStyle w:val="TextBody"/>
        <w:bidi w:val="0"/>
        <w:spacing w:before="0" w:after="0"/>
        <w:ind w:left="0" w:right="0" w:hanging="0"/>
        <w:jc w:val="left"/>
        <w:rPr/>
      </w:pPr>
      <w:r>
        <w:rPr/>
        <w:t>​</w:t>
      </w:r>
    </w:p>
    <w:p>
      <w:pPr>
        <w:pStyle w:val="TextBody"/>
        <w:bidi w:val="0"/>
        <w:spacing w:before="0" w:after="80"/>
        <w:ind w:left="0" w:right="0" w:firstLine="523"/>
        <w:jc w:val="both"/>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80"/>
        <w:ind w:left="0" w:right="0" w:firstLine="523"/>
        <w:jc w:val="both"/>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0"/>
        <w:ind w:left="0" w:right="0" w:firstLine="518"/>
        <w:jc w:val="both"/>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3" w:name="Tc_kjGeWx7MAUaMGdsm_h9UVw_3_3"/>
      <w:bookmarkStart w:id="34" w:name="Tc_tKsZezsUd0a1LPZAYRG5jg_2_3"/>
      <w:bookmarkStart w:id="35" w:name="Tc_Qs1V2_okQ0uF3wOm6lLOzA_2_1"/>
      <w:bookmarkStart w:id="36" w:name="Tc_kXC6AVr6pUCNZHpytakJ9g_2_0"/>
      <w:bookmarkStart w:id="37" w:name="Tc_gbdxK-ZiD0KxqYbNaZQ9hg_1_4"/>
      <w:bookmarkStart w:id="38" w:name="Tc__bQSexXX-UaAVkIce1T0vA_1_3"/>
      <w:bookmarkStart w:id="39" w:name="Tc_mC9QbzGR5km75TGlDT_SJw_1_1"/>
      <w:bookmarkStart w:id="40" w:name="_7a629acc_e15b_4ae7_90f9_3d0e349b3fdd"/>
      <w:bookmarkStart w:id="41" w:name="Tc_kjGeWx7MAUaMGdsm_h9UVw_3_3"/>
      <w:bookmarkStart w:id="42" w:name="Tc_tKsZezsUd0a1LPZAYRG5jg_2_3"/>
      <w:bookmarkStart w:id="43" w:name="Tc_Qs1V2_okQ0uF3wOm6lLOzA_2_1"/>
      <w:bookmarkStart w:id="44" w:name="Tc_kXC6AVr6pUCNZHpytakJ9g_2_0"/>
      <w:bookmarkStart w:id="45" w:name="Tc_gbdxK-ZiD0KxqYbNaZQ9hg_1_4"/>
      <w:bookmarkStart w:id="46" w:name="Tc__bQSexXX-UaAVkIce1T0vA_1_3"/>
      <w:bookmarkStart w:id="47" w:name="Tc_mC9QbzGR5km75TGlDT_SJw_1_1"/>
      <w:bookmarkStart w:id="48" w:name="_7a629acc_e15b_4ae7_90f9_3d0e349b3fdd"/>
      <w:bookmarkEnd w:id="41"/>
      <w:bookmarkEnd w:id="42"/>
      <w:bookmarkEnd w:id="43"/>
      <w:bookmarkEnd w:id="44"/>
      <w:bookmarkEnd w:id="45"/>
      <w:bookmarkEnd w:id="46"/>
      <w:bookmarkEnd w:id="47"/>
      <w:bookmarkEnd w:id="48"/>
    </w:p>
    <w:tbl>
      <w:tblPr>
        <w:tblW w:w="4790" w:type="dxa"/>
        <w:jc w:val="left"/>
        <w:tblInd w:w="0" w:type="dxa"/>
        <w:tblLayout w:type="fixed"/>
        <w:tblCellMar>
          <w:top w:w="0" w:type="dxa"/>
          <w:left w:w="0" w:type="dxa"/>
          <w:bottom w:w="0" w:type="dxa"/>
          <w:right w:w="0" w:type="dxa"/>
        </w:tblCellMar>
      </w:tblPr>
      <w:tblGrid>
        <w:gridCol w:w="1666"/>
        <w:gridCol w:w="376"/>
        <w:gridCol w:w="346"/>
        <w:gridCol w:w="2041"/>
        <w:gridCol w:w="361"/>
      </w:tblGrid>
      <w:tr>
        <w:trPr/>
        <w:tc>
          <w:tcPr>
            <w:tcW w:w="166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4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pBdr/>
              <w:bidi w:val="0"/>
              <w:spacing w:before="0" w:after="0"/>
              <w:ind w:left="0" w:right="0" w:hanging="0"/>
              <w:jc w:val="both"/>
              <w:rPr>
                <w:rFonts w:ascii="Times New Roman;Times;serif" w:hAnsi="Times New Roman;Times;serif"/>
                <w:sz w:val="18"/>
              </w:rPr>
            </w:pPr>
            <w:r>
              <w:rPr>
                <w:rFonts w:ascii="Times New Roman;Times;serif" w:hAnsi="Times New Roman;Times;serif"/>
                <w:sz w:val="18"/>
              </w:rPr>
              <w:t>Large accelerated filer</w:t>
            </w:r>
          </w:p>
        </w:tc>
        <w:tc>
          <w:tcPr>
            <w:tcW w:w="376" w:type="dxa"/>
            <w:tcBorders/>
            <w:vAlign w:val="center"/>
          </w:tcPr>
          <w:p>
            <w:pPr>
              <w:pStyle w:val="TableContents"/>
              <w:bidi w:val="0"/>
              <w:spacing w:before="0" w:after="0"/>
              <w:ind w:left="0" w:right="0" w:hanging="0"/>
              <w:jc w:val="both"/>
              <w:rPr/>
            </w:pPr>
            <w:r>
              <w:rPr/>
              <w:t>☒ </w:t>
            </w:r>
          </w:p>
        </w:tc>
        <w:tc>
          <w:tcPr>
            <w:tcW w:w="346" w:type="dxa"/>
            <w:tcBorders/>
            <w:vAlign w:val="center"/>
          </w:tcPr>
          <w:p>
            <w:pPr>
              <w:pStyle w:val="TableContents"/>
              <w:bidi w:val="0"/>
              <w:spacing w:before="0" w:after="0"/>
              <w:ind w:left="0" w:right="0" w:hanging="0"/>
              <w:jc w:val="both"/>
              <w:rPr/>
            </w:pPr>
            <w:r>
              <w:rPr/>
              <w:t>  ​ ​ ​</w:t>
            </w:r>
          </w:p>
        </w:tc>
        <w:tc>
          <w:tcPr>
            <w:tcW w:w="2041"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Accelerated filer</w:t>
            </w:r>
          </w:p>
        </w:tc>
        <w:tc>
          <w:tcPr>
            <w:tcW w:w="361" w:type="dxa"/>
            <w:tcBorders/>
            <w:vAlign w:val="center"/>
          </w:tcPr>
          <w:p>
            <w:pPr>
              <w:pStyle w:val="TableContents"/>
              <w:bidi w:val="0"/>
              <w:spacing w:before="0" w:after="0"/>
              <w:ind w:left="0" w:right="0" w:hanging="0"/>
              <w:jc w:val="both"/>
              <w:rPr/>
            </w:pPr>
            <w:r>
              <w:rPr/>
              <w:t>☐</w:t>
            </w:r>
          </w:p>
        </w:tc>
      </w:tr>
      <w:tr>
        <w:trPr/>
        <w:tc>
          <w:tcPr>
            <w:tcW w:w="1666" w:type="dxa"/>
            <w:tcBorders/>
            <w:vAlign w:val="center"/>
          </w:tcPr>
          <w:p>
            <w:pPr>
              <w:pStyle w:val="TableContents"/>
              <w:pBdr/>
              <w:bidi w:val="0"/>
              <w:spacing w:before="0" w:after="0"/>
              <w:ind w:left="0" w:right="0" w:hanging="0"/>
              <w:jc w:val="both"/>
              <w:rPr>
                <w:rFonts w:ascii="Times New Roman;Times;serif" w:hAnsi="Times New Roman;Times;serif"/>
                <w:sz w:val="18"/>
              </w:rPr>
            </w:pPr>
            <w:r>
              <w:rPr>
                <w:rFonts w:ascii="Times New Roman;Times;serif" w:hAnsi="Times New Roman;Times;serif"/>
                <w:sz w:val="18"/>
              </w:rPr>
              <w:t>Non-accelerated filer</w:t>
            </w:r>
          </w:p>
        </w:tc>
        <w:tc>
          <w:tcPr>
            <w:tcW w:w="37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240"/>
              <w:ind w:left="0" w:right="0" w:hanging="0"/>
              <w:jc w:val="both"/>
              <w:rPr/>
            </w:pPr>
            <w:r>
              <w:rPr/>
              <w:t>​</w:t>
            </w:r>
          </w:p>
        </w:tc>
        <w:tc>
          <w:tcPr>
            <w:tcW w:w="2041"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Smaller reporting company</w:t>
            </w:r>
          </w:p>
        </w:tc>
        <w:tc>
          <w:tcPr>
            <w:tcW w:w="361" w:type="dxa"/>
            <w:tcBorders/>
            <w:vAlign w:val="center"/>
          </w:tcPr>
          <w:p>
            <w:pPr>
              <w:pStyle w:val="TableContents"/>
              <w:bidi w:val="0"/>
              <w:spacing w:before="0" w:after="0"/>
              <w:ind w:left="0" w:right="0" w:hanging="0"/>
              <w:jc w:val="both"/>
              <w:rPr/>
            </w:pPr>
            <w:r>
              <w:rPr/>
              <w:t>☐</w:t>
            </w:r>
          </w:p>
        </w:tc>
      </w:tr>
      <w:tr>
        <w:trPr/>
        <w:tc>
          <w:tcPr>
            <w:tcW w:w="1666" w:type="dxa"/>
            <w:tcBorders/>
            <w:vAlign w:val="center"/>
          </w:tcPr>
          <w:p>
            <w:pPr>
              <w:pStyle w:val="TableContents"/>
              <w:bidi w:val="0"/>
              <w:spacing w:before="0" w:after="240"/>
              <w:ind w:left="0" w:right="0" w:hanging="0"/>
              <w:jc w:val="both"/>
              <w:rPr/>
            </w:pPr>
            <w:r>
              <w:rPr/>
              <w:t>​</w:t>
            </w:r>
          </w:p>
        </w:tc>
        <w:tc>
          <w:tcPr>
            <w:tcW w:w="376" w:type="dxa"/>
            <w:tcBorders/>
            <w:vAlign w:val="center"/>
          </w:tcPr>
          <w:p>
            <w:pPr>
              <w:pStyle w:val="TableContents"/>
              <w:bidi w:val="0"/>
              <w:spacing w:before="0" w:after="240"/>
              <w:ind w:left="0" w:right="0" w:hanging="0"/>
              <w:jc w:val="both"/>
              <w:rPr/>
            </w:pPr>
            <w:r>
              <w:rPr/>
              <w:t>​</w:t>
            </w:r>
          </w:p>
        </w:tc>
        <w:tc>
          <w:tcPr>
            <w:tcW w:w="346" w:type="dxa"/>
            <w:tcBorders/>
            <w:vAlign w:val="center"/>
          </w:tcPr>
          <w:p>
            <w:pPr>
              <w:pStyle w:val="TableContents"/>
              <w:bidi w:val="0"/>
              <w:spacing w:before="0" w:after="240"/>
              <w:ind w:left="0" w:right="0" w:hanging="0"/>
              <w:jc w:val="both"/>
              <w:rPr/>
            </w:pPr>
            <w:r>
              <w:rPr/>
              <w:t>​</w:t>
            </w:r>
          </w:p>
        </w:tc>
        <w:tc>
          <w:tcPr>
            <w:tcW w:w="2041"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Emerging growth company</w:t>
            </w:r>
          </w:p>
        </w:tc>
        <w:tc>
          <w:tcPr>
            <w:tcW w:w="361"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TextBody"/>
        <w:bidi w:val="0"/>
        <w:spacing w:before="0" w:after="80"/>
        <w:ind w:left="0" w:right="0" w:firstLine="518"/>
        <w:jc w:val="both"/>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80"/>
        <w:ind w:left="0" w:right="0" w:firstLine="523"/>
        <w:jc w:val="both"/>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0"/>
        <w:ind w:left="0" w:right="0" w:firstLine="518"/>
        <w:jc w:val="both"/>
        <w:rPr>
          <w:rFonts w:ascii="Times New Roman;Times;serif" w:hAnsi="Times New Roman;Times;serif"/>
          <w:sz w:val="18"/>
        </w:rPr>
      </w:pPr>
      <w:r>
        <w:rPr>
          <w:rFonts w:ascii="Times New Roman;Times;serif" w:hAnsi="Times New Roman;Times;serif"/>
          <w:sz w:val="18"/>
        </w:rPr>
        <w:t>As of  May 4, 2026, the registrant had 79,661,290 shares of Class A common stock, $0.001 par value per share, and 82,155,641 shares of Class B common stock, $0.001 par value per share, outstanding.</w:t>
      </w:r>
    </w:p>
    <w:p>
      <w:pPr>
        <w:pStyle w:val="TextBody"/>
        <w:bidi w:val="0"/>
        <w:spacing w:before="0" w:after="240"/>
        <w:ind w:left="0" w:right="0" w:firstLine="518"/>
        <w:jc w:val="both"/>
        <w:rPr/>
      </w:pPr>
      <w:r>
        <w:rPr/>
        <w:t>​</w:t>
      </w:r>
    </w:p>
    <w:p>
      <w:pPr>
        <w:pStyle w:val="TextBody"/>
        <w:pBdr>
          <w:top w:val="single" w:sz="2" w:space="1" w:color="000000"/>
          <w:bottom w:val="single" w:sz="24" w:space="1" w:color="000000"/>
        </w:pBdr>
        <w:bidi w:val="0"/>
        <w:spacing w:before="0" w:after="240"/>
        <w:ind w:left="0" w:right="0" w:firstLine="523"/>
        <w:jc w:val="both"/>
        <w:rPr/>
      </w:pPr>
      <w:r>
        <w:rPr/>
        <w:t>​</w:t>
      </w:r>
    </w:p>
    <w:p>
      <w:pPr>
        <w:pStyle w:val="TextBody"/>
        <w:bidi w:val="0"/>
        <w:spacing w:before="0" w:after="240"/>
        <w:ind w:left="0" w:right="0" w:firstLine="523"/>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bookmarkStart w:id="49" w:name="TOC"/>
      <w:bookmarkStart w:id="50" w:name="_b652162b_d0cd_4439_a146_54e83022890e"/>
      <w:bookmarkEnd w:id="49"/>
      <w:bookmarkEnd w:id="50"/>
      <w:r>
        <w:rPr>
          <w:rFonts w:ascii="Times New Roman;Times;serif" w:hAnsi="Times New Roman;Times;serif"/>
          <w:b/>
          <w:sz w:val="20"/>
        </w:rPr>
        <w:t>TABLE OF CONTENTS</w:t>
      </w:r>
      <w:r>
        <w:rPr>
          <w:rFonts w:ascii="Times New Roman;Times;serif" w:hAnsi="Times New Roman;Times;serif"/>
          <w:sz w:val="20"/>
        </w:rPr>
        <w:t xml:space="preserve">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26"/>
        <w:gridCol w:w="8907"/>
        <w:gridCol w:w="572"/>
      </w:tblGrid>
      <w:tr>
        <w:trPr/>
        <w:tc>
          <w:tcPr>
            <w:tcW w:w="726" w:type="dxa"/>
            <w:tcBorders/>
            <w:vAlign w:val="center"/>
          </w:tcPr>
          <w:p>
            <w:pPr>
              <w:pStyle w:val="TableContents"/>
              <w:bidi w:val="0"/>
              <w:spacing w:before="0" w:after="0"/>
              <w:ind w:left="0" w:right="0" w:hanging="0"/>
              <w:jc w:val="left"/>
              <w:rPr/>
            </w:pPr>
            <w:r>
              <w:rPr/>
              <w:t>​</w:t>
            </w:r>
          </w:p>
        </w:tc>
        <w:tc>
          <w:tcPr>
            <w:tcW w:w="8907" w:type="dxa"/>
            <w:tcBorders/>
            <w:vAlign w:val="center"/>
          </w:tcPr>
          <w:p>
            <w:pPr>
              <w:pStyle w:val="TableContents"/>
              <w:bidi w:val="0"/>
              <w:spacing w:before="0" w:after="0"/>
              <w:ind w:left="0" w:right="0" w:hanging="0"/>
              <w:jc w:val="left"/>
              <w:rPr/>
            </w:pPr>
            <w:r>
              <w:rPr/>
              <w:t> </w:t>
            </w:r>
          </w:p>
        </w:tc>
        <w:tc>
          <w:tcPr>
            <w:tcW w:w="572"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726" w:type="dxa"/>
            <w:tcBorders/>
            <w:vAlign w:val="center"/>
          </w:tcPr>
          <w:p>
            <w:pPr>
              <w:pStyle w:val="TableContents"/>
              <w:bidi w:val="0"/>
              <w:spacing w:before="0" w:after="0"/>
              <w:ind w:left="0" w:right="0" w:hanging="0"/>
              <w:jc w:val="left"/>
              <w:rPr/>
            </w:pPr>
            <w:r>
              <w:rPr/>
              <w:t>​</w:t>
            </w:r>
          </w:p>
        </w:tc>
        <w:tc>
          <w:tcPr>
            <w:tcW w:w="8907" w:type="dxa"/>
            <w:tcBorders/>
            <w:vAlign w:val="center"/>
          </w:tcPr>
          <w:p>
            <w:pPr>
              <w:pStyle w:val="TableContents"/>
              <w:bidi w:val="0"/>
              <w:spacing w:before="0" w:after="0"/>
              <w:ind w:left="0" w:right="0" w:hanging="0"/>
              <w:jc w:val="center"/>
              <w:rPr/>
            </w:pPr>
            <w:hyperlink w:anchor="PARTIFINANCIALINFORMATION_19634">
              <w:r>
                <w:rPr>
                  <w:rStyle w:val="InternetLink"/>
                  <w:rFonts w:ascii="Times New Roman;Times;serif" w:hAnsi="Times New Roman;Times;serif"/>
                  <w:b w:val="false"/>
                  <w:i w:val="false"/>
                  <w:caps w:val="false"/>
                  <w:smallCaps w:val="false"/>
                  <w:sz w:val="20"/>
                </w:rPr>
                <w:t>Part I - Financial Information </w:t>
              </w:r>
            </w:hyperlink>
          </w:p>
        </w:tc>
        <w:tc>
          <w:tcPr>
            <w:tcW w:w="572" w:type="dxa"/>
            <w:tcBorders>
              <w:top w:val="single" w:sz="8" w:space="0" w:color="000000"/>
            </w:tcBorders>
            <w:tcMar>
              <w:top w:w="28" w:type="dxa"/>
            </w:tcMar>
            <w:vAlign w:val="center"/>
          </w:tcPr>
          <w:p>
            <w:pPr>
              <w:pStyle w:val="TableContents"/>
              <w:bidi w:val="0"/>
              <w:spacing w:before="0" w:after="0"/>
              <w:ind w:left="0" w:right="0" w:hanging="0"/>
              <w:jc w:val="right"/>
              <w:rPr/>
            </w:pPr>
            <w:r>
              <w:rPr/>
              <w:t>​</w:t>
            </w:r>
          </w:p>
        </w:tc>
      </w:tr>
      <w:tr>
        <w:trPr/>
        <w:tc>
          <w:tcPr>
            <w:tcW w:w="726" w:type="dxa"/>
            <w:tcBorders/>
            <w:vAlign w:val="center"/>
          </w:tcPr>
          <w:p>
            <w:pPr>
              <w:pStyle w:val="TableContents"/>
              <w:bidi w:val="0"/>
              <w:spacing w:before="0" w:after="0"/>
              <w:ind w:left="0" w:right="0" w:hanging="0"/>
              <w:jc w:val="both"/>
              <w:rPr/>
            </w:pPr>
            <w:hyperlink w:anchor="Item1FINANCIALSTATEMENTS_787624">
              <w:r>
                <w:rPr>
                  <w:rStyle w:val="InternetLink"/>
                  <w:rFonts w:ascii="Times New Roman;Times;serif" w:hAnsi="Times New Roman;Times;serif"/>
                  <w:b w:val="false"/>
                  <w:i w:val="false"/>
                  <w:caps w:val="false"/>
                  <w:smallCaps w:val="false"/>
                  <w:sz w:val="20"/>
                </w:rPr>
                <w:t>Item 1.</w:t>
              </w:r>
            </w:hyperlink>
          </w:p>
        </w:tc>
        <w:tc>
          <w:tcPr>
            <w:tcW w:w="8907" w:type="dxa"/>
            <w:tcBorders/>
            <w:vAlign w:val="center"/>
          </w:tcPr>
          <w:p>
            <w:pPr>
              <w:pStyle w:val="TableContents"/>
              <w:bidi w:val="0"/>
              <w:spacing w:before="0" w:after="0"/>
              <w:ind w:left="0" w:right="0" w:hanging="0"/>
              <w:jc w:val="both"/>
              <w:rPr/>
            </w:pPr>
            <w:hyperlink w:anchor="Item1FINANCIALSTATEMENTS_787624">
              <w:r>
                <w:rPr>
                  <w:rStyle w:val="InternetLink"/>
                  <w:rFonts w:ascii="Times New Roman;Times;serif" w:hAnsi="Times New Roman;Times;serif"/>
                  <w:b w:val="false"/>
                  <w:i w:val="false"/>
                  <w:caps w:val="false"/>
                  <w:smallCaps w:val="false"/>
                  <w:sz w:val="20"/>
                </w:rPr>
                <w:t>Financial Statements</w:t>
              </w:r>
            </w:hyperlink>
          </w:p>
        </w:tc>
        <w:tc>
          <w:tcPr>
            <w:tcW w:w="572" w:type="dxa"/>
            <w:tcBorders/>
            <w:vAlign w:val="center"/>
          </w:tcPr>
          <w:p>
            <w:pPr>
              <w:pStyle w:val="TableContents"/>
              <w:bidi w:val="0"/>
              <w:spacing w:before="0" w:after="0"/>
              <w:ind w:left="0" w:right="0" w:hanging="0"/>
              <w:jc w:val="right"/>
              <w:rPr/>
            </w:pPr>
            <w:r>
              <w:rPr/>
              <w:t>​</w:t>
            </w:r>
          </w:p>
        </w:tc>
      </w:tr>
      <w:tr>
        <w:trPr/>
        <w:tc>
          <w:tcPr>
            <w:tcW w:w="726" w:type="dxa"/>
            <w:tcBorders/>
            <w:vAlign w:val="center"/>
          </w:tcPr>
          <w:p>
            <w:pPr>
              <w:pStyle w:val="TableContents"/>
              <w:bidi w:val="0"/>
              <w:spacing w:before="0" w:after="0"/>
              <w:ind w:left="0" w:right="0" w:hanging="0"/>
              <w:jc w:val="left"/>
              <w:rPr/>
            </w:pPr>
            <w:r>
              <w:rPr/>
              <w:t>​</w:t>
            </w:r>
          </w:p>
        </w:tc>
        <w:tc>
          <w:tcPr>
            <w:tcW w:w="8907" w:type="dxa"/>
            <w:tcBorders/>
            <w:vAlign w:val="center"/>
          </w:tcPr>
          <w:p>
            <w:pPr>
              <w:pStyle w:val="TableContents"/>
              <w:bidi w:val="0"/>
              <w:spacing w:before="0" w:after="0"/>
              <w:ind w:left="0" w:right="0" w:hanging="0"/>
              <w:jc w:val="both"/>
              <w:rPr/>
            </w:pPr>
            <w:hyperlink w:anchor="CondensedConsolidatedBalanceSheets_41728">
              <w:r>
                <w:rPr>
                  <w:rStyle w:val="InternetLink"/>
                  <w:rFonts w:ascii="Times New Roman;Times;serif" w:hAnsi="Times New Roman;Times;serif"/>
                  <w:b w:val="false"/>
                  <w:i w:val="false"/>
                  <w:caps w:val="false"/>
                  <w:smallCaps w:val="false"/>
                  <w:sz w:val="20"/>
                </w:rPr>
                <w:t xml:space="preserve">Condensed Consolidated Balance Sheets as of March 31, 2026 (unaudited) and December 31, 2025 </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726" w:type="dxa"/>
            <w:tcBorders/>
            <w:vAlign w:val="center"/>
          </w:tcPr>
          <w:p>
            <w:pPr>
              <w:pStyle w:val="TableContents"/>
              <w:bidi w:val="0"/>
              <w:spacing w:before="0" w:after="0"/>
              <w:ind w:left="0" w:right="0" w:hanging="0"/>
              <w:jc w:val="left"/>
              <w:rPr/>
            </w:pPr>
            <w:r>
              <w:rPr/>
              <w:t>​</w:t>
            </w:r>
          </w:p>
        </w:tc>
        <w:tc>
          <w:tcPr>
            <w:tcW w:w="8907" w:type="dxa"/>
            <w:tcBorders/>
            <w:vAlign w:val="center"/>
          </w:tcPr>
          <w:p>
            <w:pPr>
              <w:pStyle w:val="TableContents"/>
              <w:bidi w:val="0"/>
              <w:spacing w:before="0" w:after="0"/>
              <w:ind w:left="0" w:right="0" w:hanging="0"/>
              <w:jc w:val="both"/>
              <w:rPr/>
            </w:pPr>
            <w:hyperlink w:anchor="CondensedConsolidatedStatementsofCompre">
              <w:r>
                <w:rPr>
                  <w:rStyle w:val="InternetLink"/>
                  <w:rFonts w:ascii="Times New Roman;Times;serif" w:hAnsi="Times New Roman;Times;serif"/>
                  <w:b w:val="false"/>
                  <w:i w:val="false"/>
                  <w:caps w:val="false"/>
                  <w:smallCaps w:val="false"/>
                  <w:sz w:val="20"/>
                </w:rPr>
                <w:t>Condensed Consolidated Statements of Comprehensive Income (Loss) for the Three Months Ended March 31, 2026 and 2025 (unaudited)</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726" w:type="dxa"/>
            <w:tcBorders/>
            <w:vAlign w:val="center"/>
          </w:tcPr>
          <w:p>
            <w:pPr>
              <w:pStyle w:val="TableContents"/>
              <w:bidi w:val="0"/>
              <w:spacing w:before="0" w:after="0"/>
              <w:ind w:left="0" w:right="0" w:hanging="0"/>
              <w:jc w:val="left"/>
              <w:rPr/>
            </w:pPr>
            <w:r>
              <w:rPr/>
              <w:t>​</w:t>
            </w:r>
          </w:p>
        </w:tc>
        <w:tc>
          <w:tcPr>
            <w:tcW w:w="8907" w:type="dxa"/>
            <w:tcBorders/>
            <w:vAlign w:val="center"/>
          </w:tcPr>
          <w:p>
            <w:pPr>
              <w:pStyle w:val="TableContents"/>
              <w:bidi w:val="0"/>
              <w:spacing w:before="0" w:after="0"/>
              <w:ind w:left="0" w:right="0" w:hanging="0"/>
              <w:jc w:val="both"/>
              <w:rPr/>
            </w:pPr>
            <w:hyperlink w:anchor="CondensedConsolidatedStatementsofChanges">
              <w:r>
                <w:rPr>
                  <w:rStyle w:val="InternetLink"/>
                  <w:rFonts w:ascii="Times New Roman;Times;serif" w:hAnsi="Times New Roman;Times;serif"/>
                  <w:b w:val="false"/>
                  <w:i w:val="false"/>
                  <w:caps w:val="false"/>
                  <w:smallCaps w:val="false"/>
                  <w:sz w:val="20"/>
                </w:rPr>
                <w:t>Condensed Consolidated Statements of Changes in Stockholders’ Equity for the Three Months Ended March 31, 2026 and 2025 (unaudited)</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726" w:type="dxa"/>
            <w:tcBorders/>
            <w:vAlign w:val="center"/>
          </w:tcPr>
          <w:p>
            <w:pPr>
              <w:pStyle w:val="TableContents"/>
              <w:bidi w:val="0"/>
              <w:spacing w:before="0" w:after="0"/>
              <w:ind w:left="0" w:right="0" w:hanging="0"/>
              <w:jc w:val="left"/>
              <w:rPr/>
            </w:pPr>
            <w:r>
              <w:rPr/>
              <w:t>​</w:t>
            </w:r>
          </w:p>
        </w:tc>
        <w:tc>
          <w:tcPr>
            <w:tcW w:w="8907" w:type="dxa"/>
            <w:tcBorders/>
            <w:vAlign w:val="center"/>
          </w:tcPr>
          <w:p>
            <w:pPr>
              <w:pStyle w:val="TableContents"/>
              <w:bidi w:val="0"/>
              <w:spacing w:before="0" w:after="0"/>
              <w:ind w:left="0" w:right="0" w:hanging="0"/>
              <w:jc w:val="both"/>
              <w:rPr/>
            </w:pPr>
            <w:hyperlink w:anchor="CashFlows">
              <w:r>
                <w:rPr>
                  <w:rStyle w:val="InternetLink"/>
                  <w:rFonts w:ascii="Times New Roman;Times;serif" w:hAnsi="Times New Roman;Times;serif"/>
                  <w:b w:val="false"/>
                  <w:i w:val="false"/>
                  <w:caps w:val="false"/>
                  <w:smallCaps w:val="false"/>
                  <w:sz w:val="20"/>
                </w:rPr>
                <w:t>Condensed Consolidated Statements of Cash Flows for the Three Months Ended March 31, 2026 and 2025 (unaudited)</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726" w:type="dxa"/>
            <w:tcBorders/>
            <w:vAlign w:val="center"/>
          </w:tcPr>
          <w:p>
            <w:pPr>
              <w:pStyle w:val="TableContents"/>
              <w:bidi w:val="0"/>
              <w:spacing w:before="0" w:after="0"/>
              <w:ind w:left="0" w:right="0" w:hanging="0"/>
              <w:jc w:val="left"/>
              <w:rPr/>
            </w:pPr>
            <w:r>
              <w:rPr/>
              <w:t>​</w:t>
            </w:r>
          </w:p>
        </w:tc>
        <w:tc>
          <w:tcPr>
            <w:tcW w:w="8907" w:type="dxa"/>
            <w:tcBorders/>
            <w:vAlign w:val="center"/>
          </w:tcPr>
          <w:p>
            <w:pPr>
              <w:pStyle w:val="TableContents"/>
              <w:bidi w:val="0"/>
              <w:spacing w:before="0" w:after="0"/>
              <w:ind w:left="0" w:right="0" w:hanging="0"/>
              <w:jc w:val="both"/>
              <w:rPr/>
            </w:pPr>
            <w:hyperlink w:anchor="a1SUMMARYOFSIGNIFICANTACCOUNTINGPOLICIES">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726" w:type="dxa"/>
            <w:tcBorders/>
            <w:vAlign w:val="center"/>
          </w:tcPr>
          <w:p>
            <w:pPr>
              <w:pStyle w:val="TableContents"/>
              <w:bidi w:val="0"/>
              <w:spacing w:before="0" w:after="0"/>
              <w:ind w:left="0" w:right="0" w:hanging="0"/>
              <w:jc w:val="both"/>
              <w:rPr/>
            </w:pPr>
            <w:hyperlink w:anchor="Item2MANAGEMENTSDISCUSSIONANDANALYSIS_19">
              <w:r>
                <w:rPr>
                  <w:rStyle w:val="InternetLink"/>
                  <w:rFonts w:ascii="Times New Roman;Times;serif" w:hAnsi="Times New Roman;Times;serif"/>
                  <w:b w:val="false"/>
                  <w:i w:val="false"/>
                  <w:caps w:val="false"/>
                  <w:smallCaps w:val="false"/>
                  <w:sz w:val="20"/>
                </w:rPr>
                <w:t>Item 2.</w:t>
              </w:r>
            </w:hyperlink>
          </w:p>
        </w:tc>
        <w:tc>
          <w:tcPr>
            <w:tcW w:w="8907" w:type="dxa"/>
            <w:tcBorders/>
            <w:vAlign w:val="center"/>
          </w:tcPr>
          <w:p>
            <w:pPr>
              <w:pStyle w:val="TableContents"/>
              <w:bidi w:val="0"/>
              <w:spacing w:before="0" w:after="0"/>
              <w:ind w:left="0" w:right="0" w:hanging="0"/>
              <w:jc w:val="both"/>
              <w:rPr/>
            </w:pPr>
            <w:hyperlink w:anchor="Item2MANAGEMENTSDISCUSSIONANDANALYSIS_19">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726" w:type="dxa"/>
            <w:tcBorders/>
            <w:vAlign w:val="center"/>
          </w:tcPr>
          <w:p>
            <w:pPr>
              <w:pStyle w:val="TableContents"/>
              <w:bidi w:val="0"/>
              <w:spacing w:before="0" w:after="0"/>
              <w:ind w:left="0" w:right="0" w:hanging="0"/>
              <w:jc w:val="both"/>
              <w:rPr/>
            </w:pPr>
            <w:hyperlink w:anchor="Item3QUANTITATIVEANDQUALITATIVE_86752">
              <w:r>
                <w:rPr>
                  <w:rStyle w:val="InternetLink"/>
                  <w:rFonts w:ascii="Times New Roman;Times;serif" w:hAnsi="Times New Roman;Times;serif"/>
                  <w:b w:val="false"/>
                  <w:i w:val="false"/>
                  <w:caps w:val="false"/>
                  <w:smallCaps w:val="false"/>
                  <w:sz w:val="20"/>
                </w:rPr>
                <w:t>Item 3.</w:t>
              </w:r>
            </w:hyperlink>
          </w:p>
        </w:tc>
        <w:tc>
          <w:tcPr>
            <w:tcW w:w="8907" w:type="dxa"/>
            <w:tcBorders/>
            <w:vAlign w:val="center"/>
          </w:tcPr>
          <w:p>
            <w:pPr>
              <w:pStyle w:val="TableContents"/>
              <w:bidi w:val="0"/>
              <w:spacing w:before="0" w:after="0"/>
              <w:ind w:left="0" w:right="0" w:hanging="0"/>
              <w:jc w:val="both"/>
              <w:rPr/>
            </w:pPr>
            <w:hyperlink w:anchor="Item3QUANTITATIVEANDQUALITATIVE_86752">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726" w:type="dxa"/>
            <w:tcBorders/>
            <w:vAlign w:val="center"/>
          </w:tcPr>
          <w:p>
            <w:pPr>
              <w:pStyle w:val="TableContents"/>
              <w:bidi w:val="0"/>
              <w:spacing w:before="0" w:after="0"/>
              <w:ind w:left="0" w:right="0" w:hanging="0"/>
              <w:jc w:val="both"/>
              <w:rPr/>
            </w:pPr>
            <w:hyperlink w:anchor="Item4CONTROLSANDPROCEDURES_722053">
              <w:r>
                <w:rPr>
                  <w:rStyle w:val="InternetLink"/>
                  <w:rFonts w:ascii="Times New Roman;Times;serif" w:hAnsi="Times New Roman;Times;serif"/>
                  <w:b w:val="false"/>
                  <w:i w:val="false"/>
                  <w:caps w:val="false"/>
                  <w:smallCaps w:val="false"/>
                  <w:sz w:val="20"/>
                </w:rPr>
                <w:t>Item 4.</w:t>
              </w:r>
            </w:hyperlink>
          </w:p>
        </w:tc>
        <w:tc>
          <w:tcPr>
            <w:tcW w:w="8907" w:type="dxa"/>
            <w:tcBorders/>
            <w:vAlign w:val="center"/>
          </w:tcPr>
          <w:p>
            <w:pPr>
              <w:pStyle w:val="TableContents"/>
              <w:bidi w:val="0"/>
              <w:spacing w:before="0" w:after="0"/>
              <w:ind w:left="0" w:right="0" w:hanging="0"/>
              <w:jc w:val="both"/>
              <w:rPr/>
            </w:pPr>
            <w:hyperlink w:anchor="Item4CONTROLSANDPROCEDURES_722053">
              <w:r>
                <w:rPr>
                  <w:rStyle w:val="InternetLink"/>
                  <w:rFonts w:ascii="Times New Roman;Times;serif" w:hAnsi="Times New Roman;Times;serif"/>
                  <w:b w:val="false"/>
                  <w:i w:val="false"/>
                  <w:caps w:val="false"/>
                  <w:smallCaps w:val="false"/>
                  <w:sz w:val="20"/>
                </w:rPr>
                <w:t>Controls and Procedures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726" w:type="dxa"/>
            <w:tcBorders/>
            <w:vAlign w:val="center"/>
          </w:tcPr>
          <w:p>
            <w:pPr>
              <w:pStyle w:val="TableContents"/>
              <w:bidi w:val="0"/>
              <w:spacing w:before="0" w:after="283"/>
              <w:ind w:left="0" w:right="0" w:hanging="0"/>
              <w:jc w:val="left"/>
              <w:rPr>
                <w:sz w:val="4"/>
                <w:szCs w:val="4"/>
              </w:rPr>
            </w:pPr>
            <w:r>
              <w:rPr>
                <w:sz w:val="4"/>
                <w:szCs w:val="4"/>
              </w:rPr>
            </w:r>
          </w:p>
        </w:tc>
        <w:tc>
          <w:tcPr>
            <w:tcW w:w="8907" w:type="dxa"/>
            <w:tcBorders/>
            <w:vAlign w:val="center"/>
          </w:tcPr>
          <w:p>
            <w:pPr>
              <w:pStyle w:val="TableContents"/>
              <w:bidi w:val="0"/>
              <w:spacing w:before="0" w:after="0"/>
              <w:ind w:left="0" w:right="0" w:hanging="0"/>
              <w:jc w:val="center"/>
              <w:rPr/>
            </w:pPr>
            <w:hyperlink w:anchor="PARTIIOTHERINFORMATION_466846">
              <w:r>
                <w:rPr>
                  <w:rStyle w:val="InternetLink"/>
                  <w:rFonts w:ascii="Times New Roman;Times;serif" w:hAnsi="Times New Roman;Times;serif"/>
                  <w:b w:val="false"/>
                  <w:i w:val="false"/>
                  <w:caps w:val="false"/>
                  <w:smallCaps w:val="false"/>
                  <w:sz w:val="20"/>
                </w:rPr>
                <w:t>Part II - Other Information</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726" w:type="dxa"/>
            <w:tcBorders/>
            <w:vAlign w:val="center"/>
          </w:tcPr>
          <w:p>
            <w:pPr>
              <w:pStyle w:val="TableContents"/>
              <w:bidi w:val="0"/>
              <w:spacing w:before="0" w:after="0"/>
              <w:ind w:left="0" w:right="0" w:hanging="0"/>
              <w:jc w:val="both"/>
              <w:rPr/>
            </w:pPr>
            <w:hyperlink w:anchor="ITEM1LEGALPROCEEDINGS_169419">
              <w:r>
                <w:rPr>
                  <w:rStyle w:val="InternetLink"/>
                  <w:rFonts w:ascii="Times New Roman;Times;serif" w:hAnsi="Times New Roman;Times;serif"/>
                  <w:b w:val="false"/>
                  <w:i w:val="false"/>
                  <w:caps w:val="false"/>
                  <w:smallCaps w:val="false"/>
                  <w:sz w:val="20"/>
                </w:rPr>
                <w:t>Item 1.</w:t>
              </w:r>
            </w:hyperlink>
          </w:p>
        </w:tc>
        <w:tc>
          <w:tcPr>
            <w:tcW w:w="8907" w:type="dxa"/>
            <w:tcBorders/>
            <w:vAlign w:val="center"/>
          </w:tcPr>
          <w:p>
            <w:pPr>
              <w:pStyle w:val="TableContents"/>
              <w:bidi w:val="0"/>
              <w:spacing w:before="0" w:after="0"/>
              <w:ind w:left="0" w:right="0" w:hanging="0"/>
              <w:jc w:val="both"/>
              <w:rPr/>
            </w:pPr>
            <w:hyperlink w:anchor="ITEM1LEGALPROCEEDINGS_169419">
              <w:r>
                <w:rPr>
                  <w:rStyle w:val="InternetLink"/>
                  <w:rFonts w:ascii="Times New Roman;Times;serif" w:hAnsi="Times New Roman;Times;serif"/>
                  <w:b w:val="false"/>
                  <w:i w:val="false"/>
                  <w:caps w:val="false"/>
                  <w:smallCaps w:val="false"/>
                  <w:sz w:val="20"/>
                </w:rPr>
                <w:t>Legal Proceedings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726" w:type="dxa"/>
            <w:tcBorders/>
            <w:vAlign w:val="center"/>
          </w:tcPr>
          <w:p>
            <w:pPr>
              <w:pStyle w:val="TableContents"/>
              <w:bidi w:val="0"/>
              <w:spacing w:before="0" w:after="0"/>
              <w:ind w:left="0" w:right="0" w:hanging="0"/>
              <w:jc w:val="both"/>
              <w:rPr/>
            </w:pPr>
            <w:hyperlink w:anchor="ITEM1ARISKFACTORS_159906">
              <w:r>
                <w:rPr>
                  <w:rStyle w:val="InternetLink"/>
                  <w:rFonts w:ascii="Times New Roman;Times;serif" w:hAnsi="Times New Roman;Times;serif"/>
                  <w:b w:val="false"/>
                  <w:i w:val="false"/>
                  <w:caps w:val="false"/>
                  <w:smallCaps w:val="false"/>
                  <w:sz w:val="20"/>
                </w:rPr>
                <w:t>Item 1A.</w:t>
              </w:r>
            </w:hyperlink>
          </w:p>
        </w:tc>
        <w:tc>
          <w:tcPr>
            <w:tcW w:w="8907" w:type="dxa"/>
            <w:tcBorders/>
            <w:vAlign w:val="center"/>
          </w:tcPr>
          <w:p>
            <w:pPr>
              <w:pStyle w:val="TableContents"/>
              <w:bidi w:val="0"/>
              <w:spacing w:before="0" w:after="0"/>
              <w:ind w:left="0" w:right="0" w:hanging="0"/>
              <w:jc w:val="both"/>
              <w:rPr/>
            </w:pPr>
            <w:hyperlink w:anchor="ITEM1ARISKFACTORS_159906">
              <w:r>
                <w:rPr>
                  <w:rStyle w:val="InternetLink"/>
                  <w:rFonts w:ascii="Times New Roman;Times;serif" w:hAnsi="Times New Roman;Times;serif"/>
                  <w:b w:val="false"/>
                  <w:i w:val="false"/>
                  <w:caps w:val="false"/>
                  <w:smallCaps w:val="false"/>
                  <w:sz w:val="20"/>
                </w:rPr>
                <w:t>Risk Factors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726" w:type="dxa"/>
            <w:tcBorders/>
            <w:vAlign w:val="center"/>
          </w:tcPr>
          <w:p>
            <w:pPr>
              <w:pStyle w:val="TableContents"/>
              <w:bidi w:val="0"/>
              <w:spacing w:before="0" w:after="0"/>
              <w:ind w:left="0" w:right="0" w:hanging="0"/>
              <w:jc w:val="both"/>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8907" w:type="dxa"/>
            <w:tcBorders/>
            <w:vAlign w:val="center"/>
          </w:tcPr>
          <w:p>
            <w:pPr>
              <w:pStyle w:val="TableContents"/>
              <w:bidi w:val="0"/>
              <w:spacing w:before="0" w:after="0"/>
              <w:ind w:left="0" w:right="0" w:hanging="0"/>
              <w:jc w:val="both"/>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726" w:type="dxa"/>
            <w:tcBorders/>
            <w:vAlign w:val="center"/>
          </w:tcPr>
          <w:p>
            <w:pPr>
              <w:pStyle w:val="TableContents"/>
              <w:bidi w:val="0"/>
              <w:spacing w:before="0" w:after="0"/>
              <w:ind w:left="0" w:right="0" w:hanging="0"/>
              <w:jc w:val="both"/>
              <w:rPr/>
            </w:pPr>
            <w:hyperlink w:anchor="ITEM3DEFAULTSUPONSENIORSECURITIES_573487">
              <w:r>
                <w:rPr>
                  <w:rStyle w:val="InternetLink"/>
                  <w:rFonts w:ascii="Times New Roman;Times;serif" w:hAnsi="Times New Roman;Times;serif"/>
                  <w:b w:val="false"/>
                  <w:i w:val="false"/>
                  <w:caps w:val="false"/>
                  <w:smallCaps w:val="false"/>
                  <w:sz w:val="20"/>
                </w:rPr>
                <w:t>Item 3.</w:t>
              </w:r>
            </w:hyperlink>
          </w:p>
        </w:tc>
        <w:tc>
          <w:tcPr>
            <w:tcW w:w="8907" w:type="dxa"/>
            <w:tcBorders/>
            <w:vAlign w:val="center"/>
          </w:tcPr>
          <w:p>
            <w:pPr>
              <w:pStyle w:val="TableContents"/>
              <w:bidi w:val="0"/>
              <w:spacing w:before="0" w:after="0"/>
              <w:ind w:left="0" w:right="0" w:hanging="0"/>
              <w:jc w:val="both"/>
              <w:rPr/>
            </w:pPr>
            <w:hyperlink w:anchor="ITEM3DEFAULTSUPONSENIORSECURITIES_573487">
              <w:r>
                <w:rPr>
                  <w:rStyle w:val="InternetLink"/>
                  <w:rFonts w:ascii="Times New Roman;Times;serif" w:hAnsi="Times New Roman;Times;serif"/>
                  <w:b w:val="false"/>
                  <w:i w:val="false"/>
                  <w:caps w:val="false"/>
                  <w:smallCaps w:val="false"/>
                  <w:sz w:val="20"/>
                </w:rPr>
                <w:t>Defaults Upon Senior Securities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726" w:type="dxa"/>
            <w:tcBorders/>
            <w:vAlign w:val="center"/>
          </w:tcPr>
          <w:p>
            <w:pPr>
              <w:pStyle w:val="TableContents"/>
              <w:bidi w:val="0"/>
              <w:spacing w:before="0" w:after="0"/>
              <w:ind w:left="0" w:right="0" w:hanging="0"/>
              <w:jc w:val="both"/>
              <w:rPr/>
            </w:pPr>
            <w:hyperlink w:anchor="ITEM4MINESAFETYDISCLOSURES_7256">
              <w:r>
                <w:rPr>
                  <w:rStyle w:val="InternetLink"/>
                  <w:rFonts w:ascii="Times New Roman;Times;serif" w:hAnsi="Times New Roman;Times;serif"/>
                  <w:b w:val="false"/>
                  <w:i w:val="false"/>
                  <w:caps w:val="false"/>
                  <w:smallCaps w:val="false"/>
                  <w:sz w:val="20"/>
                </w:rPr>
                <w:t>Item 4.</w:t>
              </w:r>
            </w:hyperlink>
          </w:p>
        </w:tc>
        <w:tc>
          <w:tcPr>
            <w:tcW w:w="8907" w:type="dxa"/>
            <w:tcBorders/>
            <w:vAlign w:val="center"/>
          </w:tcPr>
          <w:p>
            <w:pPr>
              <w:pStyle w:val="TableContents"/>
              <w:bidi w:val="0"/>
              <w:spacing w:before="0" w:after="0"/>
              <w:ind w:left="0" w:right="0" w:hanging="0"/>
              <w:jc w:val="both"/>
              <w:rPr/>
            </w:pPr>
            <w:hyperlink w:anchor="ITEM4MINESAFETYDISCLOSURES_7256">
              <w:r>
                <w:rPr>
                  <w:rStyle w:val="InternetLink"/>
                  <w:rFonts w:ascii="Times New Roman;Times;serif" w:hAnsi="Times New Roman;Times;serif"/>
                  <w:b w:val="false"/>
                  <w:i w:val="false"/>
                  <w:caps w:val="false"/>
                  <w:smallCaps w:val="false"/>
                  <w:sz w:val="20"/>
                </w:rPr>
                <w:t>Mine Safety Disclosures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726" w:type="dxa"/>
            <w:tcBorders/>
            <w:vAlign w:val="center"/>
          </w:tcPr>
          <w:p>
            <w:pPr>
              <w:pStyle w:val="TableContents"/>
              <w:bidi w:val="0"/>
              <w:spacing w:before="0" w:after="0"/>
              <w:ind w:left="0" w:right="0" w:hanging="0"/>
              <w:jc w:val="both"/>
              <w:rPr/>
            </w:pPr>
            <w:hyperlink w:anchor="ITEM5OTHERINFORMATION_591263">
              <w:r>
                <w:rPr>
                  <w:rStyle w:val="InternetLink"/>
                  <w:rFonts w:ascii="Times New Roman;Times;serif" w:hAnsi="Times New Roman;Times;serif"/>
                  <w:b w:val="false"/>
                  <w:i w:val="false"/>
                  <w:caps w:val="false"/>
                  <w:smallCaps w:val="false"/>
                  <w:sz w:val="20"/>
                </w:rPr>
                <w:t>Item 5.</w:t>
              </w:r>
            </w:hyperlink>
          </w:p>
        </w:tc>
        <w:tc>
          <w:tcPr>
            <w:tcW w:w="8907" w:type="dxa"/>
            <w:tcBorders/>
            <w:vAlign w:val="center"/>
          </w:tcPr>
          <w:p>
            <w:pPr>
              <w:pStyle w:val="TableContents"/>
              <w:bidi w:val="0"/>
              <w:spacing w:before="0" w:after="0"/>
              <w:ind w:left="0" w:right="0" w:hanging="0"/>
              <w:jc w:val="both"/>
              <w:rPr/>
            </w:pPr>
            <w:hyperlink w:anchor="ITEM5OTHERINFORMATION_591263">
              <w:r>
                <w:rPr>
                  <w:rStyle w:val="InternetLink"/>
                  <w:rFonts w:ascii="Times New Roman;Times;serif" w:hAnsi="Times New Roman;Times;serif"/>
                  <w:b w:val="false"/>
                  <w:i w:val="false"/>
                  <w:caps w:val="false"/>
                  <w:smallCaps w:val="false"/>
                  <w:sz w:val="20"/>
                </w:rPr>
                <w:t xml:space="preserve">Other Information </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726" w:type="dxa"/>
            <w:tcBorders/>
            <w:vAlign w:val="center"/>
          </w:tcPr>
          <w:p>
            <w:pPr>
              <w:pStyle w:val="TableContents"/>
              <w:bidi w:val="0"/>
              <w:spacing w:before="0" w:after="0"/>
              <w:ind w:left="0" w:right="0" w:hanging="0"/>
              <w:jc w:val="both"/>
              <w:rPr/>
            </w:pPr>
            <w:hyperlink w:anchor="ITEM6EXHIBITS_780342">
              <w:r>
                <w:rPr>
                  <w:rStyle w:val="InternetLink"/>
                  <w:rFonts w:ascii="Times New Roman;Times;serif" w:hAnsi="Times New Roman;Times;serif"/>
                  <w:b w:val="false"/>
                  <w:i w:val="false"/>
                  <w:caps w:val="false"/>
                  <w:smallCaps w:val="false"/>
                  <w:sz w:val="20"/>
                </w:rPr>
                <w:t>Item 6.</w:t>
              </w:r>
            </w:hyperlink>
          </w:p>
        </w:tc>
        <w:tc>
          <w:tcPr>
            <w:tcW w:w="8907" w:type="dxa"/>
            <w:tcBorders/>
            <w:vAlign w:val="center"/>
          </w:tcPr>
          <w:p>
            <w:pPr>
              <w:pStyle w:val="TableContents"/>
              <w:bidi w:val="0"/>
              <w:spacing w:before="0" w:after="0"/>
              <w:ind w:left="0" w:right="0" w:hanging="0"/>
              <w:jc w:val="both"/>
              <w:rPr/>
            </w:pPr>
            <w:hyperlink w:anchor="ITEM6EXHIBITS_780342">
              <w:r>
                <w:rPr>
                  <w:rStyle w:val="InternetLink"/>
                  <w:rFonts w:ascii="Times New Roman;Times;serif" w:hAnsi="Times New Roman;Times;serif"/>
                  <w:b w:val="false"/>
                  <w:i w:val="false"/>
                  <w:caps w:val="false"/>
                  <w:smallCaps w:val="false"/>
                  <w:sz w:val="20"/>
                </w:rPr>
                <w:t>Exhibits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726" w:type="dxa"/>
            <w:tcBorders/>
            <w:vAlign w:val="center"/>
          </w:tcPr>
          <w:p>
            <w:pPr>
              <w:pStyle w:val="TableContents"/>
              <w:bidi w:val="0"/>
              <w:spacing w:before="0" w:after="283"/>
              <w:ind w:left="0" w:right="0" w:hanging="0"/>
              <w:jc w:val="left"/>
              <w:rPr>
                <w:sz w:val="4"/>
                <w:szCs w:val="4"/>
              </w:rPr>
            </w:pPr>
            <w:r>
              <w:rPr>
                <w:sz w:val="4"/>
                <w:szCs w:val="4"/>
              </w:rPr>
            </w:r>
          </w:p>
        </w:tc>
        <w:tc>
          <w:tcPr>
            <w:tcW w:w="8907" w:type="dxa"/>
            <w:tcBorders/>
            <w:vAlign w:val="center"/>
          </w:tcPr>
          <w:p>
            <w:pPr>
              <w:pStyle w:val="TableContents"/>
              <w:bidi w:val="0"/>
              <w:spacing w:before="0" w:after="0"/>
              <w:ind w:left="0" w:right="0" w:hanging="0"/>
              <w:jc w:val="both"/>
              <w:rPr/>
            </w:pPr>
            <w:hyperlink w:anchor="SIGNATURES_99336">
              <w:r>
                <w:rPr>
                  <w:rStyle w:val="InternetLink"/>
                  <w:rFonts w:ascii="Times New Roman;Times;serif" w:hAnsi="Times New Roman;Times;serif"/>
                  <w:b w:val="false"/>
                  <w:i w:val="false"/>
                  <w:caps w:val="false"/>
                  <w:smallCaps w:val="false"/>
                  <w:sz w:val="20"/>
                </w:rPr>
                <w:t>Signatures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sz w:val="20"/>
        </w:rPr>
      </w:pPr>
      <w:bookmarkStart w:id="51" w:name="_3d8ba403_b735_4c4b_b7af_2f0b5b5a38ce"/>
      <w:bookmarkEnd w:id="51"/>
      <w:r>
        <w:rPr>
          <w:rFonts w:ascii="Times New Roman;Times;serif" w:hAnsi="Times New Roman;Times;serif"/>
          <w:b/>
          <w:sz w:val="20"/>
        </w:rPr>
        <w:t>SPECIAL NOTE REGARDING FORWARD-LOOKING STATEMENTS</w:t>
      </w:r>
      <w:r>
        <w:rPr>
          <w:rFonts w:ascii="Times New Roman;Times;serif" w:hAnsi="Times New Roman;Times;serif"/>
          <w:color w:val="FF0000"/>
          <w:sz w:val="20"/>
        </w:rPr>
        <w:t xml:space="preserve"> </w:t>
      </w:r>
    </w:p>
    <w:p>
      <w:pPr>
        <w:pStyle w:val="TextBody"/>
        <w:bidi w:val="0"/>
        <w:spacing w:before="0" w:after="240"/>
        <w:ind w:left="0" w:right="0" w:hanging="0"/>
        <w:jc w:val="both"/>
        <w:rPr>
          <w:rFonts w:ascii="Times New Roman;Times;serif" w:hAnsi="Times New Roman;Times;serif"/>
          <w:sz w:val="20"/>
        </w:rPr>
      </w:pPr>
      <w:bookmarkStart w:id="52" w:name="_Hlk212805688"/>
      <w:bookmarkEnd w:id="52"/>
      <w:r>
        <w:rPr>
          <w:rFonts w:ascii="Times New Roman;Times;serif" w:hAnsi="Times New Roman;Times;serif"/>
          <w:sz w:val="20"/>
        </w:rPr>
        <w:t>This Quarterly Report on Form 10-Q contains forward-looking statements within the meaning of the Private Securities Litigation Reform Act of 1995. All statements made in this Quarterly Report on Form 10-Q that are not statements of historical fact, including statements about our beliefs and expectations and regarding future events or our future results of operations, financial condition, business, strategies, financial needs, the plans and objectives of management, and our stock repurchase program are forward-looking statements and should be evaluated as such. These statements often include words such as “anticipate,” “believe,” “expect,” “suggests,” “plans,” “intend,” “estimates,” “targets,” “projects,” “should,” “could,” “would,” “may,” “will,” “forecast,” and other similar expressions or the negatives of those terms. We base these forward-looking statements on our current expectations, plans, and assumptions that we have made in light of our experience in the industry, as well as our perceptions of historical trends, current conditions, expected future developments and other factors we believe are appropriate under the circumstances at such time. As you read and consider this Quarterly Report on Form 10-Q, you should understand that these statements are not guarantees of future performance or results. The forward-looking statements are subject to and involve risks, uncertainties and assumptions, and you should not place undue reliance on these forward-looking statements. Although we believe that these forward-looking statements are based on reasonable assumptions at the time they are made, you should be aware that many factors could affect our actual results or results of operations and could cause actual results to differ materially from those expressed in the forward-looking statements. Important factors that may materially affect such forward-looking statements include, but are not limited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and grow revenue from existing customers and new customers, and expand their usage of our solutions;</w:t>
            </w:r>
          </w:p>
        </w:tc>
      </w:tr>
    </w:tbl>
    <w:tbl>
      <w:tblPr>
        <w:tblW w:w="6981" w:type="dxa"/>
        <w:jc w:val="left"/>
        <w:tblInd w:w="0" w:type="dxa"/>
        <w:tblLayout w:type="fixed"/>
        <w:tblCellMar>
          <w:top w:w="28" w:type="dxa"/>
          <w:left w:w="28" w:type="dxa"/>
          <w:bottom w:w="28" w:type="dxa"/>
          <w:right w:w="28" w:type="dxa"/>
        </w:tblCellMar>
      </w:tblPr>
      <w:tblGrid>
        <w:gridCol w:w="124"/>
        <w:gridCol w:w="256"/>
        <w:gridCol w:w="6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and expand our strategic relationships with third parties;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adapt to technological change and successfully introduce new solutions or provide updates to existing solutions;</w:t>
            </w:r>
          </w:p>
        </w:tc>
      </w:tr>
    </w:tbl>
    <w:tbl>
      <w:tblPr>
        <w:tblW w:w="5946" w:type="dxa"/>
        <w:jc w:val="left"/>
        <w:tblInd w:w="0" w:type="dxa"/>
        <w:tblLayout w:type="fixed"/>
        <w:tblCellMar>
          <w:top w:w="28" w:type="dxa"/>
          <w:left w:w="28" w:type="dxa"/>
          <w:bottom w:w="28" w:type="dxa"/>
          <w:right w:w="28" w:type="dxa"/>
        </w:tblCellMar>
      </w:tblPr>
      <w:tblGrid>
        <w:gridCol w:w="124"/>
        <w:gridCol w:w="256"/>
        <w:gridCol w:w="55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failures in information technology or infrastructure;</w:t>
            </w:r>
          </w:p>
        </w:tc>
      </w:tr>
    </w:tbl>
    <w:tbl>
      <w:tblPr>
        <w:tblW w:w="8046" w:type="dxa"/>
        <w:jc w:val="left"/>
        <w:tblInd w:w="0" w:type="dxa"/>
        <w:tblLayout w:type="fixed"/>
        <w:tblCellMar>
          <w:top w:w="28" w:type="dxa"/>
          <w:left w:w="28" w:type="dxa"/>
          <w:bottom w:w="28" w:type="dxa"/>
          <w:right w:w="28" w:type="dxa"/>
        </w:tblCellMar>
      </w:tblPr>
      <w:tblGrid>
        <w:gridCol w:w="124"/>
        <w:gridCol w:w="256"/>
        <w:gridCol w:w="7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reliance on government infrastructure to support our e-invoicing services;</w:t>
            </w:r>
          </w:p>
        </w:tc>
      </w:tr>
    </w:tbl>
    <w:tbl>
      <w:tblPr>
        <w:tblW w:w="7491" w:type="dxa"/>
        <w:jc w:val="left"/>
        <w:tblInd w:w="0" w:type="dxa"/>
        <w:tblLayout w:type="fixed"/>
        <w:tblCellMar>
          <w:top w:w="28" w:type="dxa"/>
          <w:left w:w="28" w:type="dxa"/>
          <w:bottom w:w="28" w:type="dxa"/>
          <w:right w:w="28" w:type="dxa"/>
        </w:tblCellMar>
      </w:tblPr>
      <w:tblGrid>
        <w:gridCol w:w="124"/>
        <w:gridCol w:w="256"/>
        <w:gridCol w:w="71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challenges in using and managing use of Artificial Intelligence (“AI”) in our business;</w:t>
            </w:r>
          </w:p>
        </w:tc>
      </w:tr>
    </w:tbl>
    <w:tbl>
      <w:tblPr>
        <w:tblW w:w="6516" w:type="dxa"/>
        <w:jc w:val="left"/>
        <w:tblInd w:w="0" w:type="dxa"/>
        <w:tblLayout w:type="fixed"/>
        <w:tblCellMar>
          <w:top w:w="28" w:type="dxa"/>
          <w:left w:w="28" w:type="dxa"/>
          <w:bottom w:w="28" w:type="dxa"/>
          <w:right w:w="28" w:type="dxa"/>
        </w:tblCellMar>
      </w:tblPr>
      <w:tblGrid>
        <w:gridCol w:w="124"/>
        <w:gridCol w:w="256"/>
        <w:gridCol w:w="6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incorrect or improper implementation, integration or use of our solutions; </w:t>
            </w:r>
          </w:p>
        </w:tc>
      </w:tr>
    </w:tbl>
    <w:tbl>
      <w:tblPr>
        <w:tblW w:w="6471" w:type="dxa"/>
        <w:jc w:val="left"/>
        <w:tblInd w:w="0" w:type="dxa"/>
        <w:tblLayout w:type="fixed"/>
        <w:tblCellMar>
          <w:top w:w="28" w:type="dxa"/>
          <w:left w:w="28" w:type="dxa"/>
          <w:bottom w:w="28" w:type="dxa"/>
          <w:right w:w="28" w:type="dxa"/>
        </w:tblCellMar>
      </w:tblPr>
      <w:tblGrid>
        <w:gridCol w:w="124"/>
        <w:gridCol w:w="256"/>
        <w:gridCol w:w="6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attract and retain qualified technical and tax-content personnel;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competitive pressures from other tax software and service providers and challenges of convincing businesses using native enterprise resource planning functions to switch to our software;</w:t>
            </w:r>
          </w:p>
        </w:tc>
      </w:tr>
    </w:tbl>
    <w:tbl>
      <w:tblPr>
        <w:tblW w:w="9186" w:type="dxa"/>
        <w:jc w:val="left"/>
        <w:tblInd w:w="0" w:type="dxa"/>
        <w:tblLayout w:type="fixed"/>
        <w:tblCellMar>
          <w:top w:w="28" w:type="dxa"/>
          <w:left w:w="28" w:type="dxa"/>
          <w:bottom w:w="28" w:type="dxa"/>
          <w:right w:w="28" w:type="dxa"/>
        </w:tblCellMar>
      </w:tblPr>
      <w:tblGrid>
        <w:gridCol w:w="124"/>
        <w:gridCol w:w="256"/>
        <w:gridCol w:w="8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accurately forecast our revenue and other future results of operations based on recent success;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offer specific software deployment methods based on changes to customers’ and partners’ software systems;</w:t>
            </w:r>
          </w:p>
        </w:tc>
      </w:tr>
    </w:tbl>
    <w:tbl>
      <w:tblPr>
        <w:tblW w:w="8361" w:type="dxa"/>
        <w:jc w:val="left"/>
        <w:tblInd w:w="0" w:type="dxa"/>
        <w:tblLayout w:type="fixed"/>
        <w:tblCellMar>
          <w:top w:w="28" w:type="dxa"/>
          <w:left w:w="28" w:type="dxa"/>
          <w:bottom w:w="28" w:type="dxa"/>
          <w:right w:w="28" w:type="dxa"/>
        </w:tblCellMar>
      </w:tblPr>
      <w:tblGrid>
        <w:gridCol w:w="124"/>
        <w:gridCol w:w="256"/>
        <w:gridCol w:w="79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continue making significant investments in software development and equipment; </w:t>
            </w:r>
          </w:p>
        </w:tc>
      </w:tr>
    </w:tbl>
    <w:tbl>
      <w:tblPr>
        <w:tblW w:w="9951" w:type="dxa"/>
        <w:jc w:val="left"/>
        <w:tblInd w:w="0" w:type="dxa"/>
        <w:tblLayout w:type="fixed"/>
        <w:tblCellMar>
          <w:top w:w="28" w:type="dxa"/>
          <w:left w:w="28" w:type="dxa"/>
          <w:bottom w:w="28" w:type="dxa"/>
          <w:right w:w="28" w:type="dxa"/>
        </w:tblCellMar>
      </w:tblPr>
      <w:tblGrid>
        <w:gridCol w:w="124"/>
        <w:gridCol w:w="256"/>
        <w:gridCol w:w="9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sustain and expand revenues, maintain profitability, and to effectively manage our anticipated growth;</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diversify our solutions by developing or introducing new solutions or acquiring and integrating additional businesses, products, services, or content;</w:t>
            </w:r>
          </w:p>
        </w:tc>
      </w:tr>
    </w:tbl>
    <w:tbl>
      <w:tblPr>
        <w:tblW w:w="9861" w:type="dxa"/>
        <w:jc w:val="left"/>
        <w:tblInd w:w="0" w:type="dxa"/>
        <w:tblLayout w:type="fixed"/>
        <w:tblCellMar>
          <w:top w:w="28" w:type="dxa"/>
          <w:left w:w="28" w:type="dxa"/>
          <w:bottom w:w="28" w:type="dxa"/>
          <w:right w:w="28" w:type="dxa"/>
        </w:tblCellMar>
      </w:tblPr>
      <w:tblGrid>
        <w:gridCol w:w="124"/>
        <w:gridCol w:w="256"/>
        <w:gridCol w:w="9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integrate acquired businesses and to realize the anticipated benefits of such acquisitions;</w:t>
            </w:r>
          </w:p>
        </w:tc>
      </w:tr>
    </w:tbl>
    <w:tbl>
      <w:tblPr>
        <w:tblW w:w="5301" w:type="dxa"/>
        <w:jc w:val="left"/>
        <w:tblInd w:w="0" w:type="dxa"/>
        <w:tblLayout w:type="fixed"/>
        <w:tblCellMar>
          <w:top w:w="28" w:type="dxa"/>
          <w:left w:w="28" w:type="dxa"/>
          <w:bottom w:w="28" w:type="dxa"/>
          <w:right w:w="28" w:type="dxa"/>
        </w:tblCellMar>
      </w:tblPr>
      <w:tblGrid>
        <w:gridCol w:w="124"/>
        <w:gridCol w:w="256"/>
        <w:gridCol w:w="49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the fluctuations in our results of operations;</w:t>
            </w:r>
          </w:p>
        </w:tc>
      </w:tr>
    </w:tbl>
    <w:tbl>
      <w:tblPr>
        <w:tblW w:w="5001" w:type="dxa"/>
        <w:jc w:val="left"/>
        <w:tblInd w:w="0" w:type="dxa"/>
        <w:tblLayout w:type="fixed"/>
        <w:tblCellMar>
          <w:top w:w="28" w:type="dxa"/>
          <w:left w:w="28" w:type="dxa"/>
          <w:bottom w:w="28" w:type="dxa"/>
          <w:right w:w="28" w:type="dxa"/>
        </w:tblCellMar>
      </w:tblPr>
      <w:tblGrid>
        <w:gridCol w:w="124"/>
        <w:gridCol w:w="256"/>
        <w:gridCol w:w="46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expanding international operations;</w:t>
            </w:r>
          </w:p>
        </w:tc>
      </w:tr>
    </w:tbl>
    <w:tbl>
      <w:tblPr>
        <w:tblW w:w="9351" w:type="dxa"/>
        <w:jc w:val="left"/>
        <w:tblInd w:w="0" w:type="dxa"/>
        <w:tblLayout w:type="fixed"/>
        <w:tblCellMar>
          <w:top w:w="28" w:type="dxa"/>
          <w:left w:w="28" w:type="dxa"/>
          <w:bottom w:w="28" w:type="dxa"/>
          <w:right w:w="28" w:type="dxa"/>
        </w:tblCellMar>
      </w:tblPr>
      <w:tblGrid>
        <w:gridCol w:w="124"/>
        <w:gridCol w:w="256"/>
        <w:gridCol w:w="89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exposure to liability from errors, delays, fraud or system failures, which may not be covered by insurance;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121" w:type="dxa"/>
        <w:jc w:val="left"/>
        <w:tblInd w:w="0" w:type="dxa"/>
        <w:tblLayout w:type="fixed"/>
        <w:tblCellMar>
          <w:top w:w="28" w:type="dxa"/>
          <w:left w:w="28" w:type="dxa"/>
          <w:bottom w:w="28" w:type="dxa"/>
          <w:right w:w="28" w:type="dxa"/>
        </w:tblCellMar>
      </w:tblPr>
      <w:tblGrid>
        <w:gridCol w:w="124"/>
        <w:gridCol w:w="256"/>
        <w:gridCol w:w="77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adapt to organizational changes and effectively implement strategic initiatives; </w:t>
            </w:r>
          </w:p>
        </w:tc>
      </w:tr>
    </w:tbl>
    <w:tbl>
      <w:tblPr>
        <w:tblW w:w="7191" w:type="dxa"/>
        <w:jc w:val="left"/>
        <w:tblInd w:w="0" w:type="dxa"/>
        <w:tblLayout w:type="fixed"/>
        <w:tblCellMar>
          <w:top w:w="28" w:type="dxa"/>
          <w:left w:w="28" w:type="dxa"/>
          <w:bottom w:w="28" w:type="dxa"/>
          <w:right w:w="28" w:type="dxa"/>
        </w:tblCellMar>
      </w:tblPr>
      <w:tblGrid>
        <w:gridCol w:w="124"/>
        <w:gridCol w:w="256"/>
        <w:gridCol w:w="6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determinations of customers’ transaction tax and tax payments;</w:t>
            </w:r>
          </w:p>
        </w:tc>
      </w:tr>
    </w:tbl>
    <w:tbl>
      <w:tblPr>
        <w:tblW w:w="7746" w:type="dxa"/>
        <w:jc w:val="left"/>
        <w:tblInd w:w="0" w:type="dxa"/>
        <w:tblLayout w:type="fixed"/>
        <w:tblCellMar>
          <w:top w:w="28" w:type="dxa"/>
          <w:left w:w="28" w:type="dxa"/>
          <w:bottom w:w="28" w:type="dxa"/>
          <w:right w:w="28" w:type="dxa"/>
        </w:tblCellMar>
      </w:tblPr>
      <w:tblGrid>
        <w:gridCol w:w="124"/>
        <w:gridCol w:w="256"/>
        <w:gridCol w:w="7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changes in tax laws and regulations or their interpretation or enforcement;</w:t>
            </w:r>
          </w:p>
        </w:tc>
      </w:tr>
    </w:tbl>
    <w:tbl>
      <w:tblPr>
        <w:tblW w:w="5286" w:type="dxa"/>
        <w:jc w:val="left"/>
        <w:tblInd w:w="0" w:type="dxa"/>
        <w:tblLayout w:type="fixed"/>
        <w:tblCellMar>
          <w:top w:w="28" w:type="dxa"/>
          <w:left w:w="28" w:type="dxa"/>
          <w:bottom w:w="28" w:type="dxa"/>
          <w:right w:w="28" w:type="dxa"/>
        </w:tblCellMar>
      </w:tblPr>
      <w:tblGrid>
        <w:gridCol w:w="124"/>
        <w:gridCol w:w="256"/>
        <w:gridCol w:w="4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cybersecurity and data privacy risks;</w:t>
            </w:r>
          </w:p>
        </w:tc>
      </w:tr>
    </w:tbl>
    <w:tbl>
      <w:tblPr>
        <w:tblW w:w="5271" w:type="dxa"/>
        <w:jc w:val="left"/>
        <w:tblInd w:w="0" w:type="dxa"/>
        <w:tblLayout w:type="fixed"/>
        <w:tblCellMar>
          <w:top w:w="28" w:type="dxa"/>
          <w:left w:w="28" w:type="dxa"/>
          <w:bottom w:w="28" w:type="dxa"/>
          <w:right w:w="28" w:type="dxa"/>
        </w:tblCellMar>
      </w:tblPr>
      <w:tblGrid>
        <w:gridCol w:w="124"/>
        <w:gridCol w:w="256"/>
        <w:gridCol w:w="48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involvement in material legal proceedings and audits; </w:t>
            </w:r>
          </w:p>
        </w:tc>
      </w:tr>
    </w:tbl>
    <w:tbl>
      <w:tblPr>
        <w:tblW w:w="5766" w:type="dxa"/>
        <w:jc w:val="left"/>
        <w:tblInd w:w="0" w:type="dxa"/>
        <w:tblLayout w:type="fixed"/>
        <w:tblCellMar>
          <w:top w:w="28" w:type="dxa"/>
          <w:left w:w="28" w:type="dxa"/>
          <w:bottom w:w="28" w:type="dxa"/>
          <w:right w:w="28" w:type="dxa"/>
        </w:tblCellMar>
      </w:tblPr>
      <w:tblGrid>
        <w:gridCol w:w="124"/>
        <w:gridCol w:w="256"/>
        <w:gridCol w:w="5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undetected errors, bugs or defects in our software;</w:t>
            </w:r>
          </w:p>
        </w:tc>
      </w:tr>
    </w:tbl>
    <w:tbl>
      <w:tblPr>
        <w:tblW w:w="8256" w:type="dxa"/>
        <w:jc w:val="left"/>
        <w:tblInd w:w="0" w:type="dxa"/>
        <w:tblLayout w:type="fixed"/>
        <w:tblCellMar>
          <w:top w:w="28" w:type="dxa"/>
          <w:left w:w="28" w:type="dxa"/>
          <w:bottom w:w="28" w:type="dxa"/>
          <w:right w:w="28" w:type="dxa"/>
        </w:tblCellMar>
      </w:tblPr>
      <w:tblGrid>
        <w:gridCol w:w="124"/>
        <w:gridCol w:w="256"/>
        <w:gridCol w:w="78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utilization of open-source software, business processes and information systems;</w:t>
            </w:r>
          </w:p>
        </w:tc>
      </w:tr>
    </w:tbl>
    <w:tbl>
      <w:tblPr>
        <w:tblW w:w="5931" w:type="dxa"/>
        <w:jc w:val="left"/>
        <w:tblInd w:w="0" w:type="dxa"/>
        <w:tblLayout w:type="fixed"/>
        <w:tblCellMar>
          <w:top w:w="28" w:type="dxa"/>
          <w:left w:w="28" w:type="dxa"/>
          <w:bottom w:w="28" w:type="dxa"/>
          <w:right w:w="28" w:type="dxa"/>
        </w:tblCellMar>
      </w:tblPr>
      <w:tblGrid>
        <w:gridCol w:w="124"/>
        <w:gridCol w:w="256"/>
        <w:gridCol w:w="55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effectively protect, maintain, and enhance our brand;</w:t>
            </w:r>
          </w:p>
        </w:tc>
      </w:tr>
    </w:tbl>
    <w:tbl>
      <w:tblPr>
        <w:tblW w:w="7416" w:type="dxa"/>
        <w:jc w:val="left"/>
        <w:tblInd w:w="0" w:type="dxa"/>
        <w:tblLayout w:type="fixed"/>
        <w:tblCellMar>
          <w:top w:w="28" w:type="dxa"/>
          <w:left w:w="28" w:type="dxa"/>
          <w:bottom w:w="28" w:type="dxa"/>
          <w:right w:w="28" w:type="dxa"/>
        </w:tblCellMar>
      </w:tblPr>
      <w:tblGrid>
        <w:gridCol w:w="124"/>
        <w:gridCol w:w="256"/>
        <w:gridCol w:w="70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application, scope, interpretation or enforcement of laws and regulations;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economic weakness and uncertainties, including the economic uncertainty created by the changing legal, regulatory, or taxation landscape in the United States, and disruption in the capital and credit markets;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disruptions related to natural disasters, epidemic outbreaks, including a global endemic or pandemic, terrorist acts, political events, or other events outside of our control;</w:t>
            </w:r>
          </w:p>
        </w:tc>
      </w:tr>
    </w:tbl>
    <w:tbl>
      <w:tblPr>
        <w:tblW w:w="6441" w:type="dxa"/>
        <w:jc w:val="left"/>
        <w:tblInd w:w="0" w:type="dxa"/>
        <w:tblLayout w:type="fixed"/>
        <w:tblCellMar>
          <w:top w:w="28" w:type="dxa"/>
          <w:left w:w="28" w:type="dxa"/>
          <w:bottom w:w="28" w:type="dxa"/>
          <w:right w:w="28" w:type="dxa"/>
        </w:tblCellMar>
      </w:tblPr>
      <w:tblGrid>
        <w:gridCol w:w="124"/>
        <w:gridCol w:w="256"/>
        <w:gridCol w:w="6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comply with anti-corruption, anti-bribery, and similar laws;</w:t>
            </w:r>
          </w:p>
        </w:tc>
      </w:tr>
    </w:tbl>
    <w:tbl>
      <w:tblPr>
        <w:tblW w:w="4341" w:type="dxa"/>
        <w:jc w:val="left"/>
        <w:tblInd w:w="0" w:type="dxa"/>
        <w:tblLayout w:type="fixed"/>
        <w:tblCellMar>
          <w:top w:w="28" w:type="dxa"/>
          <w:left w:w="28" w:type="dxa"/>
          <w:bottom w:w="28" w:type="dxa"/>
          <w:right w:w="28" w:type="dxa"/>
        </w:tblCellMar>
      </w:tblPr>
      <w:tblGrid>
        <w:gridCol w:w="124"/>
        <w:gridCol w:w="256"/>
        <w:gridCol w:w="39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protect our intellectual property;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interest rates, security ratings and market perceptions of the industry in which we operate, or our ability to obtain capital on commercially reasonable terms or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an effective system of disclosure controls and internal control over financial reporting, or ability to remediate any material weakness in our internal controls;</w:t>
            </w:r>
          </w:p>
        </w:tc>
      </w:tr>
    </w:tbl>
    <w:tbl>
      <w:tblPr>
        <w:tblW w:w="6516" w:type="dxa"/>
        <w:jc w:val="left"/>
        <w:tblInd w:w="0" w:type="dxa"/>
        <w:tblLayout w:type="fixed"/>
        <w:tblCellMar>
          <w:top w:w="28" w:type="dxa"/>
          <w:left w:w="28" w:type="dxa"/>
          <w:bottom w:w="28" w:type="dxa"/>
          <w:right w:w="28" w:type="dxa"/>
        </w:tblCellMar>
      </w:tblPr>
      <w:tblGrid>
        <w:gridCol w:w="124"/>
        <w:gridCol w:w="256"/>
        <w:gridCol w:w="6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Class A common stock and controlled company status;</w:t>
            </w:r>
          </w:p>
        </w:tc>
      </w:tr>
    </w:tbl>
    <w:tbl>
      <w:tblPr>
        <w:tblW w:w="7956" w:type="dxa"/>
        <w:jc w:val="left"/>
        <w:tblInd w:w="0" w:type="dxa"/>
        <w:tblLayout w:type="fixed"/>
        <w:tblCellMar>
          <w:top w:w="28" w:type="dxa"/>
          <w:left w:w="28" w:type="dxa"/>
          <w:bottom w:w="28" w:type="dxa"/>
          <w:right w:w="28" w:type="dxa"/>
        </w:tblCellMar>
      </w:tblPr>
      <w:tblGrid>
        <w:gridCol w:w="124"/>
        <w:gridCol w:w="256"/>
        <w:gridCol w:w="75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Repurchase Program (as defined in the notes to the financial statements);</w:t>
            </w:r>
          </w:p>
        </w:tc>
      </w:tr>
    </w:tbl>
    <w:tbl>
      <w:tblPr>
        <w:tblW w:w="8016" w:type="dxa"/>
        <w:jc w:val="left"/>
        <w:tblInd w:w="0" w:type="dxa"/>
        <w:tblLayout w:type="fixed"/>
        <w:tblCellMar>
          <w:top w:w="28" w:type="dxa"/>
          <w:left w:w="28" w:type="dxa"/>
          <w:bottom w:w="28" w:type="dxa"/>
          <w:right w:w="28" w:type="dxa"/>
        </w:tblCellMar>
      </w:tblPr>
      <w:tblGrid>
        <w:gridCol w:w="124"/>
        <w:gridCol w:w="256"/>
        <w:gridCol w:w="76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indebtedness and adherence to the covenants under our debt instruments;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effects of the Capped Call Transactions (as defined in the notes to the financial statements) and the actions of the Option Counterparties (as defined in the notes to the financial statements) and/or their respective affiliates; </w:t>
            </w:r>
          </w:p>
        </w:tc>
      </w:tr>
    </w:tbl>
    <w:tbl>
      <w:tblPr>
        <w:tblW w:w="3771" w:type="dxa"/>
        <w:jc w:val="left"/>
        <w:tblInd w:w="0" w:type="dxa"/>
        <w:tblLayout w:type="fixed"/>
        <w:tblCellMar>
          <w:top w:w="28" w:type="dxa"/>
          <w:left w:w="28" w:type="dxa"/>
          <w:bottom w:w="28" w:type="dxa"/>
          <w:right w:w="28" w:type="dxa"/>
        </w:tblCellMar>
      </w:tblPr>
      <w:tblGrid>
        <w:gridCol w:w="124"/>
        <w:gridCol w:w="256"/>
        <w:gridCol w:w="33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Value Creation Plan;</w:t>
            </w:r>
          </w:p>
        </w:tc>
      </w:tr>
    </w:tbl>
    <w:tbl>
      <w:tblPr>
        <w:tblW w:w="8346" w:type="dxa"/>
        <w:jc w:val="left"/>
        <w:tblInd w:w="0" w:type="dxa"/>
        <w:tblLayout w:type="fixed"/>
        <w:tblCellMar>
          <w:top w:w="28" w:type="dxa"/>
          <w:left w:w="28" w:type="dxa"/>
          <w:bottom w:w="28" w:type="dxa"/>
          <w:right w:w="28" w:type="dxa"/>
        </w:tblCellMar>
      </w:tblPr>
      <w:tblGrid>
        <w:gridCol w:w="124"/>
        <w:gridCol w:w="256"/>
        <w:gridCol w:w="79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statements of belief and any statements of assumptions underlying any of the foregoing; and</w:t>
            </w:r>
          </w:p>
        </w:tc>
      </w:tr>
    </w:tbl>
    <w:tbl>
      <w:tblPr>
        <w:tblW w:w="3186" w:type="dxa"/>
        <w:jc w:val="left"/>
        <w:tblInd w:w="0" w:type="dxa"/>
        <w:tblLayout w:type="fixed"/>
        <w:tblCellMar>
          <w:top w:w="28" w:type="dxa"/>
          <w:left w:w="28" w:type="dxa"/>
          <w:bottom w:w="28" w:type="dxa"/>
          <w:right w:w="28" w:type="dxa"/>
        </w:tblCellMar>
      </w:tblPr>
      <w:tblGrid>
        <w:gridCol w:w="124"/>
        <w:gridCol w:w="256"/>
        <w:gridCol w:w="2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factors beyond our control.</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risks included here are not exhaustive, and additional factors could adversely affect our business and financial performance, including factors and risks included in our Annual Report on Form 10-K for the year ended December 31, 2025, filed with the Securities and Exchange Commission (the “SEC”) on February 24, 2026 (the “2025 Annual Report”). Moreover, we operate in a very competitive and rapidly changing environment. New risk factors emerge from time to time, and it is not possible for us to identify all such risk factors, nor can we assess the impact of all such risk factors on the business or the extent to which any factor, or combination of factors, may cause actual results to differ materially from those contained in any forward-looking statements. Given these risks and uncertainties, you should not place undue reliance on our forward-looking statements, and you should not rely on forward-looking statements as predictions of future events. The results, events, and circumstances reflected in the forward-looking statements may not be achieved or occur, and actual results, events, or circumstances could differ materially from those described in the forward-looking statements. The forward-looking statements made in this Quarterly Report on Form 10-Q speak only as of the date of this report. We undertake no obligation to update any forward-looking statements made in this report to reflect events or circumstances after the date of this report or to reflect new information or the occurrence of unanticipated events, except as required by law. If we update one or more forward-looking statements, no inference should be drawn that we will make additional updates with respect to those or other forward-looking statements.</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17"/>
        </w:rPr>
      </w:pPr>
      <w:bookmarkStart w:id="53" w:name="PARTIFINANCIALINFORMATION_19634"/>
      <w:bookmarkStart w:id="54" w:name="_e3ea26ce_18a5_4ac6_9ce2_da5fde38cd66"/>
      <w:bookmarkEnd w:id="53"/>
      <w:bookmarkEnd w:id="54"/>
      <w:r>
        <w:rPr>
          <w:rFonts w:ascii="Times New Roman;Times;serif" w:hAnsi="Times New Roman;Times;serif"/>
          <w:b/>
          <w:sz w:val="17"/>
        </w:rPr>
        <w:t>PART I - FINANCIAL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16"/>
        </w:rPr>
      </w:pPr>
      <w:bookmarkStart w:id="55" w:name="Item1FINANCIALSTATEMENTS_787624"/>
      <w:bookmarkEnd w:id="55"/>
      <w:r>
        <w:rPr>
          <w:rFonts w:ascii="Times New Roman;Times;serif" w:hAnsi="Times New Roman;Times;serif"/>
          <w:b/>
          <w:sz w:val="16"/>
        </w:rPr>
        <w:t>Item 1.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Vertex, Inc. and Subsidiaries</w:t>
      </w:r>
    </w:p>
    <w:p>
      <w:pPr>
        <w:pStyle w:val="TextBody"/>
        <w:bidi w:val="0"/>
        <w:spacing w:before="0" w:after="0"/>
        <w:ind w:left="0" w:right="0" w:hanging="0"/>
        <w:jc w:val="center"/>
        <w:rPr>
          <w:rFonts w:ascii="Times New Roman;Times;serif" w:hAnsi="Times New Roman;Times;serif"/>
          <w:b/>
          <w:sz w:val="16"/>
        </w:rPr>
      </w:pPr>
      <w:bookmarkStart w:id="56" w:name="CondensedConsolidatedBalanceSheets_41728"/>
      <w:bookmarkEnd w:id="56"/>
      <w:r>
        <w:rPr>
          <w:rFonts w:ascii="Times New Roman;Times;serif" w:hAnsi="Times New Roman;Times;serif"/>
          <w:b/>
          <w:sz w:val="16"/>
        </w:rPr>
        <w:t>Condensed Consolidated Balance Sheets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March 31, 2026 and December 31, 2025</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(Amounts in thousands, except per share data)</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57" w:name="Tc_v6E6h6fmHUWCrTYywwkaYw_50_4"/>
      <w:bookmarkStart w:id="58" w:name="Tc_Zu0utk_9qEyamwMk7hJMKA_50_1"/>
      <w:bookmarkStart w:id="59" w:name="Tc_UBrfiKuD3ECVCPres8SxDw_50_0"/>
      <w:bookmarkStart w:id="60" w:name="Tc_9gUMVxNULUiXcXO0B8i4cw_49_0"/>
      <w:bookmarkStart w:id="61" w:name="Tc_3bixdrZFqECvI05xSmrM7w_48_0"/>
      <w:bookmarkStart w:id="62" w:name="Tc_9hPEeG1HlUic_HkdY-lIKQ_47_0"/>
      <w:bookmarkStart w:id="63" w:name="Tc_N95mrpy270eDfZL8xxb83A_46_0"/>
      <w:bookmarkStart w:id="64" w:name="Tc_9PwfEtsTyke-EJN77OWkdg_45_0"/>
      <w:bookmarkStart w:id="65" w:name="Tc_9DvkTPozf0mL1zl_FpNQcA_44_0"/>
      <w:bookmarkStart w:id="66" w:name="Tc_MeiOh1IDw0e9ykHHLXgp4A_43_0"/>
      <w:bookmarkStart w:id="67" w:name="_c22eb737_72e9_4a57_8485_cb84a75af111_3"/>
      <w:bookmarkStart w:id="68" w:name="_c22eb737_72e9_4a57_8485_cb84a75af111_2"/>
      <w:bookmarkStart w:id="69" w:name="_c22eb737_72e9_4a57_8485_cb84a75af111"/>
      <w:bookmarkStart w:id="70" w:name="Tc_92jAZIQKsUu0XjlH4imD6A_42_0"/>
      <w:bookmarkStart w:id="71" w:name="Tc_vl1l6ijTmEGF1V585lGQCA_41_0"/>
      <w:bookmarkStart w:id="72" w:name="Tc_CouuMW79LUu4Cn5bybmsOw_40_0"/>
      <w:bookmarkStart w:id="73" w:name="Tc_DWTK1NXLT0eLahRyPUUgfA_39_0"/>
      <w:bookmarkStart w:id="74" w:name="Tc_EcY7Al8UYkGyfcbf3YWQkA_38_2"/>
      <w:bookmarkStart w:id="75" w:name="Tc_ECMt5i1Izk2mmqojWPOiLQ_38_0"/>
      <w:bookmarkStart w:id="76" w:name="Tc_pd_SM48m_EihJ3Sg51AYZA_37_0"/>
      <w:bookmarkStart w:id="77" w:name="Tc_zXaV3hVlo0i3Kc6J99Fmfw_36_0"/>
      <w:bookmarkStart w:id="78" w:name="Tc_DenaWaeRgU2YEQ-JyWva_Q_35_0"/>
      <w:bookmarkStart w:id="79" w:name="Tc_llcVv-lbDkuRK0xLx06j9A_34_0"/>
      <w:bookmarkStart w:id="80" w:name="Tc_LvRJ3EHklESdk3lfdrpzkw_33_0"/>
      <w:bookmarkStart w:id="81" w:name="Tc_NfyVmnKOgU6607QMsQbHNw_32_0"/>
      <w:bookmarkStart w:id="82" w:name="Tc_NFNZZO5VokmwVni1d8_AzA_31_0"/>
      <w:bookmarkStart w:id="83" w:name="Tc_O02oGrsejU-CtVvLZBPSdA_30_0"/>
      <w:bookmarkStart w:id="84" w:name="Tc_ISXOFNTlPEqlL8kgca2_NA_29_0"/>
      <w:bookmarkStart w:id="85" w:name="Tc_HOaQrNKGBkyOz_hkmfhRvQ_28_0"/>
      <w:bookmarkStart w:id="86" w:name="Tc_FcqFh9ns_kqn77nKZpNELw_27_0"/>
      <w:bookmarkStart w:id="87" w:name="Tc_j-2F52xnkEmgNArzaOzgpA_26_0"/>
      <w:bookmarkStart w:id="88" w:name="Tc_v6v7tgB23U-CBxTwJagiMA_25_0"/>
      <w:bookmarkStart w:id="89" w:name="Tc_9nCe12o2YUWOFcu6kx4OTQ_24_0"/>
      <w:bookmarkStart w:id="90" w:name="Tc_9XZKng0fEE-ldZqljC-xVw_23_0"/>
      <w:bookmarkStart w:id="91" w:name="Tc_pB12t-aUBUC5XgpPo3vLnw_22_4"/>
      <w:bookmarkStart w:id="92" w:name="Tc_8-M2lyRZM0maIHedwUO5fA_22_1"/>
      <w:bookmarkStart w:id="93" w:name="Tc_FgMFUmVBdUyUu6xh7KdPwA_22_0"/>
      <w:bookmarkStart w:id="94" w:name="Tc_kDKqfS8_q0W-yuGiAsnTjw_21_0"/>
      <w:bookmarkStart w:id="95" w:name="Tc_eKUxI2w0p0WwHwdCBGCA2w_20_5"/>
      <w:bookmarkStart w:id="96" w:name="Tc_WwXYdbQXwE-QXLAILOc-3Q_20_2"/>
      <w:bookmarkStart w:id="97" w:name="Tc_p2T2QyOdJ0SkKUMWFJDI6g_20_0"/>
      <w:bookmarkStart w:id="98" w:name="Tc_HYmHEpOSgUmxRhqEkoxNPw_19_4"/>
      <w:bookmarkStart w:id="99" w:name="Tc_CAjGB8uW8Emy3LIBLTiRsg_19_1"/>
      <w:bookmarkStart w:id="100" w:name="Tc_0c_kUnYLzUyfSO5xOEBlog_19_0"/>
      <w:bookmarkStart w:id="101" w:name="Tc_bFJziCACRkS92QBleU4_xA_18_0"/>
      <w:bookmarkStart w:id="102" w:name="Tc_d8RwUwxST0-nnZtSfqxmTA_17_0"/>
      <w:bookmarkStart w:id="103" w:name="Tc_mzG95htmcUmHJPaMu49bjw_16_0"/>
      <w:bookmarkStart w:id="104" w:name="Tc_LbYHuXUSqECCVBza6nf91Q_15_0"/>
      <w:bookmarkStart w:id="105" w:name="Tc_DdGFC6mU402HUyO89SQKhw_14_0"/>
      <w:bookmarkStart w:id="106" w:name="Tc_dVVYPnWiVUeKkMDsy1vdYw_13_0"/>
      <w:bookmarkStart w:id="107" w:name="Tc_D27mwYzfzkC2z5-K6IhuGw_12_0"/>
      <w:bookmarkStart w:id="108" w:name="Tc_fMLrwraFsU-ZAQcYjYvHHQ_11_0"/>
      <w:bookmarkStart w:id="109" w:name="Tc_hvQutWcQeUC3NinpqOmVPg_10_0"/>
      <w:bookmarkStart w:id="110" w:name="Tc_BJWznoan3UCDqBH4CzjVYw_9_0"/>
      <w:bookmarkStart w:id="111" w:name="Tc_Uy5ke1-xMUawWa6OHtMraQ_8_0"/>
      <w:bookmarkStart w:id="112" w:name="Tc_AO0WLrT05E-0SerdS-BxcQ_7_0"/>
      <w:bookmarkStart w:id="113" w:name="Tc_VuBW_KJeUkiTbo_7WRvX4Q_6_4"/>
      <w:bookmarkStart w:id="114" w:name="Tc_yLZVpaPO80i5ilb6oY0vFw_6_1"/>
      <w:bookmarkStart w:id="115" w:name="Tc_NXfBgdO6mEq2209ZN_3YfQ_6_0"/>
      <w:bookmarkStart w:id="116" w:name="Tc_28uAUttrtE-MqUwVjw-MgQ_5_0"/>
      <w:bookmarkStart w:id="117" w:name="Tc_H8cGXmgkg0u0EIHdbxlRWA_4_0"/>
      <w:bookmarkStart w:id="118" w:name="Tc_CM62epPZUE-czDJ8ZxYn5g_3_1"/>
      <w:bookmarkStart w:id="119" w:name="Tc_oiBPs2hCpUCJm4yTEQViRw_2_4"/>
      <w:bookmarkStart w:id="120" w:name="Tc_RIafnivN30mm1fP7Voa8Og_2_1"/>
      <w:bookmarkStart w:id="121" w:name="Tc_uDkTBEOiLU6TTaLscRiAPg_1_4"/>
      <w:bookmarkStart w:id="122" w:name="Tc_3MrWvJPzkECK0ybNS_wDEg_1_1"/>
      <w:bookmarkStart w:id="123" w:name="_bf713315_f8fd_4cb8_8c2b_575f331673ed"/>
      <w:bookmarkStart w:id="124" w:name="Tc_v6E6h6fmHUWCrTYywwkaYw_50_4"/>
      <w:bookmarkStart w:id="125" w:name="Tc_Zu0utk_9qEyamwMk7hJMKA_50_1"/>
      <w:bookmarkStart w:id="126" w:name="Tc_UBrfiKuD3ECVCPres8SxDw_50_0"/>
      <w:bookmarkStart w:id="127" w:name="Tc_9gUMVxNULUiXcXO0B8i4cw_49_0"/>
      <w:bookmarkStart w:id="128" w:name="Tc_3bixdrZFqECvI05xSmrM7w_48_0"/>
      <w:bookmarkStart w:id="129" w:name="Tc_9hPEeG1HlUic_HkdY-lIKQ_47_0"/>
      <w:bookmarkStart w:id="130" w:name="Tc_N95mrpy270eDfZL8xxb83A_46_0"/>
      <w:bookmarkStart w:id="131" w:name="Tc_9PwfEtsTyke-EJN77OWkdg_45_0"/>
      <w:bookmarkStart w:id="132" w:name="Tc_9DvkTPozf0mL1zl_FpNQcA_44_0"/>
      <w:bookmarkStart w:id="133" w:name="Tc_MeiOh1IDw0e9ykHHLXgp4A_43_0"/>
      <w:bookmarkStart w:id="134" w:name="_c22eb737_72e9_4a57_8485_cb84a75af111_3"/>
      <w:bookmarkStart w:id="135" w:name="_c22eb737_72e9_4a57_8485_cb84a75af111_2"/>
      <w:bookmarkStart w:id="136" w:name="_c22eb737_72e9_4a57_8485_cb84a75af111"/>
      <w:bookmarkStart w:id="137" w:name="Tc_92jAZIQKsUu0XjlH4imD6A_42_0"/>
      <w:bookmarkStart w:id="138" w:name="Tc_vl1l6ijTmEGF1V585lGQCA_41_0"/>
      <w:bookmarkStart w:id="139" w:name="Tc_CouuMW79LUu4Cn5bybmsOw_40_0"/>
      <w:bookmarkStart w:id="140" w:name="Tc_DWTK1NXLT0eLahRyPUUgfA_39_0"/>
      <w:bookmarkStart w:id="141" w:name="Tc_EcY7Al8UYkGyfcbf3YWQkA_38_2"/>
      <w:bookmarkStart w:id="142" w:name="Tc_ECMt5i1Izk2mmqojWPOiLQ_38_0"/>
      <w:bookmarkStart w:id="143" w:name="Tc_pd_SM48m_EihJ3Sg51AYZA_37_0"/>
      <w:bookmarkStart w:id="144" w:name="Tc_zXaV3hVlo0i3Kc6J99Fmfw_36_0"/>
      <w:bookmarkStart w:id="145" w:name="Tc_DenaWaeRgU2YEQ-JyWva_Q_35_0"/>
      <w:bookmarkStart w:id="146" w:name="Tc_llcVv-lbDkuRK0xLx06j9A_34_0"/>
      <w:bookmarkStart w:id="147" w:name="Tc_LvRJ3EHklESdk3lfdrpzkw_33_0"/>
      <w:bookmarkStart w:id="148" w:name="Tc_NfyVmnKOgU6607QMsQbHNw_32_0"/>
      <w:bookmarkStart w:id="149" w:name="Tc_NFNZZO5VokmwVni1d8_AzA_31_0"/>
      <w:bookmarkStart w:id="150" w:name="Tc_O02oGrsejU-CtVvLZBPSdA_30_0"/>
      <w:bookmarkStart w:id="151" w:name="Tc_ISXOFNTlPEqlL8kgca2_NA_29_0"/>
      <w:bookmarkStart w:id="152" w:name="Tc_HOaQrNKGBkyOz_hkmfhRvQ_28_0"/>
      <w:bookmarkStart w:id="153" w:name="Tc_FcqFh9ns_kqn77nKZpNELw_27_0"/>
      <w:bookmarkStart w:id="154" w:name="Tc_j-2F52xnkEmgNArzaOzgpA_26_0"/>
      <w:bookmarkStart w:id="155" w:name="Tc_v6v7tgB23U-CBxTwJagiMA_25_0"/>
      <w:bookmarkStart w:id="156" w:name="Tc_9nCe12o2YUWOFcu6kx4OTQ_24_0"/>
      <w:bookmarkStart w:id="157" w:name="Tc_9XZKng0fEE-ldZqljC-xVw_23_0"/>
      <w:bookmarkStart w:id="158" w:name="Tc_pB12t-aUBUC5XgpPo3vLnw_22_4"/>
      <w:bookmarkStart w:id="159" w:name="Tc_8-M2lyRZM0maIHedwUO5fA_22_1"/>
      <w:bookmarkStart w:id="160" w:name="Tc_FgMFUmVBdUyUu6xh7KdPwA_22_0"/>
      <w:bookmarkStart w:id="161" w:name="Tc_kDKqfS8_q0W-yuGiAsnTjw_21_0"/>
      <w:bookmarkStart w:id="162" w:name="Tc_eKUxI2w0p0WwHwdCBGCA2w_20_5"/>
      <w:bookmarkStart w:id="163" w:name="Tc_WwXYdbQXwE-QXLAILOc-3Q_20_2"/>
      <w:bookmarkStart w:id="164" w:name="Tc_p2T2QyOdJ0SkKUMWFJDI6g_20_0"/>
      <w:bookmarkStart w:id="165" w:name="Tc_HYmHEpOSgUmxRhqEkoxNPw_19_4"/>
      <w:bookmarkStart w:id="166" w:name="Tc_CAjGB8uW8Emy3LIBLTiRsg_19_1"/>
      <w:bookmarkStart w:id="167" w:name="Tc_0c_kUnYLzUyfSO5xOEBlog_19_0"/>
      <w:bookmarkStart w:id="168" w:name="Tc_bFJziCACRkS92QBleU4_xA_18_0"/>
      <w:bookmarkStart w:id="169" w:name="Tc_d8RwUwxST0-nnZtSfqxmTA_17_0"/>
      <w:bookmarkStart w:id="170" w:name="Tc_mzG95htmcUmHJPaMu49bjw_16_0"/>
      <w:bookmarkStart w:id="171" w:name="Tc_LbYHuXUSqECCVBza6nf91Q_15_0"/>
      <w:bookmarkStart w:id="172" w:name="Tc_DdGFC6mU402HUyO89SQKhw_14_0"/>
      <w:bookmarkStart w:id="173" w:name="Tc_dVVYPnWiVUeKkMDsy1vdYw_13_0"/>
      <w:bookmarkStart w:id="174" w:name="Tc_D27mwYzfzkC2z5-K6IhuGw_12_0"/>
      <w:bookmarkStart w:id="175" w:name="Tc_fMLrwraFsU-ZAQcYjYvHHQ_11_0"/>
      <w:bookmarkStart w:id="176" w:name="Tc_hvQutWcQeUC3NinpqOmVPg_10_0"/>
      <w:bookmarkStart w:id="177" w:name="Tc_BJWznoan3UCDqBH4CzjVYw_9_0"/>
      <w:bookmarkStart w:id="178" w:name="Tc_Uy5ke1-xMUawWa6OHtMraQ_8_0"/>
      <w:bookmarkStart w:id="179" w:name="Tc_AO0WLrT05E-0SerdS-BxcQ_7_0"/>
      <w:bookmarkStart w:id="180" w:name="Tc_VuBW_KJeUkiTbo_7WRvX4Q_6_4"/>
      <w:bookmarkStart w:id="181" w:name="Tc_yLZVpaPO80i5ilb6oY0vFw_6_1"/>
      <w:bookmarkStart w:id="182" w:name="Tc_NXfBgdO6mEq2209ZN_3YfQ_6_0"/>
      <w:bookmarkStart w:id="183" w:name="Tc_28uAUttrtE-MqUwVjw-MgQ_5_0"/>
      <w:bookmarkStart w:id="184" w:name="Tc_H8cGXmgkg0u0EIHdbxlRWA_4_0"/>
      <w:bookmarkStart w:id="185" w:name="Tc_CM62epPZUE-czDJ8ZxYn5g_3_1"/>
      <w:bookmarkStart w:id="186" w:name="Tc_oiBPs2hCpUCJm4yTEQViRw_2_4"/>
      <w:bookmarkStart w:id="187" w:name="Tc_RIafnivN30mm1fP7Voa8Og_2_1"/>
      <w:bookmarkStart w:id="188" w:name="Tc_uDkTBEOiLU6TTaLscRiAPg_1_4"/>
      <w:bookmarkStart w:id="189" w:name="Tc_3MrWvJPzkECK0ybNS_wDEg_1_1"/>
      <w:bookmarkStart w:id="190" w:name="_bf713315_f8fd_4cb8_8c2b_575f331673ed"/>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p>
    <w:tbl>
      <w:tblPr>
        <w:tblW w:w="10205" w:type="dxa"/>
        <w:jc w:val="left"/>
        <w:tblInd w:w="0" w:type="dxa"/>
        <w:tblLayout w:type="fixed"/>
        <w:tblCellMar>
          <w:top w:w="0" w:type="dxa"/>
          <w:left w:w="0" w:type="dxa"/>
          <w:bottom w:w="0" w:type="dxa"/>
          <w:right w:w="0" w:type="dxa"/>
        </w:tblCellMar>
      </w:tblPr>
      <w:tblGrid>
        <w:gridCol w:w="7674"/>
        <w:gridCol w:w="196"/>
        <w:gridCol w:w="826"/>
        <w:gridCol w:w="346"/>
        <w:gridCol w:w="213"/>
        <w:gridCol w:w="950"/>
      </w:tblGrid>
      <w:tr>
        <w:trPr/>
        <w:tc>
          <w:tcPr>
            <w:tcW w:w="76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872990" cy="175260"/>
                      <wp:effectExtent l="0" t="0" r="0" b="0"/>
                      <wp:wrapNone/>
                      <wp:docPr id="1" name="Frame1"/>
                      <a:graphic xmlns:a="http://schemas.openxmlformats.org/drawingml/2006/main">
                        <a:graphicData uri="http://schemas.microsoft.com/office/word/2010/wordprocessingShape">
                          <wps:wsp>
                            <wps:cNvSpPr txBox="1"/>
                            <wps:spPr>
                              <a:xfrm>
                                <a:off x="0" y="0"/>
                                <a:ext cx="4872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24460" cy="175260"/>
                      <wp:effectExtent l="0" t="0" r="0" b="0"/>
                      <wp:wrapNone/>
                      <wp:docPr id="2" name="Frame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524510" cy="175260"/>
                      <wp:effectExtent l="0" t="0" r="0" b="0"/>
                      <wp:wrapNone/>
                      <wp:docPr id="3" name="Frame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19710" cy="175260"/>
                      <wp:effectExtent l="0" t="0" r="0" b="0"/>
                      <wp:wrapNone/>
                      <wp:docPr id="4" name="Frame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35255" cy="175260"/>
                      <wp:effectExtent l="0" t="0" r="0" b="0"/>
                      <wp:wrapNone/>
                      <wp:docPr id="5" name="Frame5"/>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03250" cy="175260"/>
                      <wp:effectExtent l="0" t="0" r="0" b="0"/>
                      <wp:wrapNone/>
                      <wp:docPr id="6" name="Frame6"/>
                      <a:graphic xmlns:a="http://schemas.openxmlformats.org/drawingml/2006/main">
                        <a:graphicData uri="http://schemas.microsoft.com/office/word/2010/wordprocessingShape">
                          <wps:wsp>
                            <wps:cNvSpPr txBox="1"/>
                            <wps:spPr>
                              <a:xfrm>
                                <a:off x="0" y="0"/>
                                <a:ext cx="603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674" w:type="dxa"/>
            <w:tcBorders/>
            <w:vAlign w:val="center"/>
          </w:tcPr>
          <w:p>
            <w:pPr>
              <w:pStyle w:val="TableContents"/>
              <w:bidi w:val="0"/>
              <w:spacing w:before="0" w:after="1"/>
              <w:ind w:left="0" w:right="0" w:hanging="0"/>
              <w:jc w:val="left"/>
              <w:rPr/>
            </w:pPr>
            <w:r>
              <w:rPr/>
              <w:t>​</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1"/>
              <w:ind w:left="0" w:right="0" w:hanging="0"/>
              <w:jc w:val="center"/>
              <w:rPr/>
            </w:pPr>
            <w:r>
              <w:rPr/>
              <w:t>  ​ ​ ​</w:t>
            </w:r>
          </w:p>
        </w:tc>
        <w:tc>
          <w:tcPr>
            <w:tcW w:w="116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674" w:type="dxa"/>
            <w:tcBorders/>
            <w:vAlign w:val="center"/>
          </w:tcPr>
          <w:p>
            <w:pPr>
              <w:pStyle w:val="TableContents"/>
              <w:bidi w:val="0"/>
              <w:spacing w:before="0" w:after="1"/>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w:t>
            </w:r>
          </w:p>
        </w:tc>
        <w:tc>
          <w:tcPr>
            <w:tcW w:w="116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674" w:type="dxa"/>
            <w:tcBorders/>
            <w:vAlign w:val="center"/>
          </w:tcPr>
          <w:p>
            <w:pPr>
              <w:pStyle w:val="TableContents"/>
              <w:bidi w:val="0"/>
              <w:spacing w:before="0" w:after="1"/>
              <w:ind w:left="0" w:right="0" w:hanging="0"/>
              <w:jc w:val="left"/>
              <w:rPr/>
            </w:pPr>
            <w:r>
              <w:rPr/>
              <w:t>​</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1"/>
              <w:ind w:left="0" w:right="0" w:hanging="0"/>
              <w:jc w:val="center"/>
              <w:rPr/>
            </w:pPr>
            <w:r>
              <w:rPr/>
              <w:t>  ​ ​ ​</w:t>
            </w:r>
          </w:p>
        </w:tc>
        <w:tc>
          <w:tcPr>
            <w:tcW w:w="213" w:type="dxa"/>
            <w:tcBorders/>
            <w:vAlign w:val="center"/>
          </w:tcPr>
          <w:p>
            <w:pPr>
              <w:pStyle w:val="TableContents"/>
              <w:bidi w:val="0"/>
              <w:spacing w:before="0" w:after="1"/>
              <w:ind w:left="0" w:right="0" w:hanging="0"/>
              <w:jc w:val="center"/>
              <w:rPr/>
            </w:pPr>
            <w:r>
              <w:rPr/>
              <w:t>​</w:t>
            </w:r>
          </w:p>
        </w:tc>
        <w:tc>
          <w:tcPr>
            <w:tcW w:w="950" w:type="dxa"/>
            <w:tcBorders/>
            <w:vAlign w:val="center"/>
          </w:tcPr>
          <w:p>
            <w:pPr>
              <w:pStyle w:val="TableContents"/>
              <w:bidi w:val="0"/>
              <w:spacing w:before="0" w:after="1"/>
              <w:ind w:left="0" w:right="0" w:hanging="0"/>
              <w:jc w:val="center"/>
              <w:rPr/>
            </w:pPr>
            <w:r>
              <w:rPr/>
              <w:t>​</w:t>
            </w:r>
          </w:p>
        </w:tc>
      </w:tr>
      <w:tr>
        <w:trPr/>
        <w:tc>
          <w:tcPr>
            <w:tcW w:w="7674" w:type="dxa"/>
            <w:tcBorders/>
            <w:shd w:fill="CCEEFF" w:val="clear"/>
            <w:vAlign w:val="center"/>
          </w:tcPr>
          <w:p>
            <w:pPr>
              <w:pStyle w:val="TableContents"/>
              <w:bidi w:val="0"/>
              <w:spacing w:before="0" w:after="1"/>
              <w:ind w:left="0" w:right="0" w:hanging="0"/>
              <w:jc w:val="both"/>
              <w:rPr>
                <w:rFonts w:ascii="Times New Roman;Times;serif" w:hAnsi="Times New Roman;Times;serif"/>
                <w:b/>
                <w:sz w:val="16"/>
              </w:rPr>
            </w:pPr>
            <w:r>
              <w:rPr>
                <w:rFonts w:ascii="Times New Roman;Times;serif" w:hAnsi="Times New Roman;Times;serif"/>
                <w:b/>
                <w:sz w:val="16"/>
              </w:rPr>
              <w:t>Assets</w:t>
            </w:r>
          </w:p>
        </w:tc>
        <w:tc>
          <w:tcPr>
            <w:tcW w:w="196" w:type="dxa"/>
            <w:tcBorders/>
            <w:shd w:fill="CCEEFF" w:val="clear"/>
            <w:vAlign w:val="center"/>
          </w:tcPr>
          <w:p>
            <w:pPr>
              <w:pStyle w:val="TableContents"/>
              <w:bidi w:val="0"/>
              <w:spacing w:before="0" w:after="1"/>
              <w:ind w:left="0" w:right="0" w:hanging="0"/>
              <w:jc w:val="center"/>
              <w:rPr/>
            </w:pPr>
            <w:r>
              <w:rPr/>
              <w:t>​</w:t>
            </w:r>
          </w:p>
        </w:tc>
        <w:tc>
          <w:tcPr>
            <w:tcW w:w="82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13" w:type="dxa"/>
            <w:tcBorders/>
            <w:shd w:fill="CCEEFF" w:val="clear"/>
            <w:vAlign w:val="center"/>
          </w:tcPr>
          <w:p>
            <w:pPr>
              <w:pStyle w:val="TableContents"/>
              <w:bidi w:val="0"/>
              <w:spacing w:before="0" w:after="1"/>
              <w:ind w:left="0" w:right="0" w:hanging="0"/>
              <w:jc w:val="center"/>
              <w:rPr/>
            </w:pPr>
            <w:r>
              <w:rPr/>
              <w:t>​</w:t>
            </w:r>
          </w:p>
        </w:tc>
        <w:tc>
          <w:tcPr>
            <w:tcW w:w="950" w:type="dxa"/>
            <w:tcBorders/>
            <w:shd w:fill="CCEEFF" w:val="clear"/>
            <w:vAlign w:val="center"/>
          </w:tcPr>
          <w:p>
            <w:pPr>
              <w:pStyle w:val="TableContents"/>
              <w:bidi w:val="0"/>
              <w:spacing w:before="0" w:after="1"/>
              <w:ind w:left="0" w:right="0" w:hanging="0"/>
              <w:jc w:val="center"/>
              <w:rPr/>
            </w:pPr>
            <w:r>
              <w:rPr/>
              <w:t>​</w:t>
            </w:r>
          </w:p>
        </w:tc>
      </w:tr>
      <w:tr>
        <w:trPr/>
        <w:tc>
          <w:tcPr>
            <w:tcW w:w="7674"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Current assets:</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13" w:type="dxa"/>
            <w:tcBorders/>
            <w:vAlign w:val="center"/>
          </w:tcPr>
          <w:p>
            <w:pPr>
              <w:pStyle w:val="TableContents"/>
              <w:bidi w:val="0"/>
              <w:spacing w:before="0" w:after="1"/>
              <w:ind w:left="0" w:right="0" w:hanging="0"/>
              <w:jc w:val="left"/>
              <w:rPr/>
            </w:pPr>
            <w:r>
              <w:rPr/>
              <w:t>​</w:t>
            </w:r>
          </w:p>
        </w:tc>
        <w:tc>
          <w:tcPr>
            <w:tcW w:w="950" w:type="dxa"/>
            <w:tcBorders/>
            <w:vAlign w:val="center"/>
          </w:tcPr>
          <w:p>
            <w:pPr>
              <w:pStyle w:val="TableContents"/>
              <w:bidi w:val="0"/>
              <w:spacing w:before="0" w:after="1"/>
              <w:ind w:left="0" w:right="0" w:hanging="0"/>
              <w:jc w:val="left"/>
              <w:rPr/>
            </w:pPr>
            <w:r>
              <w:rPr/>
              <w:t>​</w:t>
            </w:r>
          </w:p>
        </w:tc>
      </w:tr>
      <w:tr>
        <w:trPr/>
        <w:tc>
          <w:tcPr>
            <w:tcW w:w="767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252,455</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5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314,009</w:t>
            </w:r>
          </w:p>
        </w:tc>
      </w:tr>
      <w:tr>
        <w:trPr/>
        <w:tc>
          <w:tcPr>
            <w:tcW w:w="767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Funds held for customers</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17,698</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95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24,286</w:t>
            </w:r>
          </w:p>
        </w:tc>
      </w:tr>
      <w:tr>
        <w:trPr/>
        <w:tc>
          <w:tcPr>
            <w:tcW w:w="767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receivable, net of allowance of $13,225 and $11,466, respectively</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158,998</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95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183,446</w:t>
            </w:r>
          </w:p>
        </w:tc>
      </w:tr>
      <w:tr>
        <w:trPr/>
        <w:tc>
          <w:tcPr>
            <w:tcW w:w="767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Prepaid expenses and other current assets</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59,358</w:t>
            </w:r>
          </w:p>
        </w:tc>
        <w:tc>
          <w:tcPr>
            <w:tcW w:w="346"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38,966</w:t>
            </w:r>
          </w:p>
        </w:tc>
      </w:tr>
      <w:tr>
        <w:trPr/>
        <w:tc>
          <w:tcPr>
            <w:tcW w:w="767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current assets</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488,509</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560,707</w:t>
            </w:r>
          </w:p>
        </w:tc>
      </w:tr>
      <w:tr>
        <w:trPr/>
        <w:tc>
          <w:tcPr>
            <w:tcW w:w="7674"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Property and equipment, net of accumulated depreciation</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220,407</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95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209,727</w:t>
            </w:r>
          </w:p>
        </w:tc>
      </w:tr>
      <w:tr>
        <w:trPr/>
        <w:tc>
          <w:tcPr>
            <w:tcW w:w="7674"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Capitalized software, net of accumulated amortization</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35,253</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95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35,480</w:t>
            </w:r>
          </w:p>
        </w:tc>
      </w:tr>
      <w:tr>
        <w:trPr/>
        <w:tc>
          <w:tcPr>
            <w:tcW w:w="7674"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 xml:space="preserve">Goodwill and other intangible assets </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405,355</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95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396,006</w:t>
            </w:r>
          </w:p>
        </w:tc>
      </w:tr>
      <w:tr>
        <w:trPr/>
        <w:tc>
          <w:tcPr>
            <w:tcW w:w="7674"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Deferred commissions</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30,879</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95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31,907</w:t>
            </w:r>
          </w:p>
        </w:tc>
      </w:tr>
      <w:tr>
        <w:trPr/>
        <w:tc>
          <w:tcPr>
            <w:tcW w:w="7674"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Deferred income tax asset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129</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95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85</w:t>
            </w:r>
          </w:p>
        </w:tc>
      </w:tr>
      <w:tr>
        <w:trPr/>
        <w:tc>
          <w:tcPr>
            <w:tcW w:w="7674"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Operating lease right-of-use assets</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8,830</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95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9,678</w:t>
            </w:r>
          </w:p>
        </w:tc>
      </w:tr>
      <w:tr>
        <w:trPr/>
        <w:tc>
          <w:tcPr>
            <w:tcW w:w="7674"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 xml:space="preserve">Long-term investment </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15,000</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95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15,000</w:t>
            </w:r>
          </w:p>
        </w:tc>
      </w:tr>
      <w:tr>
        <w:trPr/>
        <w:tc>
          <w:tcPr>
            <w:tcW w:w="7674"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Other assets</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10,006</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12,245</w:t>
            </w:r>
          </w:p>
        </w:tc>
      </w:tr>
      <w:tr>
        <w:trPr/>
        <w:tc>
          <w:tcPr>
            <w:tcW w:w="767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assets</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1,214,368</w:t>
            </w:r>
          </w:p>
        </w:tc>
        <w:tc>
          <w:tcPr>
            <w:tcW w:w="346" w:type="dxa"/>
            <w:tcBorders/>
            <w:vAlign w:val="center"/>
          </w:tcPr>
          <w:p>
            <w:pPr>
              <w:pStyle w:val="TableContents"/>
              <w:bidi w:val="0"/>
              <w:spacing w:before="0" w:after="1"/>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5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1,270,835</w:t>
            </w:r>
          </w:p>
        </w:tc>
      </w:tr>
      <w:tr>
        <w:trPr/>
        <w:tc>
          <w:tcPr>
            <w:tcW w:w="7674" w:type="dxa"/>
            <w:tcBorders/>
            <w:shd w:fill="CCEEFF" w:val="clear"/>
            <w:vAlign w:val="center"/>
          </w:tcPr>
          <w:p>
            <w:pPr>
              <w:pStyle w:val="TableContents"/>
              <w:bidi w:val="0"/>
              <w:spacing w:before="0" w:after="1"/>
              <w:ind w:left="0" w:right="0" w:hanging="0"/>
              <w:jc w:val="both"/>
              <w:rPr>
                <w:rFonts w:ascii="Times New Roman;Times;serif" w:hAnsi="Times New Roman;Times;serif"/>
                <w:b/>
                <w:sz w:val="16"/>
              </w:rPr>
            </w:pPr>
            <w:r>
              <w:rPr>
                <w:rFonts w:ascii="Times New Roman;Times;serif" w:hAnsi="Times New Roman;Times;serif"/>
                <w:b/>
                <w:sz w:val="16"/>
              </w:rPr>
              <w:t>Liabilities and Stockholders' Equity</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950" w:type="dxa"/>
            <w:tcBorders/>
            <w:shd w:fill="CCEEFF" w:val="clear"/>
            <w:vAlign w:val="center"/>
          </w:tcPr>
          <w:p>
            <w:pPr>
              <w:pStyle w:val="TableContents"/>
              <w:bidi w:val="0"/>
              <w:spacing w:before="0" w:after="1"/>
              <w:ind w:left="0" w:right="0" w:hanging="0"/>
              <w:jc w:val="right"/>
              <w:rPr/>
            </w:pPr>
            <w:r>
              <w:rPr/>
              <w:t>​</w:t>
            </w:r>
          </w:p>
        </w:tc>
      </w:tr>
      <w:tr>
        <w:trPr/>
        <w:tc>
          <w:tcPr>
            <w:tcW w:w="7674"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Current liabilities:</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950" w:type="dxa"/>
            <w:tcBorders/>
            <w:vAlign w:val="center"/>
          </w:tcPr>
          <w:p>
            <w:pPr>
              <w:pStyle w:val="TableContents"/>
              <w:bidi w:val="0"/>
              <w:spacing w:before="0" w:after="1"/>
              <w:ind w:left="0" w:right="0" w:hanging="0"/>
              <w:jc w:val="right"/>
              <w:rPr/>
            </w:pPr>
            <w:r>
              <w:rPr/>
              <w:t>  ​</w:t>
            </w:r>
          </w:p>
        </w:tc>
      </w:tr>
      <w:tr>
        <w:trPr/>
        <w:tc>
          <w:tcPr>
            <w:tcW w:w="767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35,630</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5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37,557</w:t>
            </w:r>
          </w:p>
        </w:tc>
      </w:tr>
      <w:tr>
        <w:trPr/>
        <w:tc>
          <w:tcPr>
            <w:tcW w:w="767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expenses</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36,607</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95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43,642</w:t>
            </w:r>
          </w:p>
        </w:tc>
      </w:tr>
      <w:tr>
        <w:trPr/>
        <w:tc>
          <w:tcPr>
            <w:tcW w:w="767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Customer funds obligations</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15,180</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95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21,802</w:t>
            </w:r>
          </w:p>
        </w:tc>
      </w:tr>
      <w:tr>
        <w:trPr/>
        <w:tc>
          <w:tcPr>
            <w:tcW w:w="767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salaries and benefits</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32,199</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95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23,992</w:t>
            </w:r>
          </w:p>
        </w:tc>
      </w:tr>
      <w:tr>
        <w:trPr/>
        <w:tc>
          <w:tcPr>
            <w:tcW w:w="767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variable compensation</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16,682</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95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34,593</w:t>
            </w:r>
          </w:p>
        </w:tc>
      </w:tr>
      <w:tr>
        <w:trPr/>
        <w:tc>
          <w:tcPr>
            <w:tcW w:w="767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revenue, current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393,107</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95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382,839</w:t>
            </w:r>
          </w:p>
        </w:tc>
      </w:tr>
      <w:tr>
        <w:trPr/>
        <w:tc>
          <w:tcPr>
            <w:tcW w:w="767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portion of operating lease liabilities</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4,327</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95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4,283</w:t>
            </w:r>
          </w:p>
        </w:tc>
      </w:tr>
      <w:tr>
        <w:trPr/>
        <w:tc>
          <w:tcPr>
            <w:tcW w:w="767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portion of finance lease liabilities</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95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w:t>
            </w:r>
          </w:p>
        </w:tc>
      </w:tr>
      <w:tr>
        <w:trPr/>
        <w:tc>
          <w:tcPr>
            <w:tcW w:w="767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Purchase commitment and contingent consideration liabilities, current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32,800</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25,900</w:t>
            </w:r>
          </w:p>
        </w:tc>
      </w:tr>
      <w:tr>
        <w:trPr/>
        <w:tc>
          <w:tcPr>
            <w:tcW w:w="767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current liabilities</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566,576</w:t>
            </w:r>
          </w:p>
        </w:tc>
        <w:tc>
          <w:tcPr>
            <w:tcW w:w="346"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574,663</w:t>
            </w:r>
          </w:p>
        </w:tc>
      </w:tr>
      <w:tr>
        <w:trPr/>
        <w:tc>
          <w:tcPr>
            <w:tcW w:w="7674"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Deferred revenue, net of current portion</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5,290</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95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5,209</w:t>
            </w:r>
          </w:p>
        </w:tc>
      </w:tr>
      <w:tr>
        <w:trPr/>
        <w:tc>
          <w:tcPr>
            <w:tcW w:w="767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Debt, net of current portion</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338,041</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95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337,477</w:t>
            </w:r>
          </w:p>
        </w:tc>
      </w:tr>
      <w:tr>
        <w:trPr/>
        <w:tc>
          <w:tcPr>
            <w:tcW w:w="767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lease liabilities, net of current portion</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7,686</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95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8,903</w:t>
            </w:r>
          </w:p>
        </w:tc>
      </w:tr>
      <w:tr>
        <w:trPr/>
        <w:tc>
          <w:tcPr>
            <w:tcW w:w="767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Finance lease liabilities, net of current portion</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95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w:t>
            </w:r>
          </w:p>
        </w:tc>
      </w:tr>
      <w:tr>
        <w:trPr/>
        <w:tc>
          <w:tcPr>
            <w:tcW w:w="767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Purchase commitment and contingent consideration liabilities, net of current portion</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41,300</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95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79,600</w:t>
            </w:r>
          </w:p>
        </w:tc>
      </w:tr>
      <w:tr>
        <w:trPr/>
        <w:tc>
          <w:tcPr>
            <w:tcW w:w="767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income tax liabilities</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8,925</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95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5,664</w:t>
            </w:r>
          </w:p>
        </w:tc>
      </w:tr>
      <w:tr>
        <w:trPr/>
        <w:tc>
          <w:tcPr>
            <w:tcW w:w="7674"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Deferred other liabilities</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345</w:t>
            </w:r>
          </w:p>
        </w:tc>
      </w:tr>
      <w:tr>
        <w:trPr/>
        <w:tc>
          <w:tcPr>
            <w:tcW w:w="767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liabilities</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967,864</w:t>
            </w:r>
          </w:p>
        </w:tc>
        <w:tc>
          <w:tcPr>
            <w:tcW w:w="346"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1,011,915</w:t>
            </w:r>
          </w:p>
        </w:tc>
      </w:tr>
      <w:tr>
        <w:trPr/>
        <w:tc>
          <w:tcPr>
            <w:tcW w:w="7674"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Commitments and contingencies (Note 12)</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950" w:type="dxa"/>
            <w:tcBorders/>
            <w:shd w:fill="CCEEFF" w:val="clear"/>
            <w:vAlign w:val="center"/>
          </w:tcPr>
          <w:p>
            <w:pPr>
              <w:pStyle w:val="TableContents"/>
              <w:bidi w:val="0"/>
              <w:spacing w:before="0" w:after="1"/>
              <w:ind w:left="0" w:right="0" w:hanging="0"/>
              <w:jc w:val="right"/>
              <w:rPr/>
            </w:pPr>
            <w:r>
              <w:rPr/>
              <w:t>  ​</w:t>
            </w:r>
          </w:p>
        </w:tc>
      </w:tr>
      <w:tr>
        <w:trPr/>
        <w:tc>
          <w:tcPr>
            <w:tcW w:w="7674"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Stockholders' equity:</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950" w:type="dxa"/>
            <w:tcBorders/>
            <w:vAlign w:val="center"/>
          </w:tcPr>
          <w:p>
            <w:pPr>
              <w:pStyle w:val="TableContents"/>
              <w:bidi w:val="0"/>
              <w:spacing w:before="0" w:after="1"/>
              <w:ind w:left="0" w:right="0" w:hanging="0"/>
              <w:jc w:val="right"/>
              <w:rPr/>
            </w:pPr>
            <w:r>
              <w:rPr/>
              <w:t>  ​</w:t>
            </w:r>
          </w:p>
        </w:tc>
      </w:tr>
      <w:tr>
        <w:trPr/>
        <w:tc>
          <w:tcPr>
            <w:tcW w:w="767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Preferred shares, $0.001 par value, 30,000 shares authorized; no shares issued and outstanding</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950"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767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Class A voting common stock, $0.001 par value, 300,000 shares authorized; 78,882 and 77,580 shares issued and outstanding, respectively</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79</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95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w:t>
            </w:r>
          </w:p>
        </w:tc>
      </w:tr>
      <w:tr>
        <w:trPr/>
        <w:tc>
          <w:tcPr>
            <w:tcW w:w="767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Class B voting common stock, $0.001 par value, 150,000 shares authorized; 82,156 and 82,156 shares issued and outstanding, respectively</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95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w:t>
            </w:r>
          </w:p>
        </w:tc>
      </w:tr>
      <w:tr>
        <w:trPr/>
        <w:tc>
          <w:tcPr>
            <w:tcW w:w="767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Treasury stock, at cost, 1,875 and 504 shares, respectively</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(30,135)</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95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(10,094)</w:t>
            </w:r>
          </w:p>
        </w:tc>
      </w:tr>
      <w:tr>
        <w:trPr/>
        <w:tc>
          <w:tcPr>
            <w:tcW w:w="767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Additional paid in capital</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332,910</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95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316,327</w:t>
            </w:r>
          </w:p>
        </w:tc>
      </w:tr>
      <w:tr>
        <w:trPr/>
        <w:tc>
          <w:tcPr>
            <w:tcW w:w="767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Accumulated deficit </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(48,614)</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95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(46,104)</w:t>
            </w:r>
          </w:p>
        </w:tc>
      </w:tr>
      <w:tr>
        <w:trPr/>
        <w:tc>
          <w:tcPr>
            <w:tcW w:w="767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Accumulated other comprehensive loss</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(7,818)</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(1,368)</w:t>
            </w:r>
          </w:p>
        </w:tc>
      </w:tr>
      <w:tr>
        <w:trPr/>
        <w:tc>
          <w:tcPr>
            <w:tcW w:w="767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stockholders' equity</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246,504</w:t>
            </w:r>
          </w:p>
        </w:tc>
        <w:tc>
          <w:tcPr>
            <w:tcW w:w="346"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258,920</w:t>
            </w:r>
          </w:p>
        </w:tc>
      </w:tr>
      <w:tr>
        <w:trPr/>
        <w:tc>
          <w:tcPr>
            <w:tcW w:w="767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liabilities and stockholders' equity</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1,214,368</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5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1,270,835</w:t>
            </w:r>
          </w:p>
        </w:tc>
      </w:tr>
      <w:tr>
        <w:trPr/>
        <w:tc>
          <w:tcPr>
            <w:tcW w:w="10205" w:type="dxa"/>
            <w:gridSpan w:val="6"/>
            <w:tcBorders/>
            <w:vAlign w:val="center"/>
          </w:tcPr>
          <w:p>
            <w:pPr>
              <w:pStyle w:val="TableContents"/>
              <w:bidi w:val="0"/>
              <w:spacing w:before="0" w:after="1"/>
              <w:ind w:left="0" w:right="0" w:hanging="0"/>
              <w:jc w:val="left"/>
              <w:rPr/>
            </w:pPr>
            <w:r>
              <w:rPr/>
              <w:t>​</w:t>
            </w:r>
          </w:p>
        </w:tc>
      </w:tr>
    </w:tbl>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18"/>
        </w:rPr>
      </w:pPr>
      <w:bookmarkStart w:id="191" w:name="CondensedConsolidatedStatementsofCompre"/>
      <w:bookmarkStart w:id="192" w:name="_c55387e9_6abb_48e0_a48c_ff3f328f8e5c"/>
      <w:bookmarkEnd w:id="191"/>
      <w:bookmarkEnd w:id="192"/>
      <w:r>
        <w:rPr>
          <w:rFonts w:ascii="Times New Roman;Times;serif" w:hAnsi="Times New Roman;Times;serif"/>
          <w:b/>
          <w:sz w:val="18"/>
        </w:rPr>
        <w:t>Vertex, Inc. and Subsidiaries</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Condensed Consolidated Statements of Comprehensive Income (Loss) </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 the three months ended March 31, 2026 and 2025 (unaudited)</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(Amounts in thousands, except per share data)</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93" w:name="Tc_K_J3b3C1r0y9kcZIQPMbYQ_33_5"/>
      <w:bookmarkStart w:id="194" w:name="Tc_rakoCnIEKkuiq09jefxIUA_33_2"/>
      <w:bookmarkStart w:id="195" w:name="Tc_wts3albz0UeaqYb27W48ww_33_0"/>
      <w:bookmarkStart w:id="196" w:name="Tc_3MN0JIqLQUmot__Jr30LjQ_32_5"/>
      <w:bookmarkStart w:id="197" w:name="Tc_N4dCL1CvPUCiPWa95GGCLg_32_2"/>
      <w:bookmarkStart w:id="198" w:name="Tc_byYKxtzvOUGiSgunIb_Crg_32_0"/>
      <w:bookmarkStart w:id="199" w:name="Tc_pnBvDoRZGESmCUo9wS6mIA_30_5"/>
      <w:bookmarkStart w:id="200" w:name="Tc_JyXQOIdOPkinXGJ8Tm_mew_30_2"/>
      <w:bookmarkStart w:id="201" w:name="Tc_rTosRpLeq0G3XKeKLJZTng_30_0"/>
      <w:bookmarkStart w:id="202" w:name="Tc_nOB3Nr1BPEyzA2H4AwENCg_29_0"/>
      <w:bookmarkStart w:id="203" w:name="Tc_Kg36dW7tzE2AVZUi8FW4pw_28_3"/>
      <w:bookmarkStart w:id="204" w:name="Tc_DFAEyFoArUC558taqvYCLw_28_0"/>
      <w:bookmarkStart w:id="205" w:name="Tc_58aCS7l8qU6UItJqgXXpiA_27_0"/>
      <w:bookmarkStart w:id="206" w:name="Tc_CVvoJbdCdEa9YsK4grk9bQ_26_0"/>
      <w:bookmarkStart w:id="207" w:name="Tc_5pC5c8YKF0KgaPoQQmhzaA_25_0"/>
      <w:bookmarkStart w:id="208" w:name="Tc_alqE9c7RLEK_IBp6CjKtSw_24_0"/>
      <w:bookmarkStart w:id="209" w:name="Tc_MdCri5WjdkmFB6s5eqYXEQ_23_0"/>
      <w:bookmarkStart w:id="210" w:name="Tc_hopxdAZbi0K-UcpJXW5YoQ_22_0"/>
      <w:bookmarkStart w:id="211" w:name="Tc_MaiSD1ke8EWnCWmQt4DM_Q_21_0"/>
      <w:bookmarkStart w:id="212" w:name="Tc_wdMnt6yqN02b1gSekVKuoA_20_0"/>
      <w:bookmarkStart w:id="213" w:name="Tc_LHGBoTOgN0yifnS69_xbkQ_19_0"/>
      <w:bookmarkStart w:id="214" w:name="Tc_OGQUIHZLj0WYwQ3gf1nd-A_18_0"/>
      <w:bookmarkStart w:id="215" w:name="Tc_U3Z9bl9VpESszt1f8nJkrw_17_0"/>
      <w:bookmarkStart w:id="216" w:name="Tc_4IaE01t9NU-DvoirOO8hAw_16_0"/>
      <w:bookmarkStart w:id="217" w:name="Tc_P10t3PF0D0amNThQ5aGjrg_15_0"/>
      <w:bookmarkStart w:id="218" w:name="Tc_OexCMUM5QUyyvqH9agzR4w_14_0"/>
      <w:bookmarkStart w:id="219" w:name="Tc_ze6R8CFGxEevA2rOaoo4KA_13_0"/>
      <w:bookmarkStart w:id="220" w:name="Tc_tlNMnabwFUqHGMcTrC5q-A_12_0"/>
      <w:bookmarkStart w:id="221" w:name="Tc_cWNjQy1dSkGQmT73nG0D2A_11_0"/>
      <w:bookmarkStart w:id="222" w:name="Tc_A2j-Fb0Fg0KwkSNCt3S-Yg_10_0"/>
      <w:bookmarkStart w:id="223" w:name="Tc_frC1xxqpX0ieS-2WqPj1bA_9_0"/>
      <w:bookmarkStart w:id="224" w:name="Tc_UK4k8D1MYkeblI2-V1jPkA_8_0"/>
      <w:bookmarkStart w:id="225" w:name="Tc_suI7ISP5IEqTON1qlz1mtQ_7_0"/>
      <w:bookmarkStart w:id="226" w:name="Tc_gqqfS4-bF0699ZZAnfDfng_6_0"/>
      <w:bookmarkStart w:id="227" w:name="Tc_dvkVP0aPwECVyed_h_c7Iw_5_5"/>
      <w:bookmarkStart w:id="228" w:name="Tc_U0itcd3lZEGAhToCqLmf4w_5_2"/>
      <w:bookmarkStart w:id="229" w:name="Tc_kyydX74otUKPQZANPJ9A1Q_5_0"/>
      <w:bookmarkStart w:id="230" w:name="Tc_1OTCJZKdykOpZ4To22-w1g_4_0"/>
      <w:bookmarkStart w:id="231" w:name="Tc_A36GLFWjx0uatPOczwwpBg_3_2"/>
      <w:bookmarkStart w:id="232" w:name="Tc_HgPagoKKOU2lbEBTknQdDw_2_5"/>
      <w:bookmarkStart w:id="233" w:name="Tc_JJtlkI-W9UqdHY9kiYQ_IA_2_2"/>
      <w:bookmarkStart w:id="234" w:name="Tc_k3_AXCcpvE6m2N3J6qHoLg_1_2"/>
      <w:bookmarkStart w:id="235" w:name="_4efb1144_cceb_4af3_a271_720eb64a402b"/>
      <w:bookmarkStart w:id="236" w:name="_da92a681_7ae9_40d0_9170_477a36357bde"/>
      <w:bookmarkStart w:id="237" w:name="Tc_K_J3b3C1r0y9kcZIQPMbYQ_33_5"/>
      <w:bookmarkStart w:id="238" w:name="Tc_rakoCnIEKkuiq09jefxIUA_33_2"/>
      <w:bookmarkStart w:id="239" w:name="Tc_wts3albz0UeaqYb27W48ww_33_0"/>
      <w:bookmarkStart w:id="240" w:name="Tc_3MN0JIqLQUmot__Jr30LjQ_32_5"/>
      <w:bookmarkStart w:id="241" w:name="Tc_N4dCL1CvPUCiPWa95GGCLg_32_2"/>
      <w:bookmarkStart w:id="242" w:name="Tc_byYKxtzvOUGiSgunIb_Crg_32_0"/>
      <w:bookmarkStart w:id="243" w:name="Tc_pnBvDoRZGESmCUo9wS6mIA_30_5"/>
      <w:bookmarkStart w:id="244" w:name="Tc_JyXQOIdOPkinXGJ8Tm_mew_30_2"/>
      <w:bookmarkStart w:id="245" w:name="Tc_rTosRpLeq0G3XKeKLJZTng_30_0"/>
      <w:bookmarkStart w:id="246" w:name="Tc_nOB3Nr1BPEyzA2H4AwENCg_29_0"/>
      <w:bookmarkStart w:id="247" w:name="Tc_Kg36dW7tzE2AVZUi8FW4pw_28_3"/>
      <w:bookmarkStart w:id="248" w:name="Tc_DFAEyFoArUC558taqvYCLw_28_0"/>
      <w:bookmarkStart w:id="249" w:name="Tc_58aCS7l8qU6UItJqgXXpiA_27_0"/>
      <w:bookmarkStart w:id="250" w:name="Tc_CVvoJbdCdEa9YsK4grk9bQ_26_0"/>
      <w:bookmarkStart w:id="251" w:name="Tc_5pC5c8YKF0KgaPoQQmhzaA_25_0"/>
      <w:bookmarkStart w:id="252" w:name="Tc_alqE9c7RLEK_IBp6CjKtSw_24_0"/>
      <w:bookmarkStart w:id="253" w:name="Tc_MdCri5WjdkmFB6s5eqYXEQ_23_0"/>
      <w:bookmarkStart w:id="254" w:name="Tc_hopxdAZbi0K-UcpJXW5YoQ_22_0"/>
      <w:bookmarkStart w:id="255" w:name="Tc_MaiSD1ke8EWnCWmQt4DM_Q_21_0"/>
      <w:bookmarkStart w:id="256" w:name="Tc_wdMnt6yqN02b1gSekVKuoA_20_0"/>
      <w:bookmarkStart w:id="257" w:name="Tc_LHGBoTOgN0yifnS69_xbkQ_19_0"/>
      <w:bookmarkStart w:id="258" w:name="Tc_OGQUIHZLj0WYwQ3gf1nd-A_18_0"/>
      <w:bookmarkStart w:id="259" w:name="Tc_U3Z9bl9VpESszt1f8nJkrw_17_0"/>
      <w:bookmarkStart w:id="260" w:name="Tc_4IaE01t9NU-DvoirOO8hAw_16_0"/>
      <w:bookmarkStart w:id="261" w:name="Tc_P10t3PF0D0amNThQ5aGjrg_15_0"/>
      <w:bookmarkStart w:id="262" w:name="Tc_OexCMUM5QUyyvqH9agzR4w_14_0"/>
      <w:bookmarkStart w:id="263" w:name="Tc_ze6R8CFGxEevA2rOaoo4KA_13_0"/>
      <w:bookmarkStart w:id="264" w:name="Tc_tlNMnabwFUqHGMcTrC5q-A_12_0"/>
      <w:bookmarkStart w:id="265" w:name="Tc_cWNjQy1dSkGQmT73nG0D2A_11_0"/>
      <w:bookmarkStart w:id="266" w:name="Tc_A2j-Fb0Fg0KwkSNCt3S-Yg_10_0"/>
      <w:bookmarkStart w:id="267" w:name="Tc_frC1xxqpX0ieS-2WqPj1bA_9_0"/>
      <w:bookmarkStart w:id="268" w:name="Tc_UK4k8D1MYkeblI2-V1jPkA_8_0"/>
      <w:bookmarkStart w:id="269" w:name="Tc_suI7ISP5IEqTON1qlz1mtQ_7_0"/>
      <w:bookmarkStart w:id="270" w:name="Tc_gqqfS4-bF0699ZZAnfDfng_6_0"/>
      <w:bookmarkStart w:id="271" w:name="Tc_dvkVP0aPwECVyed_h_c7Iw_5_5"/>
      <w:bookmarkStart w:id="272" w:name="Tc_U0itcd3lZEGAhToCqLmf4w_5_2"/>
      <w:bookmarkStart w:id="273" w:name="Tc_kyydX74otUKPQZANPJ9A1Q_5_0"/>
      <w:bookmarkStart w:id="274" w:name="Tc_1OTCJZKdykOpZ4To22-w1g_4_0"/>
      <w:bookmarkStart w:id="275" w:name="Tc_A36GLFWjx0uatPOczwwpBg_3_2"/>
      <w:bookmarkStart w:id="276" w:name="Tc_HgPagoKKOU2lbEBTknQdDw_2_5"/>
      <w:bookmarkStart w:id="277" w:name="Tc_JJtlkI-W9UqdHY9kiYQ_IA_2_2"/>
      <w:bookmarkStart w:id="278" w:name="Tc_k3_AXCcpvE6m2N3J6qHoLg_1_2"/>
      <w:bookmarkStart w:id="279" w:name="_4efb1144_cceb_4af3_a271_720eb64a402b"/>
      <w:bookmarkStart w:id="280" w:name="_da92a681_7ae9_40d0_9170_477a36357bde"/>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tbl>
      <w:tblPr>
        <w:tblW w:w="7307" w:type="dxa"/>
        <w:jc w:val="left"/>
        <w:tblInd w:w="0" w:type="dxa"/>
        <w:tblLayout w:type="fixed"/>
        <w:tblCellMar>
          <w:top w:w="0" w:type="dxa"/>
          <w:left w:w="0" w:type="dxa"/>
          <w:bottom w:w="0" w:type="dxa"/>
          <w:right w:w="0" w:type="dxa"/>
        </w:tblCellMar>
      </w:tblPr>
      <w:tblGrid>
        <w:gridCol w:w="4351"/>
        <w:gridCol w:w="346"/>
        <w:gridCol w:w="230"/>
        <w:gridCol w:w="846"/>
        <w:gridCol w:w="406"/>
        <w:gridCol w:w="230"/>
        <w:gridCol w:w="898"/>
      </w:tblGrid>
      <w:tr>
        <w:trPr/>
        <w:tc>
          <w:tcPr>
            <w:tcW w:w="4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762885" cy="175260"/>
                      <wp:effectExtent l="0" t="0" r="0" b="0"/>
                      <wp:wrapNone/>
                      <wp:docPr id="7" name="Frame7"/>
                      <a:graphic xmlns:a="http://schemas.openxmlformats.org/drawingml/2006/main">
                        <a:graphicData uri="http://schemas.microsoft.com/office/word/2010/wordprocessingShape">
                          <wps:wsp>
                            <wps:cNvSpPr txBox="1"/>
                            <wps:spPr>
                              <a:xfrm>
                                <a:off x="0" y="0"/>
                                <a:ext cx="2762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19710" cy="175260"/>
                      <wp:effectExtent l="0" t="0" r="0" b="0"/>
                      <wp:wrapNone/>
                      <wp:docPr id="8" name="Frame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46050" cy="175260"/>
                      <wp:effectExtent l="0" t="0" r="0" b="0"/>
                      <wp:wrapNone/>
                      <wp:docPr id="9" name="Frame9"/>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537210" cy="175260"/>
                      <wp:effectExtent l="0" t="0" r="0" b="0"/>
                      <wp:wrapNone/>
                      <wp:docPr id="10" name="Frame10"/>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57810" cy="175260"/>
                      <wp:effectExtent l="0" t="0" r="0" b="0"/>
                      <wp:wrapNone/>
                      <wp:docPr id="11" name="Frame11"/>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46050" cy="175260"/>
                      <wp:effectExtent l="0" t="0" r="0" b="0"/>
                      <wp:wrapNone/>
                      <wp:docPr id="12" name="Frame12"/>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570230" cy="175260"/>
                      <wp:effectExtent l="0" t="0" r="0" b="0"/>
                      <wp:wrapNone/>
                      <wp:docPr id="13" name="Frame13"/>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6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Three months ended March 31, </w:t>
            </w:r>
          </w:p>
        </w:tc>
      </w:tr>
      <w:tr>
        <w:trPr/>
        <w:tc>
          <w:tcPr>
            <w:tcW w:w="43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406" w:type="dxa"/>
            <w:tcBorders/>
            <w:vAlign w:val="center"/>
          </w:tcPr>
          <w:p>
            <w:pPr>
              <w:pStyle w:val="TableContents"/>
              <w:bidi w:val="0"/>
              <w:spacing w:before="0" w:after="1"/>
              <w:ind w:left="0" w:right="0" w:hanging="0"/>
              <w:jc w:val="center"/>
              <w:rPr/>
            </w:pPr>
            <w:r>
              <w:rPr/>
              <w:t>​</w:t>
            </w:r>
          </w:p>
        </w:tc>
        <w:tc>
          <w:tcPr>
            <w:tcW w:w="112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7307"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3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610"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(unaudited)</w:t>
            </w:r>
          </w:p>
        </w:tc>
      </w:tr>
      <w:tr>
        <w:trPr/>
        <w:tc>
          <w:tcPr>
            <w:tcW w:w="4351" w:type="dxa"/>
            <w:tcBorders/>
            <w:shd w:fill="CCEEFF" w:val="clear"/>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Revenues:</w:t>
            </w:r>
          </w:p>
        </w:tc>
        <w:tc>
          <w:tcPr>
            <w:tcW w:w="346" w:type="dxa"/>
            <w:tcBorders/>
            <w:shd w:fill="CCEEFF" w:val="clear"/>
            <w:vAlign w:val="center"/>
          </w:tcPr>
          <w:p>
            <w:pPr>
              <w:pStyle w:val="TableContents"/>
              <w:bidi w:val="0"/>
              <w:spacing w:before="0" w:after="1"/>
              <w:ind w:left="0" w:right="0" w:hanging="0"/>
              <w:jc w:val="left"/>
              <w:rPr/>
            </w:pPr>
            <w:r>
              <w:rPr/>
              <w:t>  ​ ​ ​</w:t>
            </w:r>
          </w:p>
        </w:tc>
        <w:tc>
          <w:tcPr>
            <w:tcW w:w="230" w:type="dxa"/>
            <w:tcBorders/>
            <w:shd w:fill="CCEEFF" w:val="clear"/>
            <w:vAlign w:val="center"/>
          </w:tcPr>
          <w:p>
            <w:pPr>
              <w:pStyle w:val="TableContents"/>
              <w:bidi w:val="0"/>
              <w:spacing w:before="0" w:after="1"/>
              <w:ind w:left="0" w:right="0" w:hanging="0"/>
              <w:jc w:val="left"/>
              <w:rPr/>
            </w:pPr>
            <w:r>
              <w:rPr/>
              <w:t>​</w:t>
            </w:r>
          </w:p>
        </w:tc>
        <w:tc>
          <w:tcPr>
            <w:tcW w:w="846" w:type="dxa"/>
            <w:tcBorders/>
            <w:shd w:fill="CCEEFF" w:val="clear"/>
            <w:vAlign w:val="center"/>
          </w:tcPr>
          <w:p>
            <w:pPr>
              <w:pStyle w:val="TableContents"/>
              <w:bidi w:val="0"/>
              <w:spacing w:before="0" w:after="1"/>
              <w:ind w:left="0" w:right="0" w:hanging="0"/>
              <w:jc w:val="right"/>
              <w:rPr/>
            </w:pPr>
            <w:r>
              <w:rPr/>
              <w:t>  ​</w:t>
            </w:r>
          </w:p>
        </w:tc>
        <w:tc>
          <w:tcPr>
            <w:tcW w:w="406" w:type="dxa"/>
            <w:tcBorders/>
            <w:shd w:fill="CCEEFF" w:val="clear"/>
            <w:vAlign w:val="center"/>
          </w:tcPr>
          <w:p>
            <w:pPr>
              <w:pStyle w:val="TableContents"/>
              <w:bidi w:val="0"/>
              <w:spacing w:before="0" w:after="1"/>
              <w:ind w:left="0" w:right="0" w:hanging="0"/>
              <w:jc w:val="left"/>
              <w:rPr/>
            </w:pPr>
            <w:r>
              <w:rPr/>
              <w:t>  ​ ​ ​</w:t>
            </w:r>
          </w:p>
        </w:tc>
        <w:tc>
          <w:tcPr>
            <w:tcW w:w="230"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right"/>
              <w:rPr/>
            </w:pPr>
            <w:r>
              <w:rPr/>
              <w:t>  ​</w:t>
            </w:r>
          </w:p>
        </w:tc>
      </w:tr>
      <w:tr>
        <w:trPr/>
        <w:tc>
          <w:tcPr>
            <w:tcW w:w="43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Software subscriptions</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167,146</w:t>
            </w:r>
          </w:p>
        </w:tc>
        <w:tc>
          <w:tcPr>
            <w:tcW w:w="40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150,761</w:t>
            </w:r>
          </w:p>
        </w:tc>
      </w:tr>
      <w:tr>
        <w:trPr/>
        <w:tc>
          <w:tcPr>
            <w:tcW w:w="43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Services</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29,500</w:t>
            </w:r>
          </w:p>
        </w:tc>
        <w:tc>
          <w:tcPr>
            <w:tcW w:w="40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26,301</w:t>
            </w:r>
          </w:p>
        </w:tc>
      </w:tr>
      <w:tr>
        <w:trPr/>
        <w:tc>
          <w:tcPr>
            <w:tcW w:w="43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revenues</w:t>
            </w:r>
          </w:p>
        </w:tc>
        <w:tc>
          <w:tcPr>
            <w:tcW w:w="34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196,646</w:t>
            </w:r>
          </w:p>
        </w:tc>
        <w:tc>
          <w:tcPr>
            <w:tcW w:w="40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177,062</w:t>
            </w:r>
          </w:p>
        </w:tc>
      </w:tr>
      <w:tr>
        <w:trPr/>
        <w:tc>
          <w:tcPr>
            <w:tcW w:w="4351" w:type="dxa"/>
            <w:tcBorders/>
            <w:shd w:fill="CCEEFF" w:val="clear"/>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Cost of revenues:</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846" w:type="dxa"/>
            <w:tcBorders/>
            <w:shd w:fill="CCEEFF" w:val="clear"/>
            <w:vAlign w:val="center"/>
          </w:tcPr>
          <w:p>
            <w:pPr>
              <w:pStyle w:val="TableContents"/>
              <w:bidi w:val="0"/>
              <w:spacing w:before="0" w:after="1"/>
              <w:ind w:left="0" w:right="0" w:hanging="0"/>
              <w:jc w:val="right"/>
              <w:rPr/>
            </w:pPr>
            <w:r>
              <w:rPr/>
              <w:t>​</w:t>
            </w:r>
          </w:p>
        </w:tc>
        <w:tc>
          <w:tcPr>
            <w:tcW w:w="40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898" w:type="dxa"/>
            <w:tcBorders/>
            <w:shd w:fill="CCEEFF" w:val="clear"/>
            <w:vAlign w:val="center"/>
          </w:tcPr>
          <w:p>
            <w:pPr>
              <w:pStyle w:val="TableContents"/>
              <w:bidi w:val="0"/>
              <w:spacing w:before="0" w:after="1"/>
              <w:ind w:left="0" w:right="0" w:hanging="0"/>
              <w:jc w:val="right"/>
              <w:rPr/>
            </w:pPr>
            <w:r>
              <w:rPr/>
              <w:t>​</w:t>
            </w:r>
          </w:p>
        </w:tc>
      </w:tr>
      <w:tr>
        <w:trPr/>
        <w:tc>
          <w:tcPr>
            <w:tcW w:w="43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Software subscriptions</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8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51,176</w:t>
            </w:r>
          </w:p>
        </w:tc>
        <w:tc>
          <w:tcPr>
            <w:tcW w:w="40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44,245</w:t>
            </w:r>
          </w:p>
        </w:tc>
      </w:tr>
      <w:tr>
        <w:trPr/>
        <w:tc>
          <w:tcPr>
            <w:tcW w:w="43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Services</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20,601</w:t>
            </w:r>
          </w:p>
        </w:tc>
        <w:tc>
          <w:tcPr>
            <w:tcW w:w="40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19,823</w:t>
            </w:r>
          </w:p>
        </w:tc>
      </w:tr>
      <w:tr>
        <w:trPr/>
        <w:tc>
          <w:tcPr>
            <w:tcW w:w="43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cost of revenues</w:t>
            </w:r>
          </w:p>
        </w:tc>
        <w:tc>
          <w:tcPr>
            <w:tcW w:w="34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71,777</w:t>
            </w:r>
          </w:p>
        </w:tc>
        <w:tc>
          <w:tcPr>
            <w:tcW w:w="40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64,068</w:t>
            </w:r>
          </w:p>
        </w:tc>
      </w:tr>
      <w:tr>
        <w:trPr/>
        <w:tc>
          <w:tcPr>
            <w:tcW w:w="43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Gross profit</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124,869</w:t>
            </w:r>
          </w:p>
        </w:tc>
        <w:tc>
          <w:tcPr>
            <w:tcW w:w="40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112,994</w:t>
            </w:r>
          </w:p>
        </w:tc>
      </w:tr>
      <w:tr>
        <w:trPr/>
        <w:tc>
          <w:tcPr>
            <w:tcW w:w="4351" w:type="dxa"/>
            <w:tcBorders/>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Operating expenses:</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846" w:type="dxa"/>
            <w:tcBorders/>
            <w:vAlign w:val="center"/>
          </w:tcPr>
          <w:p>
            <w:pPr>
              <w:pStyle w:val="TableContents"/>
              <w:bidi w:val="0"/>
              <w:spacing w:before="0" w:after="1"/>
              <w:ind w:left="0" w:right="0" w:hanging="0"/>
              <w:jc w:val="right"/>
              <w:rPr/>
            </w:pPr>
            <w:r>
              <w:rPr/>
              <w:t>​</w:t>
            </w:r>
          </w:p>
        </w:tc>
        <w:tc>
          <w:tcPr>
            <w:tcW w:w="40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898" w:type="dxa"/>
            <w:tcBorders/>
            <w:vAlign w:val="center"/>
          </w:tcPr>
          <w:p>
            <w:pPr>
              <w:pStyle w:val="TableContents"/>
              <w:bidi w:val="0"/>
              <w:spacing w:before="0" w:after="1"/>
              <w:ind w:left="0" w:right="0" w:hanging="0"/>
              <w:jc w:val="right"/>
              <w:rPr/>
            </w:pPr>
            <w:r>
              <w:rPr/>
              <w:t>​</w:t>
            </w:r>
          </w:p>
        </w:tc>
      </w:tr>
      <w:tr>
        <w:trPr/>
        <w:tc>
          <w:tcPr>
            <w:tcW w:w="43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Research and development</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8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24,550</w:t>
            </w:r>
          </w:p>
        </w:tc>
        <w:tc>
          <w:tcPr>
            <w:tcW w:w="40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20,886</w:t>
            </w:r>
          </w:p>
        </w:tc>
      </w:tr>
      <w:tr>
        <w:trPr/>
        <w:tc>
          <w:tcPr>
            <w:tcW w:w="43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Selling and marketing</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8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52,635</w:t>
            </w:r>
          </w:p>
        </w:tc>
        <w:tc>
          <w:tcPr>
            <w:tcW w:w="40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48,155</w:t>
            </w:r>
          </w:p>
        </w:tc>
      </w:tr>
      <w:tr>
        <w:trPr/>
        <w:tc>
          <w:tcPr>
            <w:tcW w:w="43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General and administrative</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8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54,339</w:t>
            </w:r>
          </w:p>
        </w:tc>
        <w:tc>
          <w:tcPr>
            <w:tcW w:w="40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45,028</w:t>
            </w:r>
          </w:p>
        </w:tc>
      </w:tr>
      <w:tr>
        <w:trPr/>
        <w:tc>
          <w:tcPr>
            <w:tcW w:w="43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8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6,442</w:t>
            </w:r>
          </w:p>
        </w:tc>
        <w:tc>
          <w:tcPr>
            <w:tcW w:w="40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5,880</w:t>
            </w:r>
          </w:p>
        </w:tc>
      </w:tr>
      <w:tr>
        <w:trPr/>
        <w:tc>
          <w:tcPr>
            <w:tcW w:w="43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Change in fair value of acquisition contingent earn-outs</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8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(5,738)</w:t>
            </w:r>
          </w:p>
        </w:tc>
        <w:tc>
          <w:tcPr>
            <w:tcW w:w="40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(14,700)</w:t>
            </w:r>
          </w:p>
        </w:tc>
      </w:tr>
      <w:tr>
        <w:trPr/>
        <w:tc>
          <w:tcPr>
            <w:tcW w:w="43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operating expense, net</w:t>
            </w:r>
          </w:p>
        </w:tc>
        <w:tc>
          <w:tcPr>
            <w:tcW w:w="34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3,247</w:t>
            </w:r>
          </w:p>
        </w:tc>
        <w:tc>
          <w:tcPr>
            <w:tcW w:w="40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3,259</w:t>
            </w:r>
          </w:p>
        </w:tc>
      </w:tr>
      <w:tr>
        <w:trPr/>
        <w:tc>
          <w:tcPr>
            <w:tcW w:w="43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135,475</w:t>
            </w:r>
          </w:p>
        </w:tc>
        <w:tc>
          <w:tcPr>
            <w:tcW w:w="40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108,508</w:t>
            </w:r>
          </w:p>
        </w:tc>
      </w:tr>
      <w:tr>
        <w:trPr/>
        <w:tc>
          <w:tcPr>
            <w:tcW w:w="43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Income (loss) from operations</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8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(10,606)</w:t>
            </w:r>
          </w:p>
        </w:tc>
        <w:tc>
          <w:tcPr>
            <w:tcW w:w="40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4,486</w:t>
            </w:r>
          </w:p>
        </w:tc>
      </w:tr>
      <w:tr>
        <w:trPr/>
        <w:tc>
          <w:tcPr>
            <w:tcW w:w="43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 income, net</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(957)</w:t>
            </w:r>
          </w:p>
        </w:tc>
        <w:tc>
          <w:tcPr>
            <w:tcW w:w="40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(1,539)</w:t>
            </w:r>
          </w:p>
        </w:tc>
      </w:tr>
      <w:tr>
        <w:trPr/>
        <w:tc>
          <w:tcPr>
            <w:tcW w:w="43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Income (loss) before income taxes</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8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(9,649)</w:t>
            </w:r>
          </w:p>
        </w:tc>
        <w:tc>
          <w:tcPr>
            <w:tcW w:w="40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6,025</w:t>
            </w:r>
          </w:p>
        </w:tc>
      </w:tr>
      <w:tr>
        <w:trPr/>
        <w:tc>
          <w:tcPr>
            <w:tcW w:w="4351" w:type="dxa"/>
            <w:tcBorders/>
            <w:shd w:fill="CCEEFF" w:val="clear"/>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Income tax benefit</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(7,139)</w:t>
            </w:r>
          </w:p>
        </w:tc>
        <w:tc>
          <w:tcPr>
            <w:tcW w:w="40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(5,105)</w:t>
            </w:r>
          </w:p>
        </w:tc>
      </w:tr>
      <w:tr>
        <w:trPr/>
        <w:tc>
          <w:tcPr>
            <w:tcW w:w="43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 (loss)</w:t>
            </w:r>
          </w:p>
        </w:tc>
        <w:tc>
          <w:tcPr>
            <w:tcW w:w="34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(2,510)</w:t>
            </w:r>
          </w:p>
        </w:tc>
        <w:tc>
          <w:tcPr>
            <w:tcW w:w="40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11,130</w:t>
            </w:r>
          </w:p>
        </w:tc>
      </w:tr>
      <w:tr>
        <w:trPr/>
        <w:tc>
          <w:tcPr>
            <w:tcW w:w="43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comprehensive (income) loss:</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846" w:type="dxa"/>
            <w:tcBorders/>
            <w:shd w:fill="CCEEFF" w:val="clear"/>
            <w:vAlign w:val="center"/>
          </w:tcPr>
          <w:p>
            <w:pPr>
              <w:pStyle w:val="TableContents"/>
              <w:bidi w:val="0"/>
              <w:spacing w:before="0" w:after="1"/>
              <w:ind w:left="0" w:right="0" w:hanging="0"/>
              <w:jc w:val="left"/>
              <w:rPr/>
            </w:pPr>
            <w:r>
              <w:rPr/>
              <w:t>​</w:t>
            </w:r>
          </w:p>
        </w:tc>
        <w:tc>
          <w:tcPr>
            <w:tcW w:w="40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left"/>
              <w:rPr/>
            </w:pPr>
            <w:r>
              <w:rPr/>
              <w:t>​</w:t>
            </w:r>
          </w:p>
        </w:tc>
      </w:tr>
      <w:tr>
        <w:trPr/>
        <w:tc>
          <w:tcPr>
            <w:tcW w:w="43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Foreign currency translation adjustments, net of tax</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8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6,450</w:t>
            </w:r>
          </w:p>
        </w:tc>
        <w:tc>
          <w:tcPr>
            <w:tcW w:w="40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(15,105)</w:t>
            </w:r>
          </w:p>
        </w:tc>
      </w:tr>
      <w:tr>
        <w:trPr/>
        <w:tc>
          <w:tcPr>
            <w:tcW w:w="43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Unrealized loss on investments, net of tax</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40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w:t>
            </w:r>
          </w:p>
        </w:tc>
      </w:tr>
      <w:tr>
        <w:trPr/>
        <w:tc>
          <w:tcPr>
            <w:tcW w:w="43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other comprehensive income (loss), net of tax</w:t>
            </w:r>
          </w:p>
        </w:tc>
        <w:tc>
          <w:tcPr>
            <w:tcW w:w="34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6,450</w:t>
            </w:r>
          </w:p>
        </w:tc>
        <w:tc>
          <w:tcPr>
            <w:tcW w:w="40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(15,096)</w:t>
            </w:r>
          </w:p>
        </w:tc>
      </w:tr>
      <w:tr>
        <w:trPr/>
        <w:tc>
          <w:tcPr>
            <w:tcW w:w="43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comprehensive income (loss)</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(8,960)</w:t>
            </w:r>
          </w:p>
        </w:tc>
        <w:tc>
          <w:tcPr>
            <w:tcW w:w="406" w:type="dxa"/>
            <w:tcBorders/>
            <w:shd w:fill="CCEEFF" w:val="clear"/>
            <w:vAlign w:val="center"/>
          </w:tcPr>
          <w:p>
            <w:pPr>
              <w:pStyle w:val="TableContents"/>
              <w:bidi w:val="0"/>
              <w:spacing w:before="0" w:after="1"/>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26,226</w:t>
            </w:r>
          </w:p>
        </w:tc>
      </w:tr>
      <w:tr>
        <w:trPr/>
        <w:tc>
          <w:tcPr>
            <w:tcW w:w="43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right"/>
              <w:rPr/>
            </w:pPr>
            <w:r>
              <w:rPr/>
              <w:t>​</w:t>
            </w:r>
          </w:p>
        </w:tc>
        <w:tc>
          <w:tcPr>
            <w:tcW w:w="846" w:type="dxa"/>
            <w:tcBorders/>
            <w:vAlign w:val="center"/>
          </w:tcPr>
          <w:p>
            <w:pPr>
              <w:pStyle w:val="TableContents"/>
              <w:bidi w:val="0"/>
              <w:spacing w:before="0" w:after="1"/>
              <w:ind w:left="0" w:right="0" w:hanging="0"/>
              <w:jc w:val="right"/>
              <w:rPr/>
            </w:pPr>
            <w:r>
              <w:rPr/>
              <w:t>​</w:t>
            </w:r>
          </w:p>
        </w:tc>
        <w:tc>
          <w:tcPr>
            <w:tcW w:w="40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right"/>
              <w:rPr/>
            </w:pPr>
            <w:r>
              <w:rPr/>
              <w:t>​</w:t>
            </w:r>
          </w:p>
        </w:tc>
        <w:tc>
          <w:tcPr>
            <w:tcW w:w="898" w:type="dxa"/>
            <w:tcBorders/>
            <w:vAlign w:val="center"/>
          </w:tcPr>
          <w:p>
            <w:pPr>
              <w:pStyle w:val="TableContents"/>
              <w:bidi w:val="0"/>
              <w:spacing w:before="0" w:after="1"/>
              <w:ind w:left="0" w:right="0" w:hanging="0"/>
              <w:jc w:val="right"/>
              <w:rPr/>
            </w:pPr>
            <w:r>
              <w:rPr/>
              <w:t>​</w:t>
            </w:r>
          </w:p>
        </w:tc>
      </w:tr>
      <w:tr>
        <w:trPr/>
        <w:tc>
          <w:tcPr>
            <w:tcW w:w="4351" w:type="dxa"/>
            <w:tcBorders/>
            <w:shd w:fill="CCEEFF" w:val="clear"/>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Net income (loss) per share of Class A and Class B, basic</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(0.02)</w:t>
            </w:r>
          </w:p>
        </w:tc>
        <w:tc>
          <w:tcPr>
            <w:tcW w:w="406" w:type="dxa"/>
            <w:tcBorders/>
            <w:shd w:fill="CCEEFF" w:val="clear"/>
            <w:vAlign w:val="center"/>
          </w:tcPr>
          <w:p>
            <w:pPr>
              <w:pStyle w:val="TableContents"/>
              <w:bidi w:val="0"/>
              <w:spacing w:before="0" w:after="1"/>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0.07</w:t>
            </w:r>
          </w:p>
        </w:tc>
      </w:tr>
      <w:tr>
        <w:trPr/>
        <w:tc>
          <w:tcPr>
            <w:tcW w:w="4351" w:type="dxa"/>
            <w:tcBorders/>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Net income (loss) per share of Class A and Class B, diluted</w:t>
            </w:r>
          </w:p>
        </w:tc>
        <w:tc>
          <w:tcPr>
            <w:tcW w:w="346" w:type="dxa"/>
            <w:tcBorders/>
            <w:vAlign w:val="center"/>
          </w:tcPr>
          <w:p>
            <w:pPr>
              <w:pStyle w:val="TableContents"/>
              <w:bidi w:val="0"/>
              <w:spacing w:before="0" w:after="1"/>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(0.02)</w:t>
            </w:r>
          </w:p>
        </w:tc>
        <w:tc>
          <w:tcPr>
            <w:tcW w:w="406" w:type="dxa"/>
            <w:tcBorders/>
            <w:vAlign w:val="center"/>
          </w:tcPr>
          <w:p>
            <w:pPr>
              <w:pStyle w:val="TableContents"/>
              <w:bidi w:val="0"/>
              <w:spacing w:before="0" w:after="1"/>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0.07</w:t>
            </w:r>
          </w:p>
        </w:tc>
      </w:tr>
      <w:tr>
        <w:trPr/>
        <w:tc>
          <w:tcPr>
            <w:tcW w:w="43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pPr>
            <w:r>
              <w:rPr/>
              <w:t>​</w:t>
            </w:r>
          </w:p>
        </w:tc>
        <w:tc>
          <w:tcPr>
            <w:tcW w:w="40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right"/>
              <w:rPr/>
            </w:pPr>
            <w:r>
              <w:rPr/>
              <w:t>​</w:t>
            </w:r>
          </w:p>
        </w:tc>
      </w:tr>
    </w:tbl>
    <w:p>
      <w:pPr>
        <w:pStyle w:val="TextBody"/>
        <w:bidi w:val="0"/>
        <w:spacing w:before="0" w:after="240"/>
        <w:ind w:left="0" w:right="0" w:firstLine="360"/>
        <w:jc w:val="center"/>
        <w:rPr/>
      </w:pPr>
      <w:r>
        <w:rPr/>
        <w:t>​</w:t>
      </w:r>
    </w:p>
    <w:p>
      <w:pPr>
        <w:pStyle w:val="TextBody"/>
        <w:bidi w:val="0"/>
        <w:spacing w:before="0" w:after="240"/>
        <w:ind w:left="0" w:right="0" w:firstLine="360"/>
        <w:jc w:val="center"/>
        <w:rPr/>
      </w:pPr>
      <w:r>
        <w:rPr/>
        <w:t>​</w:t>
      </w:r>
    </w:p>
    <w:p>
      <w:pPr>
        <w:pStyle w:val="TextBody"/>
        <w:bidi w:val="0"/>
        <w:spacing w:before="0" w:after="0"/>
        <w:ind w:left="0" w:right="0" w:firstLine="360"/>
        <w:jc w:val="center"/>
        <w:rPr>
          <w:rFonts w:ascii="Times New Roman;Times;serif" w:hAnsi="Times New Roman;Times;serif"/>
          <w:sz w:val="18"/>
        </w:rPr>
      </w:pPr>
      <w:r>
        <w:rPr>
          <w:rFonts w:ascii="Times New Roman;Times;serif" w:hAnsi="Times New Roman;Times;serif"/>
          <w:sz w:val="18"/>
        </w:rPr>
        <w:t xml:space="preserve">The accompanying notes are an integral part of these condensed consolidated financial statements.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281" w:name="_d97ceff4_a33d_4cc5_a105_3fa018f9287e"/>
      <w:bookmarkEnd w:id="281"/>
      <w:r>
        <w:rPr/>
        <w:t>​</w:t>
      </w:r>
    </w:p>
    <w:p>
      <w:pPr>
        <w:pStyle w:val="Normal"/>
        <w:bidi w:val="0"/>
        <w:spacing w:before="0" w:after="0"/>
        <w:jc w:val="left"/>
        <w:rPr>
          <w:sz w:val="4"/>
          <w:szCs w:val="4"/>
        </w:rPr>
      </w:pPr>
      <w:r>
        <w:rPr>
          <w:sz w:val="4"/>
          <w:szCs w:val="4"/>
        </w:rPr>
      </w:r>
      <w:bookmarkStart w:id="282" w:name="CondensedConsolidatedStatementsofChanges"/>
      <w:bookmarkStart w:id="283" w:name="CondensedConsolidatedStatementsofChanges"/>
      <w:bookmarkEnd w:id="283"/>
    </w:p>
    <w:tbl>
      <w:tblPr>
        <w:tblW w:w="6241" w:type="dxa"/>
        <w:jc w:val="left"/>
        <w:tblInd w:w="0" w:type="dxa"/>
        <w:tblLayout w:type="fixed"/>
        <w:tblCellMar>
          <w:top w:w="0" w:type="dxa"/>
          <w:left w:w="0" w:type="dxa"/>
          <w:bottom w:w="0" w:type="dxa"/>
          <w:right w:w="0" w:type="dxa"/>
        </w:tblCellMar>
      </w:tblPr>
      <w:tblGrid>
        <w:gridCol w:w="6241"/>
      </w:tblGrid>
      <w:tr>
        <w:trPr/>
        <w:tc>
          <w:tcPr>
            <w:tcW w:w="6241" w:type="dxa"/>
            <w:tcBorders/>
            <w:vAlign w:val="center"/>
          </w:tcPr>
          <w:p>
            <w:pPr>
              <w:pStyle w:val="TableContents"/>
              <w:bidi w:val="0"/>
              <w:spacing w:before="0" w:after="0"/>
              <w:ind w:left="0" w:right="0" w:hanging="0"/>
              <w:jc w:val="left"/>
              <w:rPr/>
            </w:pPr>
            <w:r>
              <w:rPr/>
              <w:t>​</w:t>
            </w:r>
          </w:p>
        </w:tc>
      </w:tr>
      <w:tr>
        <w:trPr/>
        <w:tc>
          <w:tcPr>
            <w:tcW w:w="6241" w:type="dxa"/>
            <w:tcBorders/>
            <w:vAlign w:val="center"/>
          </w:tcPr>
          <w:p>
            <w:pPr>
              <w:pStyle w:val="TableContents"/>
              <w:bidi w:val="0"/>
              <w:spacing w:before="0" w:after="0"/>
              <w:ind w:left="0" w:right="0" w:hanging="0"/>
              <w:jc w:val="left"/>
              <w:rPr/>
            </w:pPr>
            <w:r>
              <w:rPr/>
              <w:t>​</w:t>
            </w:r>
          </w:p>
        </w:tc>
      </w:tr>
      <w:tr>
        <w:trPr/>
        <w:tc>
          <w:tcPr>
            <w:tcW w:w="62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Condensed Consolidated Statements of Changes in Stockholders’ Equity</w:t>
            </w:r>
            <w:r>
              <w:rPr>
                <w:rFonts w:ascii="Times New Roman;Times;serif" w:hAnsi="Times New Roman;Times;serif"/>
                <w:sz w:val="20"/>
              </w:rPr>
              <w:t xml:space="preserve"> </w:t>
            </w:r>
          </w:p>
        </w:tc>
      </w:tr>
      <w:tr>
        <w:trPr/>
        <w:tc>
          <w:tcPr>
            <w:tcW w:w="62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three months ended March 31, 2026 and 2025 (unaudited)</w:t>
            </w:r>
          </w:p>
        </w:tc>
      </w:tr>
      <w:tr>
        <w:trPr/>
        <w:tc>
          <w:tcPr>
            <w:tcW w:w="62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(Amounts in thousands)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84" w:name="Tc_XhChZPhYr0uzpR6qpZvhqg_30_26"/>
      <w:bookmarkStart w:id="285" w:name="Tc_sQ6NJeIKVEO1pzVzUs3fRA_30_23"/>
      <w:bookmarkStart w:id="286" w:name="Tc_CTHDWYKWpkK_wZrt8Mek9Q_30_20"/>
      <w:bookmarkStart w:id="287" w:name="Tc_69tT9fxsHESWuP9L85vyuA_30_17"/>
      <w:bookmarkStart w:id="288" w:name="Tc_XFXCqSyY60elTuDvhv7Nqw_30_15"/>
      <w:bookmarkStart w:id="289" w:name="Tc_Zmzy7QdvfUO5A3yn50dcBg_30_14"/>
      <w:bookmarkStart w:id="290" w:name="Tc_DZloFkeAaEibDEHzZYmyVA_30_12"/>
      <w:bookmarkStart w:id="291" w:name="Tc_ZvflOqUNFk6RO6UwupKMvQ_30_9"/>
      <w:bookmarkStart w:id="292" w:name="Tc_m8L2KwAnYEiR5Wg61Lmkrg_30_4"/>
      <w:bookmarkStart w:id="293" w:name="Tc_m-07Wr8LTUyY-QNx4Yk54A_30_0"/>
      <w:bookmarkStart w:id="294" w:name="Tc_U4JEKDvf80KuJI5d5RsRFA_29_24"/>
      <w:bookmarkStart w:id="295" w:name="Tc_NrpOCtxIe0qHohtvNDNHHA_29_18"/>
      <w:bookmarkStart w:id="296" w:name="Tc_yHWqs8YAiE-eI_k4HmHx4g_29_15"/>
      <w:bookmarkStart w:id="297" w:name="Tc_DiaZIM9mg0KsDfxtFBju1w_29_12"/>
      <w:bookmarkStart w:id="298" w:name="Tc_V6Bu5_rHPUSyDWC2HA3E0g_29_10"/>
      <w:bookmarkStart w:id="299" w:name="Tc_Y7dTOCGTFUKvGMsczJHw9A_29_7"/>
      <w:bookmarkStart w:id="300" w:name="Tc_smx_FYmY3E2Vc56PxdEPaA_29_5"/>
      <w:bookmarkStart w:id="301" w:name="Tc_QMNO0NBjuUWwPKPC7B_5cw_29_2"/>
      <w:bookmarkStart w:id="302" w:name="Tc_r3Yeqb5Oj0Sg-tGBFjPhkQ_29_0"/>
      <w:bookmarkStart w:id="303" w:name="Tc_kvoRUBI9nkOxfL-FWUMp3w_28_21"/>
      <w:bookmarkStart w:id="304" w:name="Tc_8Mc_jbiW5UyxJL76ef5X6Q_28_18"/>
      <w:bookmarkStart w:id="305" w:name="Tc_96gcfrhpBEaylpuTBXmnPw_28_15"/>
      <w:bookmarkStart w:id="306" w:name="Tc_Ant08lFG-UK3_4RWH3___g_28_12"/>
      <w:bookmarkStart w:id="307" w:name="Tc_6q3kGL3nFESutCV66hAqTA_28_10"/>
      <w:bookmarkStart w:id="308" w:name="Tc__SP57_K81UCmw_ijT8D12g_28_7"/>
      <w:bookmarkStart w:id="309" w:name="Tc_62oAPQvLXUiq_GPb1H_DlA_28_5"/>
      <w:bookmarkStart w:id="310" w:name="Tc_HGPDVTDpYU-ryR6Pj698iw_28_2"/>
      <w:bookmarkStart w:id="311" w:name="Tc_VXpiuCk7REOgUFDl6kjQlg_28_0"/>
      <w:bookmarkStart w:id="312" w:name="Tc_bK3yalGrEE2C1u3zZLpmBA_27_21"/>
      <w:bookmarkStart w:id="313" w:name="Tc_KTaQoRdH7E2c3ZGO9gov7w_27_18"/>
      <w:bookmarkStart w:id="314" w:name="Tc_R2A3omRtbUqq2yRVcnM2EQ_27_15"/>
      <w:bookmarkStart w:id="315" w:name="Tc__vc3ByeqS0OQzsnwCEfpNQ_27_12"/>
      <w:bookmarkStart w:id="316" w:name="Tc_NDjnu4QeFkmMuDlUboVmCA_27_10"/>
      <w:bookmarkStart w:id="317" w:name="Tc_ep8AHU3FaE2Syn9mb6LRZA_27_7"/>
      <w:bookmarkStart w:id="318" w:name="Tc_g3He8rMZrkWD-71N_fxkUw_27_5"/>
      <w:bookmarkStart w:id="319" w:name="Tc_4wIcy6WDZUO2g2wW9XCZ0w_27_2"/>
      <w:bookmarkStart w:id="320" w:name="Tc_XUubBeX4rk2LkKSOBvsInQ_27_0"/>
      <w:bookmarkStart w:id="321" w:name="Tc_E8cAGHwP80OjDRNtao4TOg_26_24"/>
      <w:bookmarkStart w:id="322" w:name="Tc_5j3QqDSbDUW5NDx48eL0VA_26_21"/>
      <w:bookmarkStart w:id="323" w:name="Tc_hQknRsJKxkOWcxnbmEulVA_26_15"/>
      <w:bookmarkStart w:id="324" w:name="Tc_Sfz842UL60WJezQMvXLn2Q_26_12"/>
      <w:bookmarkStart w:id="325" w:name="Tc_A6m3IhMek0G-VMZTxH9OXQ_26_10"/>
      <w:bookmarkStart w:id="326" w:name="Tc_4fqQYkd1dUy_nyV_Y2YMlA_26_7"/>
      <w:bookmarkStart w:id="327" w:name="Tc_8LcY64JwlUKVbYWCuMVp7w_26_5"/>
      <w:bookmarkStart w:id="328" w:name="Tc_X-B-se1sWkqiwy5DmK1a4Q_26_2"/>
      <w:bookmarkStart w:id="329" w:name="Tc_n1uPJdjwuEOmdl3-jRTvsQ_26_0"/>
      <w:bookmarkStart w:id="330" w:name="Tc_OajPN99JBEGLguUPQz70yA_25_24"/>
      <w:bookmarkStart w:id="331" w:name="Tc_ZGe7N0js_EWnRKTNi4CWQQ_25_21"/>
      <w:bookmarkStart w:id="332" w:name="Tc_o5KuLjM6fkKpamc-jCrvNg_25_15"/>
      <w:bookmarkStart w:id="333" w:name="Tc_Rc7CC_-10E6BmAzTn1LMBw_25_12"/>
      <w:bookmarkStart w:id="334" w:name="Tc_v9pNvUKQ00KMNwahUOB0aQ_25_10"/>
      <w:bookmarkStart w:id="335" w:name="Tc_JTWPwiqWpEiTMSPRu8ZnrQ_25_7"/>
      <w:bookmarkStart w:id="336" w:name="Tc_oxzucraCqEaGJKZJcpoS2w_25_5"/>
      <w:bookmarkStart w:id="337" w:name="Tc_IrNKmVDxrECDFRbs6-amtw_25_2"/>
      <w:bookmarkStart w:id="338" w:name="Tc_Ej2tte76eEC0L6f-oKI4Pw_25_0"/>
      <w:bookmarkStart w:id="339" w:name="Tc_ZCZHWvLhRUSHgvEFWeocLg_24_24"/>
      <w:bookmarkStart w:id="340" w:name="Tc_6r_Sci4Ht0K2BdkJFsiONA_24_21"/>
      <w:bookmarkStart w:id="341" w:name="Tc_GaBbB3puKEKHbah7QJMKQQ_24_15"/>
      <w:bookmarkStart w:id="342" w:name="Tc_jc0CHVuE1UqzbHgouySE0A_24_12"/>
      <w:bookmarkStart w:id="343" w:name="Tc_KBUoEa2SGkCmesJ5NsDazA_24_10"/>
      <w:bookmarkStart w:id="344" w:name="Tc_DFBAYMeZMUqx5hmbs7IzmQ_24_7"/>
      <w:bookmarkStart w:id="345" w:name="Tc_MDgu6z6KE0-F-8tA2ke4xA_24_0"/>
      <w:bookmarkStart w:id="346" w:name="Tc_DScD3MmRSEq7EMIovOK-ew_23_24"/>
      <w:bookmarkStart w:id="347" w:name="Tc_xdLx8HjmVkGtptIq1V-kZw_23_21"/>
      <w:bookmarkStart w:id="348" w:name="Tc_ZVXMD2nHrESTezcDZfbLbg_23_15"/>
      <w:bookmarkStart w:id="349" w:name="Tc_VwenC9LYMUa-w7MBkFk7CQ_23_12"/>
      <w:bookmarkStart w:id="350" w:name="Tc_Mgn51QejnEK9fRheOaSesw_23_10"/>
      <w:bookmarkStart w:id="351" w:name="Tc_M6ccQCxWvkSw3yo_RRTOKg_23_7"/>
      <w:bookmarkStart w:id="352" w:name="Tc_1NeTX8VhckG2fcTd-c-SlQ_23_5"/>
      <w:bookmarkStart w:id="353" w:name="Tc_aEs9B_Obv0amzwtoyYxsiA_23_0"/>
      <w:bookmarkStart w:id="354" w:name="Tc_FWA0rCOICk-TU4BJ69uo6w_22_26"/>
      <w:bookmarkStart w:id="355" w:name="Tc_vocP-pSwxkK8af14FAXxDg_22_23"/>
      <w:bookmarkStart w:id="356" w:name="Tc_-H_xfZ3LlEm7YolHz7Inbg_22_20"/>
      <w:bookmarkStart w:id="357" w:name="Tc_hqS1gUDauUm5y-X6lTxmvA_22_17"/>
      <w:bookmarkStart w:id="358" w:name="Tc_ZoErTsarsUmR-dJoYUuTLA_22_15"/>
      <w:bookmarkStart w:id="359" w:name="Tc_4esx5OddUk2YqFs03qud0Q_22_14"/>
      <w:bookmarkStart w:id="360" w:name="Tc_B7MAEbQvUE--8eGI7yfMCQ_22_12"/>
      <w:bookmarkStart w:id="361" w:name="Tc_n8BcgwzNAUGOqakESGH4Ig_22_9"/>
      <w:bookmarkStart w:id="362" w:name="Tc_y5VGqzLhDEiIU3HtboVsMg_22_4"/>
      <w:bookmarkStart w:id="363" w:name="Tc_E1VzfRBjKUOLhgv7a7FaGw_22_0"/>
      <w:bookmarkStart w:id="364" w:name="Tc_nKkGAJK8KEqiK6M4GaKJlw_21_26"/>
      <w:bookmarkStart w:id="365" w:name="Tc_n5pNzzW_RkauDjr6sXGs9Q_21_23"/>
      <w:bookmarkStart w:id="366" w:name="Tc_sxYLvSSEJEGuXNZYjPsKNg_21_20"/>
      <w:bookmarkStart w:id="367" w:name="Tc_2GBpXqFkM0a2mQtQarJ3ew_21_17"/>
      <w:bookmarkStart w:id="368" w:name="Tc_nI31Cfz4HkSDro3GgQfwbw_21_15"/>
      <w:bookmarkStart w:id="369" w:name="Tc_aJpGdh29tEiPiMalDksjtg_21_12"/>
      <w:bookmarkStart w:id="370" w:name="Tc_97tHYXt3PESWMvvpGF_HiQ_21_9"/>
      <w:bookmarkStart w:id="371" w:name="Tc_qM9nxtVO1k2pGcxBbszBaA_21_7"/>
      <w:bookmarkStart w:id="372" w:name="Tc_KlK0gn2ZRUuWDzBVq9vsBA_21_4"/>
      <w:bookmarkStart w:id="373" w:name="Tc_AbT2CZNdLk2kAFl3ZUXLNw_21_2"/>
      <w:bookmarkStart w:id="374" w:name="Tc_AYIOQ2hAa0isw3NStwcE2Q_20_26"/>
      <w:bookmarkStart w:id="375" w:name="Tc_Qm5vc8M6Rk6hD49ttYmzSQ_20_23"/>
      <w:bookmarkStart w:id="376" w:name="Tc_DZP87pdpAEuh_sevYiIsjA_20_20"/>
      <w:bookmarkStart w:id="377" w:name="Tc__y1eA8aVLkGCClFl5iXuWQ_20_17"/>
      <w:bookmarkStart w:id="378" w:name="Tc_O1smDCAf00uQKYkTS-22Cw_20_15"/>
      <w:bookmarkStart w:id="379" w:name="Tc_DHuZku2oTU-WWRTB7nLhYQ_20_12"/>
      <w:bookmarkStart w:id="380" w:name="Tc_Z9kTymJDcEW8gP0zDGvXJg_20_9"/>
      <w:bookmarkStart w:id="381" w:name="Tc_VZJKLvSa50aS0l9wHmWZ3Q_20_7"/>
      <w:bookmarkStart w:id="382" w:name="Tc_LdM6NcALpUOZtlOt0ths3w_20_4"/>
      <w:bookmarkStart w:id="383" w:name="Tc_iyL78A9VCUKwrNPNXLK6cA_20_2"/>
      <w:bookmarkStart w:id="384" w:name="Tc_efJqAjnqykGkoaL2gO2j0g_19_26"/>
      <w:bookmarkStart w:id="385" w:name="Tc_chnYleR3H0mzyEJutJk_JA_19_23"/>
      <w:bookmarkStart w:id="386" w:name="Tc_2bB5yWioa061BUXcVJaPjQ_19_20"/>
      <w:bookmarkStart w:id="387" w:name="Tc_jbAND5YBYk--CficTTW53Q_19_17"/>
      <w:bookmarkStart w:id="388" w:name="Tc_WrffcSrmwkuG_m7b6qfdUA_19_9"/>
      <w:bookmarkStart w:id="389" w:name="Tc_dhga7Q4bXUu0cmY8ek-YnA_19_7"/>
      <w:bookmarkStart w:id="390" w:name="Tc_60GO2fAKlESvtOLIuF4xag_19_4"/>
      <w:bookmarkStart w:id="391" w:name="Tc_4DQZ9Ijfu0y8ThKQaqcTYA_19_2"/>
      <w:bookmarkStart w:id="392" w:name="Tc_iU8YNLprq02PG1EL35ZLMg_18_23"/>
      <w:bookmarkStart w:id="393" w:name="Tc_jVyxr145Z0KetO8fS-LwUg_18_20"/>
      <w:bookmarkStart w:id="394" w:name="Tc_v7WkxUXKk0Sn18ojf5nMBg_18_12"/>
      <w:bookmarkStart w:id="395" w:name="Tc_2QmPH4zqK0y6ehhnRtrscg_18_2"/>
      <w:bookmarkStart w:id="396" w:name="Tc_LYuKslq_gkWLx6qhvcB-Ig_15_26"/>
      <w:bookmarkStart w:id="397" w:name="Tc_-9-ozDvjHUeD-KS7rPftxg_15_23"/>
      <w:bookmarkStart w:id="398" w:name="Tc_4XY2H6DHdEOgcGw6hK-T6w_15_20"/>
      <w:bookmarkStart w:id="399" w:name="Tc_Q12jnN0QVU-ZQI6SNy7zaQ_15_17"/>
      <w:bookmarkStart w:id="400" w:name="Tc_bCamxAFAc0ePpyDNMeHBYg_15_14"/>
      <w:bookmarkStart w:id="401" w:name="Tc_X1kl_rsHy0arh3LCH_03cQ_15_9"/>
      <w:bookmarkStart w:id="402" w:name="Tc_H2vE6EOMk0aphBFi9FSKnQ_15_4"/>
      <w:bookmarkStart w:id="403" w:name="Tc_AZ7GAx7m20aOIKW3tmj2Xg_15_0"/>
      <w:bookmarkStart w:id="404" w:name="Tc_-zmAbHNqw0qPI4cTMA3TAQ_14_24"/>
      <w:bookmarkStart w:id="405" w:name="Tc_pynVY2XtZEaLPUaREXZfgg_14_18"/>
      <w:bookmarkStart w:id="406" w:name="Tc_8ByKGIf1nEmeymliezzOHg_14_15"/>
      <w:bookmarkStart w:id="407" w:name="Tc_xZuDjHc60kC8HXB19UGn9w_14_12"/>
      <w:bookmarkStart w:id="408" w:name="Tc_P02cUG3pD0CnVCmfLENmdw_14_10"/>
      <w:bookmarkStart w:id="409" w:name="Tc__GrHYJ5JJU2mFkQcIlX91w_14_7"/>
      <w:bookmarkStart w:id="410" w:name="Tc_N77V3Uh7pEa0lzRpshAPgw_14_5"/>
      <w:bookmarkStart w:id="411" w:name="Tc_VIX9HXO9Y0-zCHb47HnrHg_14_2"/>
      <w:bookmarkStart w:id="412" w:name="Tc_JqdWpFplNU-Oz4ZOXrjOqA_14_0"/>
      <w:bookmarkStart w:id="413" w:name="Tc_Qag2HH-fcUyhqRp7M1c-Iw_13_21"/>
      <w:bookmarkStart w:id="414" w:name="Tc_L-8qijnPYUSaAgVAtN_O_A_13_18"/>
      <w:bookmarkStart w:id="415" w:name="Tc_zGEVfIuAe0affAiDMAiZMw_13_15"/>
      <w:bookmarkStart w:id="416" w:name="Tc_S6c8kjektUKilA4TOnX3ow_13_12"/>
      <w:bookmarkStart w:id="417" w:name="Tc_3jV3bSGQU0CgJ-te_p9b6g_13_10"/>
      <w:bookmarkStart w:id="418" w:name="Tc_8M80Kj27O0uMivTx6zNrBg_13_7"/>
      <w:bookmarkStart w:id="419" w:name="Tc_C1nxLRUwbUecWduQyU2ZSg_13_5"/>
      <w:bookmarkStart w:id="420" w:name="Tc_kxTOi-OEKkiRlBuWbnZPaw_13_2"/>
      <w:bookmarkStart w:id="421" w:name="Tc_t502yxPS_kmgCob2hYY26w_13_0"/>
      <w:bookmarkStart w:id="422" w:name="Tc_8DbpKsvqR0adNicfWT5sfg_12_24"/>
      <w:bookmarkStart w:id="423" w:name="Tc_M61LCGRaYkC_fOeSvMVnow_12_21"/>
      <w:bookmarkStart w:id="424" w:name="Tc_8cnQ7QfXT02jJ_a_7YJgPQ_12_15"/>
      <w:bookmarkStart w:id="425" w:name="Tc_d2r20E1y4UyRkVVHnzYUVg_12_12"/>
      <w:bookmarkStart w:id="426" w:name="Tc_noUcKduhZk67TSWsO3HfQw_12_10"/>
      <w:bookmarkStart w:id="427" w:name="Tc_Bh91kzAUYEWoRZH6fBPxEw_12_7"/>
      <w:bookmarkStart w:id="428" w:name="Tc_8naFqTOkoEqxSEjAyuLH_g_12_5"/>
      <w:bookmarkStart w:id="429" w:name="Tc_5scTHOypk0O_EIzw257hJg_12_2"/>
      <w:bookmarkStart w:id="430" w:name="Tc_ZoqiKpsWKkqrKqWEEf3VWA_12_0"/>
      <w:bookmarkStart w:id="431" w:name="Tc_9XgaRr9zxEO-z5E1SluR8Q_11_24"/>
      <w:bookmarkStart w:id="432" w:name="Tc_gUfUW4WrREyGmUVSCzP-6g_11_21"/>
      <w:bookmarkStart w:id="433" w:name="Tc_zXtkogWoqEqav-wsQfaPGw_11_10"/>
      <w:bookmarkStart w:id="434" w:name="Tc_0GKWl3SX3EKHDqpO9HQymg_11_7"/>
      <w:bookmarkStart w:id="435" w:name="Tc_dr_12uKGXEux4lKN5i9-gw_11_5"/>
      <w:bookmarkStart w:id="436" w:name="Tc_FxKJM04jgU6hLWv_uEn-vA_11_2"/>
      <w:bookmarkStart w:id="437" w:name="Tc_OM7p3-1U6E2fYSfjJCjfuA_11_0"/>
      <w:bookmarkStart w:id="438" w:name="Tc_1jY7U4bYtUq9zQKak95fyg_10_24"/>
      <w:bookmarkStart w:id="439" w:name="Tc_X3g0zV-N5Eeg-4matVm3Gw_10_21"/>
      <w:bookmarkStart w:id="440" w:name="Tc_-QErZ17_PkebCgDwL0TuOw_10_15"/>
      <w:bookmarkStart w:id="441" w:name="Tc_N0gRHk7k4UuCc3vcUzMifQ_10_12"/>
      <w:bookmarkStart w:id="442" w:name="Tc_3t_iG6nmxUik9JYee4KkVw_10_10"/>
      <w:bookmarkStart w:id="443" w:name="Tc__6Mw_2w4aEW1AvuatI4nwA_10_7"/>
      <w:bookmarkStart w:id="444" w:name="Tc_ziDyv0tghU-sESDrpW9Lzg_10_0"/>
      <w:bookmarkStart w:id="445" w:name="Tc_CuvQIOF8MU25Ssj7JJb2JQ_9_24"/>
      <w:bookmarkStart w:id="446" w:name="Tc_WU9hyR_5tUGGCQ2cqwak3A_9_21"/>
      <w:bookmarkStart w:id="447" w:name="Tc_mso1tDToc0aCypQN4-iIgA_9_15"/>
      <w:bookmarkStart w:id="448" w:name="Tc_Jt-14bVOoUuVjRZGAhHSSw_9_12"/>
      <w:bookmarkStart w:id="449" w:name="Tc_2NH53RVUZk-U2FBya1l1Dw_9_10"/>
      <w:bookmarkStart w:id="450" w:name="Tc_OT_-WzF3VEO8YtwaUuspFQ_9_7"/>
      <w:bookmarkStart w:id="451" w:name="Tc_jNrMulPuw0OGv3A6MVzaNw_9_5"/>
      <w:bookmarkStart w:id="452" w:name="Tc_6lzWkwfrH0aLXQWzIAZ0nw_9_2"/>
      <w:bookmarkStart w:id="453" w:name="Tc_EEqM-I_4QkOmq_-ol3Boeg_9_0"/>
      <w:bookmarkStart w:id="454" w:name="Tc_PGyeIRS2YEKgpN8hT0QMUA_8_24"/>
      <w:bookmarkStart w:id="455" w:name="Tc_sYrvuGfmRU69W1C0DnNprQ_8_21"/>
      <w:bookmarkStart w:id="456" w:name="Tc_HS4hjlBOOkemANPbjIVF6Q_8_15"/>
      <w:bookmarkStart w:id="457" w:name="Tc_2dfIbmYBz0CdK7-DAfhapA_8_12"/>
      <w:bookmarkStart w:id="458" w:name="Tc_7-uqkwOX4Ueu5cfJNx3UIg_8_10"/>
      <w:bookmarkStart w:id="459" w:name="Tc_omAmb5H98kiyWG4s6izjug_8_7"/>
      <w:bookmarkStart w:id="460" w:name="Tc_jpE3UKbeoE-gypb4nR5iDQ_8_0"/>
      <w:bookmarkStart w:id="461" w:name="Tc_v3O74Pcb_EiIzBhUj_8WzA_7_24"/>
      <w:bookmarkStart w:id="462" w:name="Tc_LneMvFxazE6JXzSV6wKlRA_7_21"/>
      <w:bookmarkStart w:id="463" w:name="Tc_iNa0ng7c6E2vCz6jkou0Hw_7_15"/>
      <w:bookmarkStart w:id="464" w:name="Tc_S4dUxLR3HEGU1mtP9YNPCQ_7_12"/>
      <w:bookmarkStart w:id="465" w:name="Tc_CGkvegjxqUGTyGCcJ3zJ3A_7_10"/>
      <w:bookmarkStart w:id="466" w:name="Tc_6HFjaYEfRkiCJuaPGVJHWA_7_7"/>
      <w:bookmarkStart w:id="467" w:name="Tc_dX-UM4IS5U6szZN9QK8VWw_7_5"/>
      <w:bookmarkStart w:id="468" w:name="Tc_bRR6xN25hkqXyBsknLPtAA_7_0"/>
      <w:bookmarkStart w:id="469" w:name="Tc_yeCbfwmKckyZWPO-Vod4eA_6_26"/>
      <w:bookmarkStart w:id="470" w:name="Tc_Cx9JdSTnCUijtufXEK2f9w_6_23"/>
      <w:bookmarkStart w:id="471" w:name="Tc_p-S3BgYOlUuVwELRP2aADQ_6_20"/>
      <w:bookmarkStart w:id="472" w:name="Tc_drJWHaTGwE-Cc3iT1Q4F3w_6_17"/>
      <w:bookmarkStart w:id="473" w:name="Tc_s1OQUgOx9UO0qtw9vV5G2A_6_14"/>
      <w:bookmarkStart w:id="474" w:name="Tc_sni-QfnbX0KuPtIouTICyg_6_9"/>
      <w:bookmarkStart w:id="475" w:name="Tc_xudDpVQTTkmawqYjsFL0tg_6_4"/>
      <w:bookmarkStart w:id="476" w:name="Tc_gY9sJ-RFb0K_LcFsoxNxew_6_0"/>
      <w:bookmarkStart w:id="477" w:name="Tc_DMydmcXMwEySheuEfdQG8w_5_26"/>
      <w:bookmarkStart w:id="478" w:name="Tc_M33SSdWtkkiqtHVpdXPsIQ_5_23"/>
      <w:bookmarkStart w:id="479" w:name="Tc_-jdsdKmnpEKoInmjYWp1sA_5_20"/>
      <w:bookmarkStart w:id="480" w:name="Tc_wfw08kd7SU-nlyaNcFRuZA_5_17"/>
      <w:bookmarkStart w:id="481" w:name="Tc_R5Nv7hxOkU-npWLFKNhDTg_5_15"/>
      <w:bookmarkStart w:id="482" w:name="Tc_apvYm0uJF0OjSKZ7glsWoQ_5_12"/>
      <w:bookmarkStart w:id="483" w:name="Tc_lyHcLvI1QU6x3E69XPkEEQ_5_9"/>
      <w:bookmarkStart w:id="484" w:name="Tc_jZ5WzA4dY0yVPU1CwZQVrA_5_7"/>
      <w:bookmarkStart w:id="485" w:name="Tc_uH51RotA1UOo3SAwKxDeBg_5_4"/>
      <w:bookmarkStart w:id="486" w:name="Tc_F_e3SIb9YkaE7iFK0vj4bA_5_2"/>
      <w:bookmarkStart w:id="487" w:name="Tc_9coU3QCp7k6atJRLc1IvNw_4_26"/>
      <w:bookmarkStart w:id="488" w:name="Tc_sifFUXJ77EiGYc2NI_ldGg_4_23"/>
      <w:bookmarkStart w:id="489" w:name="Tc_w3EMShbk6E63J9T-ut0TOA_4_20"/>
      <w:bookmarkStart w:id="490" w:name="Tc_Fbqv2C9W7UGQ__vFZBmDmA_4_17"/>
      <w:bookmarkStart w:id="491" w:name="Tc_NMlElqZ2PU-zaKKnQqBT0A_4_15"/>
      <w:bookmarkStart w:id="492" w:name="Tc_02azVQC56kKFpLgdRfoqPw_4_12"/>
      <w:bookmarkStart w:id="493" w:name="Tc_sLV7wUcg1EinwbvEjEPxaA_4_9"/>
      <w:bookmarkStart w:id="494" w:name="Tc_O_i7w3Yoh0-HHEmfqSGADg_4_7"/>
      <w:bookmarkStart w:id="495" w:name="Tc_iYUlVkvpzUqS712NDyHuYg_4_4"/>
      <w:bookmarkStart w:id="496" w:name="Tc_UJhRPGRQVUOA3Ufh2gFB9w_4_2"/>
      <w:bookmarkStart w:id="497" w:name="Tc_WGuZY1y7u0uAvVwWrAT9Sg_3_26"/>
      <w:bookmarkStart w:id="498" w:name="Tc_pfgHrd528kCGPL2MHlI0VQ_3_23"/>
      <w:bookmarkStart w:id="499" w:name="Tc_G5sVf0tlKUqXxCgdLaF3AA_3_17"/>
      <w:bookmarkStart w:id="500" w:name="Tc_x6oFbg7Y0UGgC78sFv9GWw_3_9"/>
      <w:bookmarkStart w:id="501" w:name="Tc_gtcR6T0kD0uxGcIcRIBO9Q_3_7"/>
      <w:bookmarkStart w:id="502" w:name="Tc_rIHLWqtRUEagGqRN9ptM5g_3_4"/>
      <w:bookmarkStart w:id="503" w:name="Tc_Cb7_b0BxjEid0EvmnvTQzA_3_2"/>
      <w:bookmarkStart w:id="504" w:name="Tc_TUG51k0pVEyOHwIeXhKgXw_2_23"/>
      <w:bookmarkStart w:id="505" w:name="Tc_ExvgyAgLeUCVmluUkCPZ_A_2_12"/>
      <w:bookmarkStart w:id="506" w:name="Tc_EIeLSWuNIkuPuHZCZxQmPg_2_2"/>
      <w:bookmarkStart w:id="507" w:name="_a17fef93_5e71_4b53_a86b_bfc67f6215a5"/>
      <w:bookmarkStart w:id="508" w:name="Tc_XhChZPhYr0uzpR6qpZvhqg_30_26"/>
      <w:bookmarkStart w:id="509" w:name="Tc_sQ6NJeIKVEO1pzVzUs3fRA_30_23"/>
      <w:bookmarkStart w:id="510" w:name="Tc_CTHDWYKWpkK_wZrt8Mek9Q_30_20"/>
      <w:bookmarkStart w:id="511" w:name="Tc_69tT9fxsHESWuP9L85vyuA_30_17"/>
      <w:bookmarkStart w:id="512" w:name="Tc_XFXCqSyY60elTuDvhv7Nqw_30_15"/>
      <w:bookmarkStart w:id="513" w:name="Tc_Zmzy7QdvfUO5A3yn50dcBg_30_14"/>
      <w:bookmarkStart w:id="514" w:name="Tc_DZloFkeAaEibDEHzZYmyVA_30_12"/>
      <w:bookmarkStart w:id="515" w:name="Tc_ZvflOqUNFk6RO6UwupKMvQ_30_9"/>
      <w:bookmarkStart w:id="516" w:name="Tc_m8L2KwAnYEiR5Wg61Lmkrg_30_4"/>
      <w:bookmarkStart w:id="517" w:name="Tc_m-07Wr8LTUyY-QNx4Yk54A_30_0"/>
      <w:bookmarkStart w:id="518" w:name="Tc_U4JEKDvf80KuJI5d5RsRFA_29_24"/>
      <w:bookmarkStart w:id="519" w:name="Tc_NrpOCtxIe0qHohtvNDNHHA_29_18"/>
      <w:bookmarkStart w:id="520" w:name="Tc_yHWqs8YAiE-eI_k4HmHx4g_29_15"/>
      <w:bookmarkStart w:id="521" w:name="Tc_DiaZIM9mg0KsDfxtFBju1w_29_12"/>
      <w:bookmarkStart w:id="522" w:name="Tc_V6Bu5_rHPUSyDWC2HA3E0g_29_10"/>
      <w:bookmarkStart w:id="523" w:name="Tc_Y7dTOCGTFUKvGMsczJHw9A_29_7"/>
      <w:bookmarkStart w:id="524" w:name="Tc_smx_FYmY3E2Vc56PxdEPaA_29_5"/>
      <w:bookmarkStart w:id="525" w:name="Tc_QMNO0NBjuUWwPKPC7B_5cw_29_2"/>
      <w:bookmarkStart w:id="526" w:name="Tc_r3Yeqb5Oj0Sg-tGBFjPhkQ_29_0"/>
      <w:bookmarkStart w:id="527" w:name="Tc_kvoRUBI9nkOxfL-FWUMp3w_28_21"/>
      <w:bookmarkStart w:id="528" w:name="Tc_8Mc_jbiW5UyxJL76ef5X6Q_28_18"/>
      <w:bookmarkStart w:id="529" w:name="Tc_96gcfrhpBEaylpuTBXmnPw_28_15"/>
      <w:bookmarkStart w:id="530" w:name="Tc_Ant08lFG-UK3_4RWH3___g_28_12"/>
      <w:bookmarkStart w:id="531" w:name="Tc_6q3kGL3nFESutCV66hAqTA_28_10"/>
      <w:bookmarkStart w:id="532" w:name="Tc__SP57_K81UCmw_ijT8D12g_28_7"/>
      <w:bookmarkStart w:id="533" w:name="Tc_62oAPQvLXUiq_GPb1H_DlA_28_5"/>
      <w:bookmarkStart w:id="534" w:name="Tc_HGPDVTDpYU-ryR6Pj698iw_28_2"/>
      <w:bookmarkStart w:id="535" w:name="Tc_VXpiuCk7REOgUFDl6kjQlg_28_0"/>
      <w:bookmarkStart w:id="536" w:name="Tc_bK3yalGrEE2C1u3zZLpmBA_27_21"/>
      <w:bookmarkStart w:id="537" w:name="Tc_KTaQoRdH7E2c3ZGO9gov7w_27_18"/>
      <w:bookmarkStart w:id="538" w:name="Tc_R2A3omRtbUqq2yRVcnM2EQ_27_15"/>
      <w:bookmarkStart w:id="539" w:name="Tc__vc3ByeqS0OQzsnwCEfpNQ_27_12"/>
      <w:bookmarkStart w:id="540" w:name="Tc_NDjnu4QeFkmMuDlUboVmCA_27_10"/>
      <w:bookmarkStart w:id="541" w:name="Tc_ep8AHU3FaE2Syn9mb6LRZA_27_7"/>
      <w:bookmarkStart w:id="542" w:name="Tc_g3He8rMZrkWD-71N_fxkUw_27_5"/>
      <w:bookmarkStart w:id="543" w:name="Tc_4wIcy6WDZUO2g2wW9XCZ0w_27_2"/>
      <w:bookmarkStart w:id="544" w:name="Tc_XUubBeX4rk2LkKSOBvsInQ_27_0"/>
      <w:bookmarkStart w:id="545" w:name="Tc_E8cAGHwP80OjDRNtao4TOg_26_24"/>
      <w:bookmarkStart w:id="546" w:name="Tc_5j3QqDSbDUW5NDx48eL0VA_26_21"/>
      <w:bookmarkStart w:id="547" w:name="Tc_hQknRsJKxkOWcxnbmEulVA_26_15"/>
      <w:bookmarkStart w:id="548" w:name="Tc_Sfz842UL60WJezQMvXLn2Q_26_12"/>
      <w:bookmarkStart w:id="549" w:name="Tc_A6m3IhMek0G-VMZTxH9OXQ_26_10"/>
      <w:bookmarkStart w:id="550" w:name="Tc_4fqQYkd1dUy_nyV_Y2YMlA_26_7"/>
      <w:bookmarkStart w:id="551" w:name="Tc_8LcY64JwlUKVbYWCuMVp7w_26_5"/>
      <w:bookmarkStart w:id="552" w:name="Tc_X-B-se1sWkqiwy5DmK1a4Q_26_2"/>
      <w:bookmarkStart w:id="553" w:name="Tc_n1uPJdjwuEOmdl3-jRTvsQ_26_0"/>
      <w:bookmarkStart w:id="554" w:name="Tc_OajPN99JBEGLguUPQz70yA_25_24"/>
      <w:bookmarkStart w:id="555" w:name="Tc_ZGe7N0js_EWnRKTNi4CWQQ_25_21"/>
      <w:bookmarkStart w:id="556" w:name="Tc_o5KuLjM6fkKpamc-jCrvNg_25_15"/>
      <w:bookmarkStart w:id="557" w:name="Tc_Rc7CC_-10E6BmAzTn1LMBw_25_12"/>
      <w:bookmarkStart w:id="558" w:name="Tc_v9pNvUKQ00KMNwahUOB0aQ_25_10"/>
      <w:bookmarkStart w:id="559" w:name="Tc_JTWPwiqWpEiTMSPRu8ZnrQ_25_7"/>
      <w:bookmarkStart w:id="560" w:name="Tc_oxzucraCqEaGJKZJcpoS2w_25_5"/>
      <w:bookmarkStart w:id="561" w:name="Tc_IrNKmVDxrECDFRbs6-amtw_25_2"/>
      <w:bookmarkStart w:id="562" w:name="Tc_Ej2tte76eEC0L6f-oKI4Pw_25_0"/>
      <w:bookmarkStart w:id="563" w:name="Tc_ZCZHWvLhRUSHgvEFWeocLg_24_24"/>
      <w:bookmarkStart w:id="564" w:name="Tc_6r_Sci4Ht0K2BdkJFsiONA_24_21"/>
      <w:bookmarkStart w:id="565" w:name="Tc_GaBbB3puKEKHbah7QJMKQQ_24_15"/>
      <w:bookmarkStart w:id="566" w:name="Tc_jc0CHVuE1UqzbHgouySE0A_24_12"/>
      <w:bookmarkStart w:id="567" w:name="Tc_KBUoEa2SGkCmesJ5NsDazA_24_10"/>
      <w:bookmarkStart w:id="568" w:name="Tc_DFBAYMeZMUqx5hmbs7IzmQ_24_7"/>
      <w:bookmarkStart w:id="569" w:name="Tc_MDgu6z6KE0-F-8tA2ke4xA_24_0"/>
      <w:bookmarkStart w:id="570" w:name="Tc_DScD3MmRSEq7EMIovOK-ew_23_24"/>
      <w:bookmarkStart w:id="571" w:name="Tc_xdLx8HjmVkGtptIq1V-kZw_23_21"/>
      <w:bookmarkStart w:id="572" w:name="Tc_ZVXMD2nHrESTezcDZfbLbg_23_15"/>
      <w:bookmarkStart w:id="573" w:name="Tc_VwenC9LYMUa-w7MBkFk7CQ_23_12"/>
      <w:bookmarkStart w:id="574" w:name="Tc_Mgn51QejnEK9fRheOaSesw_23_10"/>
      <w:bookmarkStart w:id="575" w:name="Tc_M6ccQCxWvkSw3yo_RRTOKg_23_7"/>
      <w:bookmarkStart w:id="576" w:name="Tc_1NeTX8VhckG2fcTd-c-SlQ_23_5"/>
      <w:bookmarkStart w:id="577" w:name="Tc_aEs9B_Obv0amzwtoyYxsiA_23_0"/>
      <w:bookmarkStart w:id="578" w:name="Tc_FWA0rCOICk-TU4BJ69uo6w_22_26"/>
      <w:bookmarkStart w:id="579" w:name="Tc_vocP-pSwxkK8af14FAXxDg_22_23"/>
      <w:bookmarkStart w:id="580" w:name="Tc_-H_xfZ3LlEm7YolHz7Inbg_22_20"/>
      <w:bookmarkStart w:id="581" w:name="Tc_hqS1gUDauUm5y-X6lTxmvA_22_17"/>
      <w:bookmarkStart w:id="582" w:name="Tc_ZoErTsarsUmR-dJoYUuTLA_22_15"/>
      <w:bookmarkStart w:id="583" w:name="Tc_4esx5OddUk2YqFs03qud0Q_22_14"/>
      <w:bookmarkStart w:id="584" w:name="Tc_B7MAEbQvUE--8eGI7yfMCQ_22_12"/>
      <w:bookmarkStart w:id="585" w:name="Tc_n8BcgwzNAUGOqakESGH4Ig_22_9"/>
      <w:bookmarkStart w:id="586" w:name="Tc_y5VGqzLhDEiIU3HtboVsMg_22_4"/>
      <w:bookmarkStart w:id="587" w:name="Tc_E1VzfRBjKUOLhgv7a7FaGw_22_0"/>
      <w:bookmarkStart w:id="588" w:name="Tc_nKkGAJK8KEqiK6M4GaKJlw_21_26"/>
      <w:bookmarkStart w:id="589" w:name="Tc_n5pNzzW_RkauDjr6sXGs9Q_21_23"/>
      <w:bookmarkStart w:id="590" w:name="Tc_sxYLvSSEJEGuXNZYjPsKNg_21_20"/>
      <w:bookmarkStart w:id="591" w:name="Tc_2GBpXqFkM0a2mQtQarJ3ew_21_17"/>
      <w:bookmarkStart w:id="592" w:name="Tc_nI31Cfz4HkSDro3GgQfwbw_21_15"/>
      <w:bookmarkStart w:id="593" w:name="Tc_aJpGdh29tEiPiMalDksjtg_21_12"/>
      <w:bookmarkStart w:id="594" w:name="Tc_97tHYXt3PESWMvvpGF_HiQ_21_9"/>
      <w:bookmarkStart w:id="595" w:name="Tc_qM9nxtVO1k2pGcxBbszBaA_21_7"/>
      <w:bookmarkStart w:id="596" w:name="Tc_KlK0gn2ZRUuWDzBVq9vsBA_21_4"/>
      <w:bookmarkStart w:id="597" w:name="Tc_AbT2CZNdLk2kAFl3ZUXLNw_21_2"/>
      <w:bookmarkStart w:id="598" w:name="Tc_AYIOQ2hAa0isw3NStwcE2Q_20_26"/>
      <w:bookmarkStart w:id="599" w:name="Tc_Qm5vc8M6Rk6hD49ttYmzSQ_20_23"/>
      <w:bookmarkStart w:id="600" w:name="Tc_DZP87pdpAEuh_sevYiIsjA_20_20"/>
      <w:bookmarkStart w:id="601" w:name="Tc__y1eA8aVLkGCClFl5iXuWQ_20_17"/>
      <w:bookmarkStart w:id="602" w:name="Tc_O1smDCAf00uQKYkTS-22Cw_20_15"/>
      <w:bookmarkStart w:id="603" w:name="Tc_DHuZku2oTU-WWRTB7nLhYQ_20_12"/>
      <w:bookmarkStart w:id="604" w:name="Tc_Z9kTymJDcEW8gP0zDGvXJg_20_9"/>
      <w:bookmarkStart w:id="605" w:name="Tc_VZJKLvSa50aS0l9wHmWZ3Q_20_7"/>
      <w:bookmarkStart w:id="606" w:name="Tc_LdM6NcALpUOZtlOt0ths3w_20_4"/>
      <w:bookmarkStart w:id="607" w:name="Tc_iyL78A9VCUKwrNPNXLK6cA_20_2"/>
      <w:bookmarkStart w:id="608" w:name="Tc_efJqAjnqykGkoaL2gO2j0g_19_26"/>
      <w:bookmarkStart w:id="609" w:name="Tc_chnYleR3H0mzyEJutJk_JA_19_23"/>
      <w:bookmarkStart w:id="610" w:name="Tc_2bB5yWioa061BUXcVJaPjQ_19_20"/>
      <w:bookmarkStart w:id="611" w:name="Tc_jbAND5YBYk--CficTTW53Q_19_17"/>
      <w:bookmarkStart w:id="612" w:name="Tc_WrffcSrmwkuG_m7b6qfdUA_19_9"/>
      <w:bookmarkStart w:id="613" w:name="Tc_dhga7Q4bXUu0cmY8ek-YnA_19_7"/>
      <w:bookmarkStart w:id="614" w:name="Tc_60GO2fAKlESvtOLIuF4xag_19_4"/>
      <w:bookmarkStart w:id="615" w:name="Tc_4DQZ9Ijfu0y8ThKQaqcTYA_19_2"/>
      <w:bookmarkStart w:id="616" w:name="Tc_iU8YNLprq02PG1EL35ZLMg_18_23"/>
      <w:bookmarkStart w:id="617" w:name="Tc_jVyxr145Z0KetO8fS-LwUg_18_20"/>
      <w:bookmarkStart w:id="618" w:name="Tc_v7WkxUXKk0Sn18ojf5nMBg_18_12"/>
      <w:bookmarkStart w:id="619" w:name="Tc_2QmPH4zqK0y6ehhnRtrscg_18_2"/>
      <w:bookmarkStart w:id="620" w:name="Tc_LYuKslq_gkWLx6qhvcB-Ig_15_26"/>
      <w:bookmarkStart w:id="621" w:name="Tc_-9-ozDvjHUeD-KS7rPftxg_15_23"/>
      <w:bookmarkStart w:id="622" w:name="Tc_4XY2H6DHdEOgcGw6hK-T6w_15_20"/>
      <w:bookmarkStart w:id="623" w:name="Tc_Q12jnN0QVU-ZQI6SNy7zaQ_15_17"/>
      <w:bookmarkStart w:id="624" w:name="Tc_bCamxAFAc0ePpyDNMeHBYg_15_14"/>
      <w:bookmarkStart w:id="625" w:name="Tc_X1kl_rsHy0arh3LCH_03cQ_15_9"/>
      <w:bookmarkStart w:id="626" w:name="Tc_H2vE6EOMk0aphBFi9FSKnQ_15_4"/>
      <w:bookmarkStart w:id="627" w:name="Tc_AZ7GAx7m20aOIKW3tmj2Xg_15_0"/>
      <w:bookmarkStart w:id="628" w:name="Tc_-zmAbHNqw0qPI4cTMA3TAQ_14_24"/>
      <w:bookmarkStart w:id="629" w:name="Tc_pynVY2XtZEaLPUaREXZfgg_14_18"/>
      <w:bookmarkStart w:id="630" w:name="Tc_8ByKGIf1nEmeymliezzOHg_14_15"/>
      <w:bookmarkStart w:id="631" w:name="Tc_xZuDjHc60kC8HXB19UGn9w_14_12"/>
      <w:bookmarkStart w:id="632" w:name="Tc_P02cUG3pD0CnVCmfLENmdw_14_10"/>
      <w:bookmarkStart w:id="633" w:name="Tc__GrHYJ5JJU2mFkQcIlX91w_14_7"/>
      <w:bookmarkStart w:id="634" w:name="Tc_N77V3Uh7pEa0lzRpshAPgw_14_5"/>
      <w:bookmarkStart w:id="635" w:name="Tc_VIX9HXO9Y0-zCHb47HnrHg_14_2"/>
      <w:bookmarkStart w:id="636" w:name="Tc_JqdWpFplNU-Oz4ZOXrjOqA_14_0"/>
      <w:bookmarkStart w:id="637" w:name="Tc_Qag2HH-fcUyhqRp7M1c-Iw_13_21"/>
      <w:bookmarkStart w:id="638" w:name="Tc_L-8qijnPYUSaAgVAtN_O_A_13_18"/>
      <w:bookmarkStart w:id="639" w:name="Tc_zGEVfIuAe0affAiDMAiZMw_13_15"/>
      <w:bookmarkStart w:id="640" w:name="Tc_S6c8kjektUKilA4TOnX3ow_13_12"/>
      <w:bookmarkStart w:id="641" w:name="Tc_3jV3bSGQU0CgJ-te_p9b6g_13_10"/>
      <w:bookmarkStart w:id="642" w:name="Tc_8M80Kj27O0uMivTx6zNrBg_13_7"/>
      <w:bookmarkStart w:id="643" w:name="Tc_C1nxLRUwbUecWduQyU2ZSg_13_5"/>
      <w:bookmarkStart w:id="644" w:name="Tc_kxTOi-OEKkiRlBuWbnZPaw_13_2"/>
      <w:bookmarkStart w:id="645" w:name="Tc_t502yxPS_kmgCob2hYY26w_13_0"/>
      <w:bookmarkStart w:id="646" w:name="Tc_8DbpKsvqR0adNicfWT5sfg_12_24"/>
      <w:bookmarkStart w:id="647" w:name="Tc_M61LCGRaYkC_fOeSvMVnow_12_21"/>
      <w:bookmarkStart w:id="648" w:name="Tc_8cnQ7QfXT02jJ_a_7YJgPQ_12_15"/>
      <w:bookmarkStart w:id="649" w:name="Tc_d2r20E1y4UyRkVVHnzYUVg_12_12"/>
      <w:bookmarkStart w:id="650" w:name="Tc_noUcKduhZk67TSWsO3HfQw_12_10"/>
      <w:bookmarkStart w:id="651" w:name="Tc_Bh91kzAUYEWoRZH6fBPxEw_12_7"/>
      <w:bookmarkStart w:id="652" w:name="Tc_8naFqTOkoEqxSEjAyuLH_g_12_5"/>
      <w:bookmarkStart w:id="653" w:name="Tc_5scTHOypk0O_EIzw257hJg_12_2"/>
      <w:bookmarkStart w:id="654" w:name="Tc_ZoqiKpsWKkqrKqWEEf3VWA_12_0"/>
      <w:bookmarkStart w:id="655" w:name="Tc_9XgaRr9zxEO-z5E1SluR8Q_11_24"/>
      <w:bookmarkStart w:id="656" w:name="Tc_gUfUW4WrREyGmUVSCzP-6g_11_21"/>
      <w:bookmarkStart w:id="657" w:name="Tc_zXtkogWoqEqav-wsQfaPGw_11_10"/>
      <w:bookmarkStart w:id="658" w:name="Tc_0GKWl3SX3EKHDqpO9HQymg_11_7"/>
      <w:bookmarkStart w:id="659" w:name="Tc_dr_12uKGXEux4lKN5i9-gw_11_5"/>
      <w:bookmarkStart w:id="660" w:name="Tc_FxKJM04jgU6hLWv_uEn-vA_11_2"/>
      <w:bookmarkStart w:id="661" w:name="Tc_OM7p3-1U6E2fYSfjJCjfuA_11_0"/>
      <w:bookmarkStart w:id="662" w:name="Tc_1jY7U4bYtUq9zQKak95fyg_10_24"/>
      <w:bookmarkStart w:id="663" w:name="Tc_X3g0zV-N5Eeg-4matVm3Gw_10_21"/>
      <w:bookmarkStart w:id="664" w:name="Tc_-QErZ17_PkebCgDwL0TuOw_10_15"/>
      <w:bookmarkStart w:id="665" w:name="Tc_N0gRHk7k4UuCc3vcUzMifQ_10_12"/>
      <w:bookmarkStart w:id="666" w:name="Tc_3t_iG6nmxUik9JYee4KkVw_10_10"/>
      <w:bookmarkStart w:id="667" w:name="Tc__6Mw_2w4aEW1AvuatI4nwA_10_7"/>
      <w:bookmarkStart w:id="668" w:name="Tc_ziDyv0tghU-sESDrpW9Lzg_10_0"/>
      <w:bookmarkStart w:id="669" w:name="Tc_CuvQIOF8MU25Ssj7JJb2JQ_9_24"/>
      <w:bookmarkStart w:id="670" w:name="Tc_WU9hyR_5tUGGCQ2cqwak3A_9_21"/>
      <w:bookmarkStart w:id="671" w:name="Tc_mso1tDToc0aCypQN4-iIgA_9_15"/>
      <w:bookmarkStart w:id="672" w:name="Tc_Jt-14bVOoUuVjRZGAhHSSw_9_12"/>
      <w:bookmarkStart w:id="673" w:name="Tc_2NH53RVUZk-U2FBya1l1Dw_9_10"/>
      <w:bookmarkStart w:id="674" w:name="Tc_OT_-WzF3VEO8YtwaUuspFQ_9_7"/>
      <w:bookmarkStart w:id="675" w:name="Tc_jNrMulPuw0OGv3A6MVzaNw_9_5"/>
      <w:bookmarkStart w:id="676" w:name="Tc_6lzWkwfrH0aLXQWzIAZ0nw_9_2"/>
      <w:bookmarkStart w:id="677" w:name="Tc_EEqM-I_4QkOmq_-ol3Boeg_9_0"/>
      <w:bookmarkStart w:id="678" w:name="Tc_PGyeIRS2YEKgpN8hT0QMUA_8_24"/>
      <w:bookmarkStart w:id="679" w:name="Tc_sYrvuGfmRU69W1C0DnNprQ_8_21"/>
      <w:bookmarkStart w:id="680" w:name="Tc_HS4hjlBOOkemANPbjIVF6Q_8_15"/>
      <w:bookmarkStart w:id="681" w:name="Tc_2dfIbmYBz0CdK7-DAfhapA_8_12"/>
      <w:bookmarkStart w:id="682" w:name="Tc_7-uqkwOX4Ueu5cfJNx3UIg_8_10"/>
      <w:bookmarkStart w:id="683" w:name="Tc_omAmb5H98kiyWG4s6izjug_8_7"/>
      <w:bookmarkStart w:id="684" w:name="Tc_jpE3UKbeoE-gypb4nR5iDQ_8_0"/>
      <w:bookmarkStart w:id="685" w:name="Tc_v3O74Pcb_EiIzBhUj_8WzA_7_24"/>
      <w:bookmarkStart w:id="686" w:name="Tc_LneMvFxazE6JXzSV6wKlRA_7_21"/>
      <w:bookmarkStart w:id="687" w:name="Tc_iNa0ng7c6E2vCz6jkou0Hw_7_15"/>
      <w:bookmarkStart w:id="688" w:name="Tc_S4dUxLR3HEGU1mtP9YNPCQ_7_12"/>
      <w:bookmarkStart w:id="689" w:name="Tc_CGkvegjxqUGTyGCcJ3zJ3A_7_10"/>
      <w:bookmarkStart w:id="690" w:name="Tc_6HFjaYEfRkiCJuaPGVJHWA_7_7"/>
      <w:bookmarkStart w:id="691" w:name="Tc_dX-UM4IS5U6szZN9QK8VWw_7_5"/>
      <w:bookmarkStart w:id="692" w:name="Tc_bRR6xN25hkqXyBsknLPtAA_7_0"/>
      <w:bookmarkStart w:id="693" w:name="Tc_yeCbfwmKckyZWPO-Vod4eA_6_26"/>
      <w:bookmarkStart w:id="694" w:name="Tc_Cx9JdSTnCUijtufXEK2f9w_6_23"/>
      <w:bookmarkStart w:id="695" w:name="Tc_p-S3BgYOlUuVwELRP2aADQ_6_20"/>
      <w:bookmarkStart w:id="696" w:name="Tc_drJWHaTGwE-Cc3iT1Q4F3w_6_17"/>
      <w:bookmarkStart w:id="697" w:name="Tc_s1OQUgOx9UO0qtw9vV5G2A_6_14"/>
      <w:bookmarkStart w:id="698" w:name="Tc_sni-QfnbX0KuPtIouTICyg_6_9"/>
      <w:bookmarkStart w:id="699" w:name="Tc_xudDpVQTTkmawqYjsFL0tg_6_4"/>
      <w:bookmarkStart w:id="700" w:name="Tc_gY9sJ-RFb0K_LcFsoxNxew_6_0"/>
      <w:bookmarkStart w:id="701" w:name="Tc_DMydmcXMwEySheuEfdQG8w_5_26"/>
      <w:bookmarkStart w:id="702" w:name="Tc_M33SSdWtkkiqtHVpdXPsIQ_5_23"/>
      <w:bookmarkStart w:id="703" w:name="Tc_-jdsdKmnpEKoInmjYWp1sA_5_20"/>
      <w:bookmarkStart w:id="704" w:name="Tc_wfw08kd7SU-nlyaNcFRuZA_5_17"/>
      <w:bookmarkStart w:id="705" w:name="Tc_R5Nv7hxOkU-npWLFKNhDTg_5_15"/>
      <w:bookmarkStart w:id="706" w:name="Tc_apvYm0uJF0OjSKZ7glsWoQ_5_12"/>
      <w:bookmarkStart w:id="707" w:name="Tc_lyHcLvI1QU6x3E69XPkEEQ_5_9"/>
      <w:bookmarkStart w:id="708" w:name="Tc_jZ5WzA4dY0yVPU1CwZQVrA_5_7"/>
      <w:bookmarkStart w:id="709" w:name="Tc_uH51RotA1UOo3SAwKxDeBg_5_4"/>
      <w:bookmarkStart w:id="710" w:name="Tc_F_e3SIb9YkaE7iFK0vj4bA_5_2"/>
      <w:bookmarkStart w:id="711" w:name="Tc_9coU3QCp7k6atJRLc1IvNw_4_26"/>
      <w:bookmarkStart w:id="712" w:name="Tc_sifFUXJ77EiGYc2NI_ldGg_4_23"/>
      <w:bookmarkStart w:id="713" w:name="Tc_w3EMShbk6E63J9T-ut0TOA_4_20"/>
      <w:bookmarkStart w:id="714" w:name="Tc_Fbqv2C9W7UGQ__vFZBmDmA_4_17"/>
      <w:bookmarkStart w:id="715" w:name="Tc_NMlElqZ2PU-zaKKnQqBT0A_4_15"/>
      <w:bookmarkStart w:id="716" w:name="Tc_02azVQC56kKFpLgdRfoqPw_4_12"/>
      <w:bookmarkStart w:id="717" w:name="Tc_sLV7wUcg1EinwbvEjEPxaA_4_9"/>
      <w:bookmarkStart w:id="718" w:name="Tc_O_i7w3Yoh0-HHEmfqSGADg_4_7"/>
      <w:bookmarkStart w:id="719" w:name="Tc_iYUlVkvpzUqS712NDyHuYg_4_4"/>
      <w:bookmarkStart w:id="720" w:name="Tc_UJhRPGRQVUOA3Ufh2gFB9w_4_2"/>
      <w:bookmarkStart w:id="721" w:name="Tc_WGuZY1y7u0uAvVwWrAT9Sg_3_26"/>
      <w:bookmarkStart w:id="722" w:name="Tc_pfgHrd528kCGPL2MHlI0VQ_3_23"/>
      <w:bookmarkStart w:id="723" w:name="Tc_G5sVf0tlKUqXxCgdLaF3AA_3_17"/>
      <w:bookmarkStart w:id="724" w:name="Tc_x6oFbg7Y0UGgC78sFv9GWw_3_9"/>
      <w:bookmarkStart w:id="725" w:name="Tc_gtcR6T0kD0uxGcIcRIBO9Q_3_7"/>
      <w:bookmarkStart w:id="726" w:name="Tc_rIHLWqtRUEagGqRN9ptM5g_3_4"/>
      <w:bookmarkStart w:id="727" w:name="Tc_Cb7_b0BxjEid0EvmnvTQzA_3_2"/>
      <w:bookmarkStart w:id="728" w:name="Tc_TUG51k0pVEyOHwIeXhKgXw_2_23"/>
      <w:bookmarkStart w:id="729" w:name="Tc_ExvgyAgLeUCVmluUkCPZ_A_2_12"/>
      <w:bookmarkStart w:id="730" w:name="Tc_EIeLSWuNIkuPuHZCZxQmPg_2_2"/>
      <w:bookmarkStart w:id="731" w:name="_a17fef93_5e71_4b53_a86b_bfc67f6215a5"/>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p>
    <w:tbl>
      <w:tblPr>
        <w:tblW w:w="12842" w:type="dxa"/>
        <w:jc w:val="left"/>
        <w:tblInd w:w="0" w:type="dxa"/>
        <w:tblLayout w:type="fixed"/>
        <w:tblCellMar>
          <w:top w:w="0" w:type="dxa"/>
          <w:left w:w="0" w:type="dxa"/>
          <w:bottom w:w="0" w:type="dxa"/>
          <w:right w:w="0" w:type="dxa"/>
        </w:tblCellMar>
      </w:tblPr>
      <w:tblGrid>
        <w:gridCol w:w="1321"/>
        <w:gridCol w:w="226"/>
        <w:gridCol w:w="1006"/>
        <w:gridCol w:w="226"/>
        <w:gridCol w:w="276"/>
        <w:gridCol w:w="490"/>
        <w:gridCol w:w="226"/>
        <w:gridCol w:w="1006"/>
        <w:gridCol w:w="226"/>
        <w:gridCol w:w="276"/>
        <w:gridCol w:w="490"/>
        <w:gridCol w:w="109"/>
        <w:gridCol w:w="766"/>
        <w:gridCol w:w="109"/>
        <w:gridCol w:w="196"/>
        <w:gridCol w:w="766"/>
        <w:gridCol w:w="109"/>
        <w:gridCol w:w="196"/>
        <w:gridCol w:w="691"/>
        <w:gridCol w:w="226"/>
        <w:gridCol w:w="253"/>
        <w:gridCol w:w="858"/>
        <w:gridCol w:w="226"/>
        <w:gridCol w:w="287"/>
        <w:gridCol w:w="974"/>
        <w:gridCol w:w="226"/>
        <w:gridCol w:w="215"/>
        <w:gridCol w:w="866"/>
      </w:tblGrid>
      <w:tr>
        <w:trPr/>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838835" cy="175260"/>
                      <wp:effectExtent l="0" t="0" r="0" b="0"/>
                      <wp:wrapNone/>
                      <wp:docPr id="14" name="Frame14"/>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43510" cy="175260"/>
                      <wp:effectExtent l="0" t="0" r="0" b="0"/>
                      <wp:wrapNone/>
                      <wp:docPr id="15" name="Frame1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38810" cy="175260"/>
                      <wp:effectExtent l="0" t="0" r="0" b="0"/>
                      <wp:wrapNone/>
                      <wp:docPr id="16" name="Frame16"/>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43510" cy="175260"/>
                      <wp:effectExtent l="0" t="0" r="0" b="0"/>
                      <wp:wrapNone/>
                      <wp:docPr id="17" name="Frame1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75260" cy="175260"/>
                      <wp:effectExtent l="0" t="0" r="0" b="0"/>
                      <wp:wrapNone/>
                      <wp:docPr id="18" name="Frame18"/>
                      <a:graphic xmlns:a="http://schemas.openxmlformats.org/drawingml/2006/main">
                        <a:graphicData uri="http://schemas.microsoft.com/office/word/2010/wordprocessingShape">
                          <wps:wsp>
                            <wps:cNvSpPr txBox="1"/>
                            <wps:spPr>
                              <a:xfrm>
                                <a:off x="0" y="0"/>
                                <a:ext cx="17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311150" cy="175260"/>
                      <wp:effectExtent l="0" t="0" r="0" b="0"/>
                      <wp:wrapNone/>
                      <wp:docPr id="19" name="Frame19"/>
                      <a:graphic xmlns:a="http://schemas.openxmlformats.org/drawingml/2006/main">
                        <a:graphicData uri="http://schemas.microsoft.com/office/word/2010/wordprocessingShape">
                          <wps:wsp>
                            <wps:cNvSpPr txBox="1"/>
                            <wps:spPr>
                              <a:xfrm>
                                <a:off x="0" y="0"/>
                                <a:ext cx="311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43510" cy="175260"/>
                      <wp:effectExtent l="0" t="0" r="0" b="0"/>
                      <wp:wrapNone/>
                      <wp:docPr id="20" name="Frame2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38810" cy="175260"/>
                      <wp:effectExtent l="0" t="0" r="0" b="0"/>
                      <wp:wrapNone/>
                      <wp:docPr id="21" name="Frame21"/>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43510" cy="175260"/>
                      <wp:effectExtent l="0" t="0" r="0" b="0"/>
                      <wp:wrapNone/>
                      <wp:docPr id="22" name="Frame2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75260" cy="175260"/>
                      <wp:effectExtent l="0" t="0" r="0" b="0"/>
                      <wp:wrapNone/>
                      <wp:docPr id="23" name="Frame23"/>
                      <a:graphic xmlns:a="http://schemas.openxmlformats.org/drawingml/2006/main">
                        <a:graphicData uri="http://schemas.microsoft.com/office/word/2010/wordprocessingShape">
                          <wps:wsp>
                            <wps:cNvSpPr txBox="1"/>
                            <wps:spPr>
                              <a:xfrm>
                                <a:off x="0" y="0"/>
                                <a:ext cx="17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311150" cy="175260"/>
                      <wp:effectExtent l="0" t="0" r="0" b="0"/>
                      <wp:wrapNone/>
                      <wp:docPr id="24" name="Frame24"/>
                      <a:graphic xmlns:a="http://schemas.openxmlformats.org/drawingml/2006/main">
                        <a:graphicData uri="http://schemas.microsoft.com/office/word/2010/wordprocessingShape">
                          <wps:wsp>
                            <wps:cNvSpPr txBox="1"/>
                            <wps:spPr>
                              <a:xfrm>
                                <a:off x="0" y="0"/>
                                <a:ext cx="311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9215" cy="175260"/>
                      <wp:effectExtent l="0" t="0" r="0" b="0"/>
                      <wp:wrapNone/>
                      <wp:docPr id="25" name="Frame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486410" cy="175260"/>
                      <wp:effectExtent l="0" t="0" r="0" b="0"/>
                      <wp:wrapNone/>
                      <wp:docPr id="26" name="Frame26"/>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9215" cy="175260"/>
                      <wp:effectExtent l="0" t="0" r="0" b="0"/>
                      <wp:wrapNone/>
                      <wp:docPr id="27" name="Frame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24460" cy="175260"/>
                      <wp:effectExtent l="0" t="0" r="0" b="0"/>
                      <wp:wrapNone/>
                      <wp:docPr id="28" name="Frame2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486410" cy="175260"/>
                      <wp:effectExtent l="0" t="0" r="0" b="0"/>
                      <wp:wrapNone/>
                      <wp:docPr id="29" name="Frame29"/>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9215" cy="175260"/>
                      <wp:effectExtent l="0" t="0" r="0" b="0"/>
                      <wp:wrapNone/>
                      <wp:docPr id="30" name="Frame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24460" cy="175260"/>
                      <wp:effectExtent l="0" t="0" r="0" b="0"/>
                      <wp:wrapNone/>
                      <wp:docPr id="31" name="Frame3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438785" cy="175260"/>
                      <wp:effectExtent l="0" t="0" r="0" b="0"/>
                      <wp:wrapNone/>
                      <wp:docPr id="32" name="Frame3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43510" cy="175260"/>
                      <wp:effectExtent l="0" t="0" r="0" b="0"/>
                      <wp:wrapNone/>
                      <wp:docPr id="33" name="Frame3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60655" cy="175260"/>
                      <wp:effectExtent l="0" t="0" r="0" b="0"/>
                      <wp:wrapNone/>
                      <wp:docPr id="34" name="Frame34"/>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544830" cy="175260"/>
                      <wp:effectExtent l="0" t="0" r="0" b="0"/>
                      <wp:wrapNone/>
                      <wp:docPr id="35" name="Frame35"/>
                      <a:graphic xmlns:a="http://schemas.openxmlformats.org/drawingml/2006/main">
                        <a:graphicData uri="http://schemas.microsoft.com/office/word/2010/wordprocessingShape">
                          <wps:wsp>
                            <wps:cNvSpPr txBox="1"/>
                            <wps:spPr>
                              <a:xfrm>
                                <a:off x="0" y="0"/>
                                <a:ext cx="544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43510" cy="175260"/>
                      <wp:effectExtent l="0" t="0" r="0" b="0"/>
                      <wp:wrapNone/>
                      <wp:docPr id="36" name="Frame3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82245" cy="175260"/>
                      <wp:effectExtent l="0" t="0" r="0" b="0"/>
                      <wp:wrapNone/>
                      <wp:docPr id="37" name="Frame37"/>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18490" cy="175260"/>
                      <wp:effectExtent l="0" t="0" r="0" b="0"/>
                      <wp:wrapNone/>
                      <wp:docPr id="38" name="Frame38"/>
                      <a:graphic xmlns:a="http://schemas.openxmlformats.org/drawingml/2006/main">
                        <a:graphicData uri="http://schemas.microsoft.com/office/word/2010/wordprocessingShape">
                          <wps:wsp>
                            <wps:cNvSpPr txBox="1"/>
                            <wps:spPr>
                              <a:xfrm>
                                <a:off x="0" y="0"/>
                                <a:ext cx="618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43510" cy="175260"/>
                      <wp:effectExtent l="0" t="0" r="0" b="0"/>
                      <wp:wrapNone/>
                      <wp:docPr id="39" name="Frame3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36525" cy="175260"/>
                      <wp:effectExtent l="0" t="0" r="0" b="0"/>
                      <wp:wrapNone/>
                      <wp:docPr id="40" name="Frame40"/>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549910" cy="175260"/>
                      <wp:effectExtent l="0" t="0" r="0" b="0"/>
                      <wp:wrapNone/>
                      <wp:docPr id="41" name="Frame41"/>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2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4222" w:type="dxa"/>
            <w:gridSpan w:val="9"/>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261"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left"/>
              <w:rPr/>
            </w:pPr>
            <w:r>
              <w:rPr/>
              <w:t>​</w:t>
            </w:r>
          </w:p>
        </w:tc>
      </w:tr>
      <w:tr>
        <w:trPr/>
        <w:tc>
          <w:tcPr>
            <w:tcW w:w="132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4222"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Common Stock </w:t>
            </w:r>
          </w:p>
        </w:tc>
        <w:tc>
          <w:tcPr>
            <w:tcW w:w="109" w:type="dxa"/>
            <w:tcBorders/>
            <w:vAlign w:val="center"/>
          </w:tcPr>
          <w:p>
            <w:pPr>
              <w:pStyle w:val="TableContents"/>
              <w:bidi w:val="0"/>
              <w:spacing w:before="0" w:after="0"/>
              <w:ind w:left="0" w:right="0" w:hanging="0"/>
              <w:jc w:val="center"/>
              <w:rPr/>
            </w:pPr>
            <w:r>
              <w:rPr/>
              <w:t>​</w:t>
            </w:r>
          </w:p>
        </w:tc>
        <w:tc>
          <w:tcPr>
            <w:tcW w:w="1837"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 Stock</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111"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2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left"/>
              <w:rPr/>
            </w:pPr>
            <w:r>
              <w:rPr/>
              <w:t>​</w:t>
            </w:r>
          </w:p>
        </w:tc>
      </w:tr>
      <w:tr>
        <w:trPr/>
        <w:tc>
          <w:tcPr>
            <w:tcW w:w="132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226" w:type="dxa"/>
            <w:tcBorders/>
            <w:vAlign w:val="center"/>
          </w:tcPr>
          <w:p>
            <w:pPr>
              <w:pStyle w:val="TableContents"/>
              <w:bidi w:val="0"/>
              <w:spacing w:before="0" w:after="0"/>
              <w:ind w:left="0" w:right="0" w:hanging="0"/>
              <w:jc w:val="center"/>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w:t>
            </w:r>
          </w:p>
        </w:tc>
        <w:tc>
          <w:tcPr>
            <w:tcW w:w="2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226" w:type="dxa"/>
            <w:tcBorders/>
            <w:vAlign w:val="center"/>
          </w:tcPr>
          <w:p>
            <w:pPr>
              <w:pStyle w:val="TableContents"/>
              <w:bidi w:val="0"/>
              <w:spacing w:before="0" w:after="0"/>
              <w:ind w:left="0" w:right="0" w:hanging="0"/>
              <w:jc w:val="center"/>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B</w:t>
            </w:r>
          </w:p>
        </w:tc>
        <w:tc>
          <w:tcPr>
            <w:tcW w:w="109"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226" w:type="dxa"/>
            <w:tcBorders/>
            <w:vAlign w:val="center"/>
          </w:tcPr>
          <w:p>
            <w:pPr>
              <w:pStyle w:val="TableContents"/>
              <w:bidi w:val="0"/>
              <w:spacing w:before="0" w:after="0"/>
              <w:ind w:left="0" w:right="0" w:hanging="0"/>
              <w:jc w:val="center"/>
              <w:rPr/>
            </w:pPr>
            <w:r>
              <w:rPr/>
              <w:t>  ​</w:t>
            </w:r>
          </w:p>
        </w:tc>
        <w:tc>
          <w:tcPr>
            <w:tcW w:w="1111"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  ​</w:t>
            </w:r>
          </w:p>
        </w:tc>
        <w:tc>
          <w:tcPr>
            <w:tcW w:w="12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 </w:t>
            </w:r>
          </w:p>
        </w:tc>
        <w:tc>
          <w:tcPr>
            <w:tcW w:w="226" w:type="dxa"/>
            <w:tcBorders/>
            <w:vAlign w:val="center"/>
          </w:tcPr>
          <w:p>
            <w:pPr>
              <w:pStyle w:val="TableContents"/>
              <w:bidi w:val="0"/>
              <w:spacing w:before="0" w:after="0"/>
              <w:ind w:left="0" w:right="0" w:hanging="0"/>
              <w:jc w:val="center"/>
              <w:rPr/>
            </w:pPr>
            <w:r>
              <w:rPr/>
              <w:t>  ​</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32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w:t>
            </w:r>
          </w:p>
        </w:tc>
        <w:tc>
          <w:tcPr>
            <w:tcW w:w="226" w:type="dxa"/>
            <w:tcBorders/>
            <w:vAlign w:val="center"/>
          </w:tcPr>
          <w:p>
            <w:pPr>
              <w:pStyle w:val="TableContents"/>
              <w:bidi w:val="0"/>
              <w:spacing w:before="0" w:after="0"/>
              <w:ind w:left="0" w:right="0" w:hanging="0"/>
              <w:jc w:val="center"/>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2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B</w:t>
            </w:r>
          </w:p>
        </w:tc>
        <w:tc>
          <w:tcPr>
            <w:tcW w:w="226" w:type="dxa"/>
            <w:tcBorders/>
            <w:vAlign w:val="center"/>
          </w:tcPr>
          <w:p>
            <w:pPr>
              <w:pStyle w:val="TableContents"/>
              <w:bidi w:val="0"/>
              <w:spacing w:before="0" w:after="0"/>
              <w:ind w:left="0" w:right="0" w:hanging="0"/>
              <w:jc w:val="center"/>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109"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109"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 In</w:t>
            </w:r>
          </w:p>
        </w:tc>
        <w:tc>
          <w:tcPr>
            <w:tcW w:w="226" w:type="dxa"/>
            <w:tcBorders/>
            <w:vAlign w:val="center"/>
          </w:tcPr>
          <w:p>
            <w:pPr>
              <w:pStyle w:val="TableContents"/>
              <w:bidi w:val="0"/>
              <w:spacing w:before="0" w:after="0"/>
              <w:ind w:left="0" w:right="0" w:hanging="0"/>
              <w:jc w:val="center"/>
              <w:rPr/>
            </w:pPr>
            <w:r>
              <w:rPr/>
              <w:t>​</w:t>
            </w:r>
          </w:p>
        </w:tc>
        <w:tc>
          <w:tcPr>
            <w:tcW w:w="11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26" w:type="dxa"/>
            <w:tcBorders/>
            <w:vAlign w:val="center"/>
          </w:tcPr>
          <w:p>
            <w:pPr>
              <w:pStyle w:val="TableContents"/>
              <w:bidi w:val="0"/>
              <w:spacing w:before="0" w:after="0"/>
              <w:ind w:left="0" w:right="0" w:hanging="0"/>
              <w:jc w:val="center"/>
              <w:rPr/>
            </w:pPr>
            <w:r>
              <w:rPr/>
              <w:t>​</w:t>
            </w:r>
          </w:p>
        </w:tc>
        <w:tc>
          <w:tcPr>
            <w:tcW w:w="12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 </w:t>
            </w:r>
          </w:p>
        </w:tc>
        <w:tc>
          <w:tcPr>
            <w:tcW w:w="226" w:type="dxa"/>
            <w:tcBorders/>
            <w:vAlign w:val="center"/>
          </w:tcPr>
          <w:p>
            <w:pPr>
              <w:pStyle w:val="TableContents"/>
              <w:bidi w:val="0"/>
              <w:spacing w:before="0" w:after="0"/>
              <w:ind w:left="0" w:right="0" w:hanging="0"/>
              <w:jc w:val="center"/>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32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26" w:type="dxa"/>
            <w:tcBorders/>
            <w:vAlign w:val="center"/>
          </w:tcPr>
          <w:p>
            <w:pPr>
              <w:pStyle w:val="TableContents"/>
              <w:bidi w:val="0"/>
              <w:spacing w:before="0" w:after="0"/>
              <w:ind w:left="0" w:right="0" w:hanging="0"/>
              <w:jc w:val="center"/>
              <w:rPr/>
            </w:pPr>
            <w:r>
              <w:rPr/>
              <w:t>  ​</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Stock</w:t>
            </w:r>
          </w:p>
        </w:tc>
        <w:tc>
          <w:tcPr>
            <w:tcW w:w="226" w:type="dxa"/>
            <w:tcBorders/>
            <w:vAlign w:val="center"/>
          </w:tcPr>
          <w:p>
            <w:pPr>
              <w:pStyle w:val="TableContents"/>
              <w:bidi w:val="0"/>
              <w:spacing w:before="0" w:after="0"/>
              <w:ind w:left="0" w:right="0" w:hanging="0"/>
              <w:jc w:val="center"/>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26" w:type="dxa"/>
            <w:tcBorders/>
            <w:vAlign w:val="center"/>
          </w:tcPr>
          <w:p>
            <w:pPr>
              <w:pStyle w:val="TableContents"/>
              <w:bidi w:val="0"/>
              <w:spacing w:before="0" w:after="0"/>
              <w:ind w:left="0" w:right="0" w:hanging="0"/>
              <w:jc w:val="center"/>
              <w:rPr/>
            </w:pPr>
            <w:r>
              <w:rPr/>
              <w:t>  ​</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109" w:type="dxa"/>
            <w:tcBorders/>
            <w:vAlign w:val="center"/>
          </w:tcPr>
          <w:p>
            <w:pPr>
              <w:pStyle w:val="TableContents"/>
              <w:bidi w:val="0"/>
              <w:spacing w:before="0" w:after="0"/>
              <w:ind w:left="0" w:right="0" w:hanging="0"/>
              <w:jc w:val="center"/>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109"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226" w:type="dxa"/>
            <w:tcBorders/>
            <w:vAlign w:val="center"/>
          </w:tcPr>
          <w:p>
            <w:pPr>
              <w:pStyle w:val="TableContents"/>
              <w:bidi w:val="0"/>
              <w:spacing w:before="0" w:after="0"/>
              <w:ind w:left="0" w:right="0" w:hanging="0"/>
              <w:jc w:val="center"/>
              <w:rPr/>
            </w:pPr>
            <w:r>
              <w:rPr/>
              <w:t>  ​</w:t>
            </w:r>
          </w:p>
        </w:tc>
        <w:tc>
          <w:tcPr>
            <w:tcW w:w="11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226" w:type="dxa"/>
            <w:tcBorders/>
            <w:vAlign w:val="center"/>
          </w:tcPr>
          <w:p>
            <w:pPr>
              <w:pStyle w:val="TableContents"/>
              <w:bidi w:val="0"/>
              <w:spacing w:before="0" w:after="0"/>
              <w:ind w:left="0" w:right="0" w:hanging="0"/>
              <w:jc w:val="center"/>
              <w:rPr/>
            </w:pPr>
            <w:r>
              <w:rPr/>
              <w:t>  ​</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226" w:type="dxa"/>
            <w:tcBorders/>
            <w:vAlign w:val="center"/>
          </w:tcPr>
          <w:p>
            <w:pPr>
              <w:pStyle w:val="TableContents"/>
              <w:bidi w:val="0"/>
              <w:spacing w:before="0" w:after="0"/>
              <w:ind w:left="0" w:right="0" w:hanging="0"/>
              <w:jc w:val="center"/>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3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January 1, 2026</w:t>
            </w:r>
          </w:p>
        </w:tc>
        <w:tc>
          <w:tcPr>
            <w:tcW w:w="22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77,580</w:t>
            </w:r>
          </w:p>
        </w:tc>
        <w:tc>
          <w:tcPr>
            <w:tcW w:w="226" w:type="dxa"/>
            <w:tcBorders/>
            <w:shd w:fill="CCEEFF" w:val="clear"/>
            <w:vAlign w:val="center"/>
          </w:tcPr>
          <w:p>
            <w:pPr>
              <w:pStyle w:val="TableContents"/>
              <w:bidi w:val="0"/>
              <w:spacing w:before="0" w:after="0"/>
              <w:ind w:left="0" w:right="0" w:hanging="0"/>
              <w:jc w:val="center"/>
              <w:rPr/>
            </w:pPr>
            <w:r>
              <w:rPr/>
              <w:t>​</w:t>
            </w:r>
          </w:p>
        </w:tc>
        <w:tc>
          <w:tcPr>
            <w:tcW w:w="2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9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w:t>
            </w:r>
          </w:p>
        </w:tc>
        <w:tc>
          <w:tcPr>
            <w:tcW w:w="22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82,156</w:t>
            </w:r>
          </w:p>
        </w:tc>
        <w:tc>
          <w:tcPr>
            <w:tcW w:w="226" w:type="dxa"/>
            <w:tcBorders/>
            <w:shd w:fill="CCEEFF" w:val="clear"/>
            <w:vAlign w:val="center"/>
          </w:tcPr>
          <w:p>
            <w:pPr>
              <w:pStyle w:val="TableContents"/>
              <w:bidi w:val="0"/>
              <w:spacing w:before="0" w:after="0"/>
              <w:ind w:left="0" w:right="0" w:hanging="0"/>
              <w:jc w:val="center"/>
              <w:rPr/>
            </w:pPr>
            <w:r>
              <w:rPr/>
              <w:t>​</w:t>
            </w:r>
          </w:p>
        </w:tc>
        <w:tc>
          <w:tcPr>
            <w:tcW w:w="2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9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w:t>
            </w:r>
          </w:p>
        </w:tc>
        <w:tc>
          <w:tcPr>
            <w:tcW w:w="109" w:type="dxa"/>
            <w:tcBorders/>
            <w:shd w:fill="CCEEFF" w:val="clear"/>
            <w:vAlign w:val="center"/>
          </w:tcPr>
          <w:p>
            <w:pPr>
              <w:pStyle w:val="TableContents"/>
              <w:bidi w:val="0"/>
              <w:spacing w:before="0" w:after="0"/>
              <w:ind w:left="0" w:right="0" w:hanging="0"/>
              <w:jc w:val="righ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504</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(10,094)</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316,327</w:t>
            </w:r>
          </w:p>
        </w:tc>
        <w:tc>
          <w:tcPr>
            <w:tcW w:w="226" w:type="dxa"/>
            <w:tcBorders/>
            <w:shd w:fill="CCEEFF" w:val="clear"/>
            <w:vAlign w:val="center"/>
          </w:tcPr>
          <w:p>
            <w:pPr>
              <w:pStyle w:val="TableContents"/>
              <w:bidi w:val="0"/>
              <w:spacing w:before="0" w:after="0"/>
              <w:ind w:left="0" w:right="0" w:hanging="0"/>
              <w:jc w:val="center"/>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(46,104)</w:t>
            </w:r>
          </w:p>
        </w:tc>
        <w:tc>
          <w:tcPr>
            <w:tcW w:w="226" w:type="dxa"/>
            <w:tcBorders/>
            <w:shd w:fill="CCEEFF" w:val="clear"/>
            <w:vAlign w:val="center"/>
          </w:tcPr>
          <w:p>
            <w:pPr>
              <w:pStyle w:val="TableContents"/>
              <w:bidi w:val="0"/>
              <w:spacing w:before="0" w:after="0"/>
              <w:ind w:left="0" w:right="0" w:hanging="0"/>
              <w:jc w:val="center"/>
              <w:rPr/>
            </w:pPr>
            <w:r>
              <w:rPr/>
              <w:t>​</w:t>
            </w:r>
          </w:p>
        </w:tc>
        <w:tc>
          <w:tcPr>
            <w:tcW w:w="28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(1,368)</w:t>
            </w:r>
          </w:p>
        </w:tc>
        <w:tc>
          <w:tcPr>
            <w:tcW w:w="226" w:type="dxa"/>
            <w:tcBorders/>
            <w:shd w:fill="CCEEFF" w:val="clear"/>
            <w:vAlign w:val="center"/>
          </w:tcPr>
          <w:p>
            <w:pPr>
              <w:pStyle w:val="TableContents"/>
              <w:bidi w:val="0"/>
              <w:spacing w:before="0" w:after="0"/>
              <w:ind w:left="0" w:right="0" w:hanging="0"/>
              <w:jc w:val="center"/>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258,920</w:t>
            </w:r>
          </w:p>
        </w:tc>
      </w:tr>
      <w:tr>
        <w:trPr/>
        <w:tc>
          <w:tcPr>
            <w:tcW w:w="13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Exercise of stock options, net</w:t>
            </w:r>
          </w:p>
        </w:tc>
        <w:tc>
          <w:tcPr>
            <w:tcW w:w="2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w:t>
            </w:r>
          </w:p>
        </w:tc>
        <w:tc>
          <w:tcPr>
            <w:tcW w:w="2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w:t>
            </w:r>
          </w:p>
        </w:tc>
        <w:tc>
          <w:tcPr>
            <w:tcW w:w="226" w:type="dxa"/>
            <w:tcBorders/>
            <w:vAlign w:val="center"/>
          </w:tcPr>
          <w:p>
            <w:pPr>
              <w:pStyle w:val="TableContents"/>
              <w:bidi w:val="0"/>
              <w:spacing w:before="0" w:after="0"/>
              <w:ind w:left="0" w:right="0" w:hanging="0"/>
              <w:jc w:val="right"/>
              <w:rPr/>
            </w:pPr>
            <w:r>
              <w:rPr/>
              <w:t>​</w:t>
            </w:r>
          </w:p>
        </w:tc>
        <w:tc>
          <w:tcPr>
            <w:tcW w:w="253"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w:t>
            </w:r>
          </w:p>
        </w:tc>
      </w:tr>
      <w:tr>
        <w:trPr/>
        <w:tc>
          <w:tcPr>
            <w:tcW w:w="13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Shares issued upon vesting of Restricted Stock Units, net</w:t>
            </w:r>
          </w:p>
        </w:tc>
        <w:tc>
          <w:tcPr>
            <w:tcW w:w="22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941</w:t>
            </w:r>
          </w:p>
        </w:tc>
        <w:tc>
          <w:tcPr>
            <w:tcW w:w="2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49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2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49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(7,144)</w:t>
            </w:r>
          </w:p>
        </w:tc>
        <w:tc>
          <w:tcPr>
            <w:tcW w:w="226" w:type="dxa"/>
            <w:tcBorders/>
            <w:shd w:fill="CCEEFF" w:val="clear"/>
            <w:vAlign w:val="center"/>
          </w:tcPr>
          <w:p>
            <w:pPr>
              <w:pStyle w:val="TableContents"/>
              <w:bidi w:val="0"/>
              <w:spacing w:before="0" w:after="0"/>
              <w:ind w:left="0" w:right="0" w:hanging="0"/>
              <w:jc w:val="righ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58"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(7,143)</w:t>
            </w:r>
          </w:p>
        </w:tc>
      </w:tr>
      <w:tr>
        <w:trPr/>
        <w:tc>
          <w:tcPr>
            <w:tcW w:w="13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2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17,578</w:t>
            </w:r>
          </w:p>
        </w:tc>
        <w:tc>
          <w:tcPr>
            <w:tcW w:w="226" w:type="dxa"/>
            <w:tcBorders/>
            <w:vAlign w:val="center"/>
          </w:tcPr>
          <w:p>
            <w:pPr>
              <w:pStyle w:val="TableContents"/>
              <w:bidi w:val="0"/>
              <w:spacing w:before="0" w:after="0"/>
              <w:ind w:left="0" w:right="0" w:hanging="0"/>
              <w:jc w:val="right"/>
              <w:rPr/>
            </w:pPr>
            <w:r>
              <w:rPr/>
              <w:t>​</w:t>
            </w:r>
          </w:p>
        </w:tc>
        <w:tc>
          <w:tcPr>
            <w:tcW w:w="253"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17,578</w:t>
            </w:r>
          </w:p>
        </w:tc>
      </w:tr>
      <w:tr>
        <w:trPr/>
        <w:tc>
          <w:tcPr>
            <w:tcW w:w="13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Shares issued for acquisition contingent stock earn-out </w:t>
            </w:r>
          </w:p>
        </w:tc>
        <w:tc>
          <w:tcPr>
            <w:tcW w:w="22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324</w:t>
            </w:r>
          </w:p>
        </w:tc>
        <w:tc>
          <w:tcPr>
            <w:tcW w:w="2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49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2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49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6,061</w:t>
            </w:r>
          </w:p>
        </w:tc>
        <w:tc>
          <w:tcPr>
            <w:tcW w:w="226" w:type="dxa"/>
            <w:tcBorders/>
            <w:shd w:fill="CCEEFF" w:val="clear"/>
            <w:vAlign w:val="center"/>
          </w:tcPr>
          <w:p>
            <w:pPr>
              <w:pStyle w:val="TableContents"/>
              <w:bidi w:val="0"/>
              <w:spacing w:before="0" w:after="0"/>
              <w:ind w:left="0" w:right="0" w:hanging="0"/>
              <w:jc w:val="righ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58"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6,062</w:t>
            </w:r>
          </w:p>
        </w:tc>
      </w:tr>
      <w:tr>
        <w:trPr/>
        <w:tc>
          <w:tcPr>
            <w:tcW w:w="13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Repurchase of shares</w:t>
            </w:r>
          </w:p>
        </w:tc>
        <w:tc>
          <w:tcPr>
            <w:tcW w:w="2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1,371</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(20,041)</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c>
          <w:tcPr>
            <w:tcW w:w="226" w:type="dxa"/>
            <w:tcBorders/>
            <w:vAlign w:val="center"/>
          </w:tcPr>
          <w:p>
            <w:pPr>
              <w:pStyle w:val="TableContents"/>
              <w:bidi w:val="0"/>
              <w:spacing w:before="0" w:after="0"/>
              <w:ind w:left="0" w:right="0" w:hanging="0"/>
              <w:jc w:val="right"/>
              <w:rPr/>
            </w:pPr>
            <w:r>
              <w:rPr/>
              <w:t>​</w:t>
            </w:r>
          </w:p>
        </w:tc>
        <w:tc>
          <w:tcPr>
            <w:tcW w:w="253"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(20,051)</w:t>
            </w:r>
          </w:p>
        </w:tc>
      </w:tr>
      <w:tr>
        <w:trPr/>
        <w:tc>
          <w:tcPr>
            <w:tcW w:w="13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Tax impact on capped call transactions</w:t>
            </w:r>
          </w:p>
        </w:tc>
        <w:tc>
          <w:tcPr>
            <w:tcW w:w="22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490"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49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226" w:type="dxa"/>
            <w:tcBorders/>
            <w:shd w:fill="CCEEFF" w:val="clear"/>
            <w:vAlign w:val="center"/>
          </w:tcPr>
          <w:p>
            <w:pPr>
              <w:pStyle w:val="TableContents"/>
              <w:bidi w:val="0"/>
              <w:spacing w:before="0" w:after="0"/>
              <w:ind w:left="0" w:right="0" w:hanging="0"/>
              <w:jc w:val="righ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58"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r>
      <w:tr>
        <w:trPr/>
        <w:tc>
          <w:tcPr>
            <w:tcW w:w="13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 adjustments and revaluations, net of tax</w:t>
            </w:r>
          </w:p>
        </w:tc>
        <w:tc>
          <w:tcPr>
            <w:tcW w:w="2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253"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(6,450)</w:t>
            </w:r>
          </w:p>
        </w:tc>
        <w:tc>
          <w:tcPr>
            <w:tcW w:w="2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(6,450)</w:t>
            </w:r>
          </w:p>
        </w:tc>
      </w:tr>
      <w:tr>
        <w:trPr/>
        <w:tc>
          <w:tcPr>
            <w:tcW w:w="13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226" w:type="dxa"/>
            <w:tcBorders/>
            <w:shd w:fill="CCEEFF" w:val="clear"/>
            <w:vAlign w:val="center"/>
          </w:tcPr>
          <w:p>
            <w:pPr>
              <w:pStyle w:val="TableContents"/>
              <w:bidi w:val="0"/>
              <w:spacing w:before="0" w:after="0"/>
              <w:ind w:left="0" w:right="0" w:hanging="0"/>
              <w:jc w:val="center"/>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(2,510)</w:t>
            </w:r>
          </w:p>
        </w:tc>
        <w:tc>
          <w:tcPr>
            <w:tcW w:w="226" w:type="dxa"/>
            <w:tcBorders/>
            <w:shd w:fill="CCEEFF" w:val="clear"/>
            <w:vAlign w:val="center"/>
          </w:tcPr>
          <w:p>
            <w:pPr>
              <w:pStyle w:val="TableContents"/>
              <w:bidi w:val="0"/>
              <w:spacing w:before="0" w:after="0"/>
              <w:ind w:left="0" w:right="0" w:hanging="0"/>
              <w:jc w:val="lef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(2,510)</w:t>
            </w:r>
          </w:p>
        </w:tc>
      </w:tr>
      <w:tr>
        <w:trPr/>
        <w:tc>
          <w:tcPr>
            <w:tcW w:w="13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March 31, 2026</w:t>
            </w:r>
          </w:p>
        </w:tc>
        <w:tc>
          <w:tcPr>
            <w:tcW w:w="226" w:type="dxa"/>
            <w:tcBorders/>
            <w:vAlign w:val="center"/>
          </w:tcPr>
          <w:p>
            <w:pPr>
              <w:pStyle w:val="TableContents"/>
              <w:bidi w:val="0"/>
              <w:spacing w:before="0" w:after="0"/>
              <w:ind w:left="0" w:right="0" w:hanging="0"/>
              <w:jc w:val="center"/>
              <w:rPr/>
            </w:pPr>
            <w:r>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78,882</w:t>
            </w:r>
          </w:p>
        </w:tc>
        <w:tc>
          <w:tcPr>
            <w:tcW w:w="226" w:type="dxa"/>
            <w:tcBorders/>
            <w:vAlign w:val="center"/>
          </w:tcPr>
          <w:p>
            <w:pPr>
              <w:pStyle w:val="TableContents"/>
              <w:bidi w:val="0"/>
              <w:spacing w:before="0" w:after="0"/>
              <w:ind w:left="0" w:right="0" w:hanging="0"/>
              <w:jc w:val="left"/>
              <w:rPr/>
            </w:pPr>
            <w:r>
              <w:rPr/>
              <w:t>​</w:t>
            </w:r>
          </w:p>
        </w:tc>
        <w:tc>
          <w:tcPr>
            <w:tcW w:w="27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w:t>
            </w:r>
          </w:p>
        </w:tc>
        <w:tc>
          <w:tcPr>
            <w:tcW w:w="226" w:type="dxa"/>
            <w:tcBorders/>
            <w:vAlign w:val="center"/>
          </w:tcPr>
          <w:p>
            <w:pPr>
              <w:pStyle w:val="TableContents"/>
              <w:bidi w:val="0"/>
              <w:spacing w:before="0" w:after="0"/>
              <w:ind w:left="0" w:right="0" w:hanging="0"/>
              <w:jc w:val="left"/>
              <w:rPr/>
            </w:pPr>
            <w:r>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82,156</w:t>
            </w:r>
          </w:p>
        </w:tc>
        <w:tc>
          <w:tcPr>
            <w:tcW w:w="226" w:type="dxa"/>
            <w:tcBorders/>
            <w:vAlign w:val="center"/>
          </w:tcPr>
          <w:p>
            <w:pPr>
              <w:pStyle w:val="TableContents"/>
              <w:bidi w:val="0"/>
              <w:spacing w:before="0" w:after="0"/>
              <w:ind w:left="0" w:right="0" w:hanging="0"/>
              <w:jc w:val="right"/>
              <w:rPr/>
            </w:pPr>
            <w:r>
              <w:rPr/>
              <w:t>​</w:t>
            </w:r>
          </w:p>
        </w:tc>
        <w:tc>
          <w:tcPr>
            <w:tcW w:w="27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w:t>
            </w:r>
          </w:p>
        </w:tc>
        <w:tc>
          <w:tcPr>
            <w:tcW w:w="109" w:type="dxa"/>
            <w:tcBorders/>
            <w:vAlign w:val="center"/>
          </w:tcPr>
          <w:p>
            <w:pPr>
              <w:pStyle w:val="TableContents"/>
              <w:bidi w:val="0"/>
              <w:spacing w:before="0" w:after="0"/>
              <w:ind w:left="0" w:right="0" w:hanging="0"/>
              <w:jc w:val="right"/>
              <w:rPr/>
            </w:pPr>
            <w:r>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1,875</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(30,135)</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332,910</w:t>
            </w:r>
          </w:p>
        </w:tc>
        <w:tc>
          <w:tcPr>
            <w:tcW w:w="226" w:type="dxa"/>
            <w:tcBorders/>
            <w:vAlign w:val="center"/>
          </w:tcPr>
          <w:p>
            <w:pPr>
              <w:pStyle w:val="TableContents"/>
              <w:bidi w:val="0"/>
              <w:spacing w:before="0" w:after="0"/>
              <w:ind w:left="0" w:right="0" w:hanging="0"/>
              <w:jc w:val="right"/>
              <w:rPr/>
            </w:pPr>
            <w:r>
              <w:rPr/>
              <w:t>​</w:t>
            </w:r>
          </w:p>
        </w:tc>
        <w:tc>
          <w:tcPr>
            <w:tcW w:w="25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(48,614)</w:t>
            </w:r>
          </w:p>
        </w:tc>
        <w:tc>
          <w:tcPr>
            <w:tcW w:w="226" w:type="dxa"/>
            <w:tcBorders/>
            <w:vAlign w:val="center"/>
          </w:tcPr>
          <w:p>
            <w:pPr>
              <w:pStyle w:val="TableContents"/>
              <w:bidi w:val="0"/>
              <w:spacing w:before="0" w:after="0"/>
              <w:ind w:left="0" w:right="0" w:hanging="0"/>
              <w:jc w:val="left"/>
              <w:rPr/>
            </w:pPr>
            <w:r>
              <w:rPr/>
              <w:t>​</w:t>
            </w:r>
          </w:p>
        </w:tc>
        <w:tc>
          <w:tcPr>
            <w:tcW w:w="28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(7,818)</w:t>
            </w:r>
          </w:p>
        </w:tc>
        <w:tc>
          <w:tcPr>
            <w:tcW w:w="226" w:type="dxa"/>
            <w:tcBorders/>
            <w:vAlign w:val="center"/>
          </w:tcPr>
          <w:p>
            <w:pPr>
              <w:pStyle w:val="TableContents"/>
              <w:bidi w:val="0"/>
              <w:spacing w:before="0" w:after="0"/>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246,504</w:t>
            </w:r>
          </w:p>
        </w:tc>
      </w:tr>
      <w:tr>
        <w:trPr/>
        <w:tc>
          <w:tcPr>
            <w:tcW w:w="132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27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253"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pPr>
            <w:r>
              <w:rPr/>
              <w:t>​</w:t>
            </w:r>
          </w:p>
        </w:tc>
      </w:tr>
      <w:tr>
        <w:trPr/>
        <w:tc>
          <w:tcPr>
            <w:tcW w:w="132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27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27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253"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28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215"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center"/>
              <w:rPr/>
            </w:pPr>
            <w:r>
              <w:rPr/>
              <w:t>​</w:t>
            </w:r>
          </w:p>
        </w:tc>
      </w:tr>
      <w:tr>
        <w:trPr/>
        <w:tc>
          <w:tcPr>
            <w:tcW w:w="132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4222"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Common Stock </w:t>
            </w:r>
          </w:p>
        </w:tc>
        <w:tc>
          <w:tcPr>
            <w:tcW w:w="109" w:type="dxa"/>
            <w:tcBorders/>
            <w:vAlign w:val="center"/>
          </w:tcPr>
          <w:p>
            <w:pPr>
              <w:pStyle w:val="TableContents"/>
              <w:bidi w:val="0"/>
              <w:spacing w:before="0" w:after="0"/>
              <w:ind w:left="0" w:right="0" w:hanging="0"/>
              <w:jc w:val="center"/>
              <w:rPr/>
            </w:pPr>
            <w:r>
              <w:rPr/>
              <w:t>​</w:t>
            </w:r>
          </w:p>
        </w:tc>
        <w:tc>
          <w:tcPr>
            <w:tcW w:w="1837"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 Stock</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11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226" w:type="dxa"/>
            <w:tcBorders/>
            <w:vAlign w:val="center"/>
          </w:tcPr>
          <w:p>
            <w:pPr>
              <w:pStyle w:val="TableContents"/>
              <w:bidi w:val="0"/>
              <w:spacing w:before="0" w:after="0"/>
              <w:ind w:left="0" w:right="0" w:hanging="0"/>
              <w:jc w:val="left"/>
              <w:rPr/>
            </w:pPr>
            <w:r>
              <w:rPr/>
              <w:t>​</w:t>
            </w:r>
          </w:p>
        </w:tc>
        <w:tc>
          <w:tcPr>
            <w:tcW w:w="12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26" w:type="dxa"/>
            <w:tcBorders/>
            <w:vAlign w:val="center"/>
          </w:tcPr>
          <w:p>
            <w:pPr>
              <w:pStyle w:val="TableContents"/>
              <w:bidi w:val="0"/>
              <w:spacing w:before="0" w:after="0"/>
              <w:ind w:left="0" w:right="0" w:hanging="0"/>
              <w:jc w:val="center"/>
              <w:rPr/>
            </w:pPr>
            <w:r>
              <w:rPr/>
              <w:t>​</w:t>
            </w:r>
          </w:p>
        </w:tc>
        <w:tc>
          <w:tcPr>
            <w:tcW w:w="215"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pPr>
            <w:r>
              <w:rPr/>
              <w:t>​</w:t>
            </w:r>
          </w:p>
        </w:tc>
      </w:tr>
      <w:tr>
        <w:trPr/>
        <w:tc>
          <w:tcPr>
            <w:tcW w:w="132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226" w:type="dxa"/>
            <w:tcBorders/>
            <w:vAlign w:val="center"/>
          </w:tcPr>
          <w:p>
            <w:pPr>
              <w:pStyle w:val="TableContents"/>
              <w:bidi w:val="0"/>
              <w:spacing w:before="0" w:after="0"/>
              <w:ind w:left="0" w:right="0" w:hanging="0"/>
              <w:jc w:val="center"/>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w:t>
            </w:r>
          </w:p>
        </w:tc>
        <w:tc>
          <w:tcPr>
            <w:tcW w:w="2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226" w:type="dxa"/>
            <w:tcBorders/>
            <w:vAlign w:val="center"/>
          </w:tcPr>
          <w:p>
            <w:pPr>
              <w:pStyle w:val="TableContents"/>
              <w:bidi w:val="0"/>
              <w:spacing w:before="0" w:after="0"/>
              <w:ind w:left="0" w:right="0" w:hanging="0"/>
              <w:jc w:val="center"/>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B</w:t>
            </w:r>
          </w:p>
        </w:tc>
        <w:tc>
          <w:tcPr>
            <w:tcW w:w="109"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226" w:type="dxa"/>
            <w:tcBorders/>
            <w:vAlign w:val="center"/>
          </w:tcPr>
          <w:p>
            <w:pPr>
              <w:pStyle w:val="TableContents"/>
              <w:bidi w:val="0"/>
              <w:spacing w:before="0" w:after="0"/>
              <w:ind w:left="0" w:right="0" w:hanging="0"/>
              <w:jc w:val="center"/>
              <w:rPr/>
            </w:pPr>
            <w:r>
              <w:rPr/>
              <w:t>  ​</w:t>
            </w:r>
          </w:p>
        </w:tc>
        <w:tc>
          <w:tcPr>
            <w:tcW w:w="11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226" w:type="dxa"/>
            <w:tcBorders/>
            <w:vAlign w:val="center"/>
          </w:tcPr>
          <w:p>
            <w:pPr>
              <w:pStyle w:val="TableContents"/>
              <w:bidi w:val="0"/>
              <w:spacing w:before="0" w:after="0"/>
              <w:ind w:left="0" w:right="0" w:hanging="0"/>
              <w:jc w:val="center"/>
              <w:rPr/>
            </w:pPr>
            <w:r>
              <w:rPr/>
              <w:t>  ​</w:t>
            </w:r>
          </w:p>
        </w:tc>
        <w:tc>
          <w:tcPr>
            <w:tcW w:w="12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 </w:t>
            </w:r>
          </w:p>
        </w:tc>
        <w:tc>
          <w:tcPr>
            <w:tcW w:w="226" w:type="dxa"/>
            <w:tcBorders/>
            <w:vAlign w:val="center"/>
          </w:tcPr>
          <w:p>
            <w:pPr>
              <w:pStyle w:val="TableContents"/>
              <w:bidi w:val="0"/>
              <w:spacing w:before="0" w:after="0"/>
              <w:ind w:left="0" w:right="0" w:hanging="0"/>
              <w:jc w:val="center"/>
              <w:rPr/>
            </w:pPr>
            <w:r>
              <w:rPr/>
              <w:t>  ​</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32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w:t>
            </w:r>
          </w:p>
        </w:tc>
        <w:tc>
          <w:tcPr>
            <w:tcW w:w="226" w:type="dxa"/>
            <w:tcBorders/>
            <w:vAlign w:val="center"/>
          </w:tcPr>
          <w:p>
            <w:pPr>
              <w:pStyle w:val="TableContents"/>
              <w:bidi w:val="0"/>
              <w:spacing w:before="0" w:after="0"/>
              <w:ind w:left="0" w:right="0" w:hanging="0"/>
              <w:jc w:val="center"/>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2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B</w:t>
            </w:r>
          </w:p>
        </w:tc>
        <w:tc>
          <w:tcPr>
            <w:tcW w:w="226" w:type="dxa"/>
            <w:tcBorders/>
            <w:vAlign w:val="center"/>
          </w:tcPr>
          <w:p>
            <w:pPr>
              <w:pStyle w:val="TableContents"/>
              <w:bidi w:val="0"/>
              <w:spacing w:before="0" w:after="0"/>
              <w:ind w:left="0" w:right="0" w:hanging="0"/>
              <w:jc w:val="center"/>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109"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109"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 In</w:t>
            </w:r>
          </w:p>
        </w:tc>
        <w:tc>
          <w:tcPr>
            <w:tcW w:w="226" w:type="dxa"/>
            <w:tcBorders/>
            <w:vAlign w:val="center"/>
          </w:tcPr>
          <w:p>
            <w:pPr>
              <w:pStyle w:val="TableContents"/>
              <w:bidi w:val="0"/>
              <w:spacing w:before="0" w:after="0"/>
              <w:ind w:left="0" w:right="0" w:hanging="0"/>
              <w:jc w:val="center"/>
              <w:rPr/>
            </w:pPr>
            <w:r>
              <w:rPr/>
              <w:t>​</w:t>
            </w:r>
          </w:p>
        </w:tc>
        <w:tc>
          <w:tcPr>
            <w:tcW w:w="11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26" w:type="dxa"/>
            <w:tcBorders/>
            <w:vAlign w:val="center"/>
          </w:tcPr>
          <w:p>
            <w:pPr>
              <w:pStyle w:val="TableContents"/>
              <w:bidi w:val="0"/>
              <w:spacing w:before="0" w:after="0"/>
              <w:ind w:left="0" w:right="0" w:hanging="0"/>
              <w:jc w:val="center"/>
              <w:rPr/>
            </w:pPr>
            <w:r>
              <w:rPr/>
              <w:t>​</w:t>
            </w:r>
          </w:p>
        </w:tc>
        <w:tc>
          <w:tcPr>
            <w:tcW w:w="12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 </w:t>
            </w:r>
          </w:p>
        </w:tc>
        <w:tc>
          <w:tcPr>
            <w:tcW w:w="226" w:type="dxa"/>
            <w:tcBorders/>
            <w:vAlign w:val="center"/>
          </w:tcPr>
          <w:p>
            <w:pPr>
              <w:pStyle w:val="TableContents"/>
              <w:bidi w:val="0"/>
              <w:spacing w:before="0" w:after="0"/>
              <w:ind w:left="0" w:right="0" w:hanging="0"/>
              <w:jc w:val="center"/>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32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26" w:type="dxa"/>
            <w:tcBorders/>
            <w:vAlign w:val="center"/>
          </w:tcPr>
          <w:p>
            <w:pPr>
              <w:pStyle w:val="TableContents"/>
              <w:bidi w:val="0"/>
              <w:spacing w:before="0" w:after="0"/>
              <w:ind w:left="0" w:right="0" w:hanging="0"/>
              <w:jc w:val="center"/>
              <w:rPr/>
            </w:pPr>
            <w:r>
              <w:rPr/>
              <w:t>  ​</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Stock</w:t>
            </w:r>
          </w:p>
        </w:tc>
        <w:tc>
          <w:tcPr>
            <w:tcW w:w="226" w:type="dxa"/>
            <w:tcBorders/>
            <w:vAlign w:val="center"/>
          </w:tcPr>
          <w:p>
            <w:pPr>
              <w:pStyle w:val="TableContents"/>
              <w:bidi w:val="0"/>
              <w:spacing w:before="0" w:after="0"/>
              <w:ind w:left="0" w:right="0" w:hanging="0"/>
              <w:jc w:val="center"/>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26" w:type="dxa"/>
            <w:tcBorders/>
            <w:vAlign w:val="center"/>
          </w:tcPr>
          <w:p>
            <w:pPr>
              <w:pStyle w:val="TableContents"/>
              <w:bidi w:val="0"/>
              <w:spacing w:before="0" w:after="0"/>
              <w:ind w:left="0" w:right="0" w:hanging="0"/>
              <w:jc w:val="center"/>
              <w:rPr/>
            </w:pPr>
            <w:r>
              <w:rPr/>
              <w:t>  ​</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109" w:type="dxa"/>
            <w:tcBorders/>
            <w:vAlign w:val="center"/>
          </w:tcPr>
          <w:p>
            <w:pPr>
              <w:pStyle w:val="TableContents"/>
              <w:bidi w:val="0"/>
              <w:spacing w:before="0" w:after="0"/>
              <w:ind w:left="0" w:right="0" w:hanging="0"/>
              <w:jc w:val="center"/>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109"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226" w:type="dxa"/>
            <w:tcBorders/>
            <w:vAlign w:val="center"/>
          </w:tcPr>
          <w:p>
            <w:pPr>
              <w:pStyle w:val="TableContents"/>
              <w:bidi w:val="0"/>
              <w:spacing w:before="0" w:after="0"/>
              <w:ind w:left="0" w:right="0" w:hanging="0"/>
              <w:jc w:val="center"/>
              <w:rPr/>
            </w:pPr>
            <w:r>
              <w:rPr/>
              <w:t>  ​</w:t>
            </w:r>
          </w:p>
        </w:tc>
        <w:tc>
          <w:tcPr>
            <w:tcW w:w="11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226" w:type="dxa"/>
            <w:tcBorders/>
            <w:vAlign w:val="center"/>
          </w:tcPr>
          <w:p>
            <w:pPr>
              <w:pStyle w:val="TableContents"/>
              <w:bidi w:val="0"/>
              <w:spacing w:before="0" w:after="0"/>
              <w:ind w:left="0" w:right="0" w:hanging="0"/>
              <w:jc w:val="center"/>
              <w:rPr/>
            </w:pPr>
            <w:r>
              <w:rPr/>
              <w:t>  ​</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226" w:type="dxa"/>
            <w:tcBorders/>
            <w:vAlign w:val="center"/>
          </w:tcPr>
          <w:p>
            <w:pPr>
              <w:pStyle w:val="TableContents"/>
              <w:bidi w:val="0"/>
              <w:spacing w:before="0" w:after="0"/>
              <w:ind w:left="0" w:right="0" w:hanging="0"/>
              <w:jc w:val="center"/>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3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January 1, 2025</w:t>
            </w:r>
          </w:p>
        </w:tc>
        <w:tc>
          <w:tcPr>
            <w:tcW w:w="2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70,670</w:t>
            </w:r>
          </w:p>
        </w:tc>
        <w:tc>
          <w:tcPr>
            <w:tcW w:w="226" w:type="dxa"/>
            <w:tcBorders/>
            <w:shd w:fill="CCEEFF" w:val="clear"/>
            <w:vAlign w:val="center"/>
          </w:tcPr>
          <w:p>
            <w:pPr>
              <w:pStyle w:val="TableContents"/>
              <w:bidi w:val="0"/>
              <w:spacing w:before="0" w:after="0"/>
              <w:ind w:left="0" w:right="0" w:hanging="0"/>
              <w:jc w:val="center"/>
              <w:rPr/>
            </w:pPr>
            <w:r>
              <w:rPr/>
              <w:t>​</w:t>
            </w:r>
          </w:p>
        </w:tc>
        <w:tc>
          <w:tcPr>
            <w:tcW w:w="2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9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w:t>
            </w:r>
          </w:p>
        </w:tc>
        <w:tc>
          <w:tcPr>
            <w:tcW w:w="22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86,481</w:t>
            </w:r>
          </w:p>
        </w:tc>
        <w:tc>
          <w:tcPr>
            <w:tcW w:w="226" w:type="dxa"/>
            <w:tcBorders/>
            <w:shd w:fill="CCEEFF" w:val="clear"/>
            <w:vAlign w:val="center"/>
          </w:tcPr>
          <w:p>
            <w:pPr>
              <w:pStyle w:val="TableContents"/>
              <w:bidi w:val="0"/>
              <w:spacing w:before="0" w:after="0"/>
              <w:ind w:left="0" w:right="0" w:hanging="0"/>
              <w:jc w:val="center"/>
              <w:rPr/>
            </w:pPr>
            <w:r>
              <w:rPr/>
              <w:t>​</w:t>
            </w:r>
          </w:p>
        </w:tc>
        <w:tc>
          <w:tcPr>
            <w:tcW w:w="2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9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w:t>
            </w:r>
          </w:p>
        </w:tc>
        <w:tc>
          <w:tcPr>
            <w:tcW w:w="109" w:type="dxa"/>
            <w:tcBorders/>
            <w:shd w:fill="CCEEFF" w:val="clear"/>
            <w:vAlign w:val="center"/>
          </w:tcPr>
          <w:p>
            <w:pPr>
              <w:pStyle w:val="TableContents"/>
              <w:bidi w:val="0"/>
              <w:spacing w:before="0" w:after="0"/>
              <w:ind w:left="0" w:right="0" w:hanging="0"/>
              <w:jc w:val="righ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278,389</w:t>
            </w:r>
          </w:p>
        </w:tc>
        <w:tc>
          <w:tcPr>
            <w:tcW w:w="226" w:type="dxa"/>
            <w:tcBorders/>
            <w:shd w:fill="CCEEFF" w:val="clear"/>
            <w:vAlign w:val="center"/>
          </w:tcPr>
          <w:p>
            <w:pPr>
              <w:pStyle w:val="TableContents"/>
              <w:bidi w:val="0"/>
              <w:spacing w:before="0" w:after="0"/>
              <w:ind w:left="0" w:right="0" w:hanging="0"/>
              <w:jc w:val="center"/>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(53,315)</w:t>
            </w:r>
          </w:p>
        </w:tc>
        <w:tc>
          <w:tcPr>
            <w:tcW w:w="226" w:type="dxa"/>
            <w:tcBorders/>
            <w:shd w:fill="CCEEFF" w:val="clear"/>
            <w:vAlign w:val="center"/>
          </w:tcPr>
          <w:p>
            <w:pPr>
              <w:pStyle w:val="TableContents"/>
              <w:bidi w:val="0"/>
              <w:spacing w:before="0" w:after="0"/>
              <w:ind w:left="0" w:right="0" w:hanging="0"/>
              <w:jc w:val="center"/>
              <w:rPr/>
            </w:pPr>
            <w:r>
              <w:rPr/>
              <w:t>​</w:t>
            </w:r>
          </w:p>
        </w:tc>
        <w:tc>
          <w:tcPr>
            <w:tcW w:w="28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(45,879)</w:t>
            </w:r>
          </w:p>
        </w:tc>
        <w:tc>
          <w:tcPr>
            <w:tcW w:w="226" w:type="dxa"/>
            <w:tcBorders/>
            <w:shd w:fill="CCEEFF" w:val="clear"/>
            <w:vAlign w:val="center"/>
          </w:tcPr>
          <w:p>
            <w:pPr>
              <w:pStyle w:val="TableContents"/>
              <w:bidi w:val="0"/>
              <w:spacing w:before="0" w:after="0"/>
              <w:ind w:left="0" w:right="0" w:hanging="0"/>
              <w:jc w:val="center"/>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179,352</w:t>
            </w:r>
          </w:p>
        </w:tc>
      </w:tr>
      <w:tr>
        <w:trPr/>
        <w:tc>
          <w:tcPr>
            <w:tcW w:w="13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Exercise of stock options, net</w:t>
            </w:r>
          </w:p>
        </w:tc>
        <w:tc>
          <w:tcPr>
            <w:tcW w:w="2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374</w:t>
            </w:r>
          </w:p>
        </w:tc>
        <w:tc>
          <w:tcPr>
            <w:tcW w:w="2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1,165</w:t>
            </w:r>
          </w:p>
        </w:tc>
        <w:tc>
          <w:tcPr>
            <w:tcW w:w="226" w:type="dxa"/>
            <w:tcBorders/>
            <w:vAlign w:val="center"/>
          </w:tcPr>
          <w:p>
            <w:pPr>
              <w:pStyle w:val="TableContents"/>
              <w:bidi w:val="0"/>
              <w:spacing w:before="0" w:after="0"/>
              <w:ind w:left="0" w:right="0" w:hanging="0"/>
              <w:jc w:val="right"/>
              <w:rPr/>
            </w:pPr>
            <w:r>
              <w:rPr/>
              <w:t>​</w:t>
            </w:r>
          </w:p>
        </w:tc>
        <w:tc>
          <w:tcPr>
            <w:tcW w:w="253"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1,165</w:t>
            </w:r>
          </w:p>
        </w:tc>
      </w:tr>
      <w:tr>
        <w:trPr/>
        <w:tc>
          <w:tcPr>
            <w:tcW w:w="13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Shares issued upon vesting of Restricted Stock Units, net</w:t>
            </w:r>
          </w:p>
        </w:tc>
        <w:tc>
          <w:tcPr>
            <w:tcW w:w="2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863</w:t>
            </w:r>
          </w:p>
        </w:tc>
        <w:tc>
          <w:tcPr>
            <w:tcW w:w="2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49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2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49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(25,035)</w:t>
            </w:r>
          </w:p>
        </w:tc>
        <w:tc>
          <w:tcPr>
            <w:tcW w:w="226" w:type="dxa"/>
            <w:tcBorders/>
            <w:shd w:fill="CCEEFF" w:val="clear"/>
            <w:vAlign w:val="center"/>
          </w:tcPr>
          <w:p>
            <w:pPr>
              <w:pStyle w:val="TableContents"/>
              <w:bidi w:val="0"/>
              <w:spacing w:before="0" w:after="0"/>
              <w:ind w:left="0" w:right="0" w:hanging="0"/>
              <w:jc w:val="righ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58"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(25,034)</w:t>
            </w:r>
          </w:p>
        </w:tc>
      </w:tr>
      <w:tr>
        <w:trPr/>
        <w:tc>
          <w:tcPr>
            <w:tcW w:w="13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2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18,780</w:t>
            </w:r>
          </w:p>
        </w:tc>
        <w:tc>
          <w:tcPr>
            <w:tcW w:w="226" w:type="dxa"/>
            <w:tcBorders/>
            <w:vAlign w:val="center"/>
          </w:tcPr>
          <w:p>
            <w:pPr>
              <w:pStyle w:val="TableContents"/>
              <w:bidi w:val="0"/>
              <w:spacing w:before="0" w:after="0"/>
              <w:ind w:left="0" w:right="0" w:hanging="0"/>
              <w:jc w:val="right"/>
              <w:rPr/>
            </w:pPr>
            <w:r>
              <w:rPr/>
              <w:t>​</w:t>
            </w:r>
          </w:p>
        </w:tc>
        <w:tc>
          <w:tcPr>
            <w:tcW w:w="253"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18,780</w:t>
            </w:r>
          </w:p>
        </w:tc>
      </w:tr>
      <w:tr>
        <w:trPr/>
        <w:tc>
          <w:tcPr>
            <w:tcW w:w="13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Tax impact on capped call transactions</w:t>
            </w:r>
          </w:p>
        </w:tc>
        <w:tc>
          <w:tcPr>
            <w:tcW w:w="2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490"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49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226" w:type="dxa"/>
            <w:tcBorders/>
            <w:shd w:fill="CCEEFF" w:val="clear"/>
            <w:vAlign w:val="center"/>
          </w:tcPr>
          <w:p>
            <w:pPr>
              <w:pStyle w:val="TableContents"/>
              <w:bidi w:val="0"/>
              <w:spacing w:before="0" w:after="0"/>
              <w:ind w:left="0" w:right="0" w:hanging="0"/>
              <w:jc w:val="righ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58"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r>
      <w:tr>
        <w:trPr/>
        <w:tc>
          <w:tcPr>
            <w:tcW w:w="13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 adjustments and revaluations, net of tax</w:t>
            </w:r>
          </w:p>
        </w:tc>
        <w:tc>
          <w:tcPr>
            <w:tcW w:w="2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253"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15,105</w:t>
            </w:r>
          </w:p>
        </w:tc>
        <w:tc>
          <w:tcPr>
            <w:tcW w:w="2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15,105</w:t>
            </w:r>
          </w:p>
        </w:tc>
      </w:tr>
      <w:tr>
        <w:trPr/>
        <w:tc>
          <w:tcPr>
            <w:tcW w:w="13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Unrealized loss from available-for-sale investments, net of tax</w:t>
            </w:r>
          </w:p>
        </w:tc>
        <w:tc>
          <w:tcPr>
            <w:tcW w:w="2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490"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49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58"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c>
          <w:tcPr>
            <w:tcW w:w="2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r>
      <w:tr>
        <w:trPr/>
        <w:tc>
          <w:tcPr>
            <w:tcW w:w="13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226" w:type="dxa"/>
            <w:tcBorders/>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9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9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11,130</w:t>
            </w:r>
          </w:p>
        </w:tc>
        <w:tc>
          <w:tcPr>
            <w:tcW w:w="226" w:type="dxa"/>
            <w:tcBorders/>
            <w:vAlign w:val="center"/>
          </w:tcPr>
          <w:p>
            <w:pPr>
              <w:pStyle w:val="TableContents"/>
              <w:bidi w:val="0"/>
              <w:spacing w:before="0" w:after="0"/>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11,130</w:t>
            </w:r>
          </w:p>
        </w:tc>
      </w:tr>
      <w:tr>
        <w:trPr/>
        <w:tc>
          <w:tcPr>
            <w:tcW w:w="13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March 31, 2025</w:t>
            </w:r>
          </w:p>
        </w:tc>
        <w:tc>
          <w:tcPr>
            <w:tcW w:w="226" w:type="dxa"/>
            <w:tcBorders/>
            <w:shd w:fill="CCEEFF" w:val="clear"/>
            <w:vAlign w:val="center"/>
          </w:tcPr>
          <w:p>
            <w:pPr>
              <w:pStyle w:val="TableContents"/>
              <w:bidi w:val="0"/>
              <w:spacing w:before="0" w:after="0"/>
              <w:ind w:left="0" w:right="0" w:hanging="0"/>
              <w:jc w:val="left"/>
              <w:rPr/>
            </w:pPr>
            <w:r>
              <w:rPr/>
              <w:t> </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71,907</w:t>
            </w:r>
          </w:p>
        </w:tc>
        <w:tc>
          <w:tcPr>
            <w:tcW w:w="226" w:type="dxa"/>
            <w:tcBorders/>
            <w:shd w:fill="CCEEFF" w:val="clear"/>
            <w:vAlign w:val="center"/>
          </w:tcPr>
          <w:p>
            <w:pPr>
              <w:pStyle w:val="TableContents"/>
              <w:bidi w:val="0"/>
              <w:spacing w:before="0" w:after="0"/>
              <w:ind w:left="0" w:right="0" w:hanging="0"/>
              <w:jc w:val="left"/>
              <w:rPr/>
            </w:pPr>
            <w:r>
              <w:rPr/>
              <w:t>​</w:t>
            </w:r>
          </w:p>
        </w:tc>
        <w:tc>
          <w:tcPr>
            <w:tcW w:w="2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w:t>
            </w:r>
          </w:p>
        </w:tc>
        <w:tc>
          <w:tcPr>
            <w:tcW w:w="226" w:type="dxa"/>
            <w:tcBorders/>
            <w:shd w:fill="CCEEFF" w:val="clear"/>
            <w:vAlign w:val="center"/>
          </w:tcPr>
          <w:p>
            <w:pPr>
              <w:pStyle w:val="TableContents"/>
              <w:bidi w:val="0"/>
              <w:spacing w:before="0" w:after="0"/>
              <w:ind w:left="0" w:right="0" w:hanging="0"/>
              <w:jc w:val="left"/>
              <w:rPr/>
            </w:pPr>
            <w:r>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86,481</w:t>
            </w:r>
          </w:p>
        </w:tc>
        <w:tc>
          <w:tcPr>
            <w:tcW w:w="226" w:type="dxa"/>
            <w:tcBorders/>
            <w:shd w:fill="CCEEFF" w:val="clear"/>
            <w:vAlign w:val="center"/>
          </w:tcPr>
          <w:p>
            <w:pPr>
              <w:pStyle w:val="TableContents"/>
              <w:bidi w:val="0"/>
              <w:spacing w:before="0" w:after="0"/>
              <w:ind w:left="0" w:right="0" w:hanging="0"/>
              <w:jc w:val="right"/>
              <w:rPr/>
            </w:pPr>
            <w:r>
              <w:rPr/>
              <w:t>​</w:t>
            </w:r>
          </w:p>
        </w:tc>
        <w:tc>
          <w:tcPr>
            <w:tcW w:w="2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w:t>
            </w:r>
          </w:p>
        </w:tc>
        <w:tc>
          <w:tcPr>
            <w:tcW w:w="109" w:type="dxa"/>
            <w:tcBorders/>
            <w:shd w:fill="CCEEFF" w:val="clear"/>
            <w:vAlign w:val="center"/>
          </w:tcPr>
          <w:p>
            <w:pPr>
              <w:pStyle w:val="TableContents"/>
              <w:bidi w:val="0"/>
              <w:spacing w:before="0" w:after="0"/>
              <w:ind w:left="0" w:right="0" w:hanging="0"/>
              <w:jc w:val="right"/>
              <w:rPr/>
            </w:pPr>
            <w:r>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273,300</w:t>
            </w:r>
          </w:p>
        </w:tc>
        <w:tc>
          <w:tcPr>
            <w:tcW w:w="226" w:type="dxa"/>
            <w:tcBorders/>
            <w:shd w:fill="CCEEFF" w:val="clear"/>
            <w:vAlign w:val="center"/>
          </w:tcPr>
          <w:p>
            <w:pPr>
              <w:pStyle w:val="TableContents"/>
              <w:bidi w:val="0"/>
              <w:spacing w:before="0" w:after="0"/>
              <w:ind w:left="0" w:right="0" w:hanging="0"/>
              <w:jc w:val="right"/>
              <w:rPr/>
            </w:pPr>
            <w:r>
              <w:rPr/>
              <w:t>​</w:t>
            </w:r>
          </w:p>
        </w:tc>
        <w:tc>
          <w:tcPr>
            <w:tcW w:w="25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(42,185)</w:t>
            </w:r>
          </w:p>
        </w:tc>
        <w:tc>
          <w:tcPr>
            <w:tcW w:w="226" w:type="dxa"/>
            <w:tcBorders/>
            <w:shd w:fill="CCEEFF" w:val="clear"/>
            <w:vAlign w:val="center"/>
          </w:tcPr>
          <w:p>
            <w:pPr>
              <w:pStyle w:val="TableContents"/>
              <w:bidi w:val="0"/>
              <w:spacing w:before="0" w:after="0"/>
              <w:ind w:left="0" w:right="0" w:hanging="0"/>
              <w:jc w:val="left"/>
              <w:rPr/>
            </w:pPr>
            <w:r>
              <w:rPr/>
              <w:t>​</w:t>
            </w:r>
          </w:p>
        </w:tc>
        <w:tc>
          <w:tcPr>
            <w:tcW w:w="28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(30,783)</w:t>
            </w:r>
          </w:p>
        </w:tc>
        <w:tc>
          <w:tcPr>
            <w:tcW w:w="226" w:type="dxa"/>
            <w:tcBorders/>
            <w:shd w:fill="CCEEFF" w:val="clear"/>
            <w:vAlign w:val="center"/>
          </w:tcPr>
          <w:p>
            <w:pPr>
              <w:pStyle w:val="TableContents"/>
              <w:bidi w:val="0"/>
              <w:spacing w:before="0" w:after="0"/>
              <w:ind w:left="0" w:right="0" w:hanging="0"/>
              <w:jc w:val="left"/>
              <w:rPr/>
            </w:pPr>
            <w:r>
              <w:rPr/>
              <w:t>​</w:t>
            </w:r>
          </w:p>
        </w:tc>
        <w:tc>
          <w:tcPr>
            <w:tcW w:w="2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6" w:type="dxa"/>
            <w:tcBorders>
              <w:bottom w:val="double" w:sz="6" w:space="0" w:color="000000"/>
            </w:tcBorders>
            <w:shd w:fill="CCEEFF" w:val="clear"/>
            <w:tcMar>
              <w:bottom w:w="28" w:type="dxa"/>
            </w:tcMar>
            <w:vAlign w:val="center"/>
          </w:tcPr>
          <w:p>
            <w:pPr>
              <w:pStyle w:val="TableContents"/>
              <w:bidi w:val="0"/>
              <w:spacing w:before="0" w:after="0"/>
              <w:ind w:left="0" w:right="50" w:hanging="0"/>
              <w:jc w:val="right"/>
              <w:rPr>
                <w:rFonts w:ascii="Times New Roman;Times;serif" w:hAnsi="Times New Roman;Times;serif"/>
                <w:sz w:val="16"/>
              </w:rPr>
            </w:pPr>
            <w:r>
              <w:rPr>
                <w:rFonts w:ascii="Times New Roman;Times;serif" w:hAnsi="Times New Roman;Times;serif"/>
                <w:sz w:val="16"/>
              </w:rPr>
              <w:t>200,490</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16"/>
        </w:rPr>
      </w:pPr>
      <w:bookmarkStart w:id="732" w:name="_21d4d0d8_24ff_4ba3_a8fb_8934b1da31c2"/>
      <w:bookmarkEnd w:id="732"/>
      <w:r>
        <w:rPr>
          <w:rFonts w:ascii="Times New Roman;Times;serif" w:hAnsi="Times New Roman;Times;serif"/>
          <w:b/>
          <w:sz w:val="16"/>
        </w:rPr>
        <w:t>Vertex, Inc. and Subsidiaries</w:t>
      </w:r>
    </w:p>
    <w:p>
      <w:pPr>
        <w:pStyle w:val="TextBody"/>
        <w:bidi w:val="0"/>
        <w:spacing w:before="0" w:after="0"/>
        <w:ind w:left="0" w:right="0" w:hanging="0"/>
        <w:jc w:val="left"/>
        <w:rPr>
          <w:rFonts w:ascii="Times New Roman;Times;serif" w:hAnsi="Times New Roman;Times;serif"/>
          <w:b/>
          <w:sz w:val="16"/>
        </w:rPr>
      </w:pPr>
      <w:bookmarkStart w:id="733" w:name="CashFlows"/>
      <w:bookmarkEnd w:id="733"/>
      <w:r>
        <w:rPr>
          <w:rFonts w:ascii="Times New Roman;Times;serif" w:hAnsi="Times New Roman;Times;serif"/>
          <w:b/>
          <w:sz w:val="16"/>
        </w:rPr>
        <w:t>Condensed Consolidated Statements of Cash Flows</w:t>
      </w:r>
    </w:p>
    <w:p>
      <w:pPr>
        <w:pStyle w:val="TextBody"/>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For the three months ended March 31, 2026 and 2025 (unaudited)</w:t>
      </w:r>
    </w:p>
    <w:p>
      <w:pPr>
        <w:pStyle w:val="TextBody"/>
        <w:pBdr>
          <w:bottom w:val="single" w:sz="2" w:space="1" w:color="000000"/>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(Amounts in thousands)</w:t>
      </w:r>
    </w:p>
    <w:p>
      <w:pPr>
        <w:pStyle w:val="Normal"/>
        <w:bidi w:val="0"/>
        <w:spacing w:before="0" w:after="0"/>
        <w:jc w:val="left"/>
        <w:rPr>
          <w:sz w:val="4"/>
          <w:szCs w:val="4"/>
        </w:rPr>
      </w:pPr>
      <w:r>
        <w:rPr>
          <w:sz w:val="4"/>
          <w:szCs w:val="4"/>
        </w:rPr>
      </w:r>
      <w:bookmarkStart w:id="734" w:name="Tc_yMYhxTbr3EeDtIbejWsSSQ_49_4"/>
      <w:bookmarkStart w:id="735" w:name="Tc_togo1F992kqvCyG1QMV2sw_49_1"/>
      <w:bookmarkStart w:id="736" w:name="Tc_p7UWJGXUoEO5gjT-s-mPFQ_49_0"/>
      <w:bookmarkStart w:id="737" w:name="Tc_9ClW2ELJv0q168wyfqMkuA_48_0"/>
      <w:bookmarkStart w:id="738" w:name="Tc_jtFPHXZkFk-pVQO-g878GQ_47_4"/>
      <w:bookmarkStart w:id="739" w:name="Tc_xFnYPn_Hu0uSL7QGHwKj0g_47_1"/>
      <w:bookmarkStart w:id="740" w:name="Tc_i2hZTlUG70WD0oxqSHymGQ_47_0"/>
      <w:bookmarkStart w:id="741" w:name="Tc_tmKIfANARUexgQHpzHjteQ_46_0"/>
      <w:bookmarkStart w:id="742" w:name="Tc_yqE2vcFYlk27w5_u4o7phQ_45_4"/>
      <w:bookmarkStart w:id="743" w:name="Tc_a1NYP5W3KUm4i2T2IZ0TXA_45_1"/>
      <w:bookmarkStart w:id="744" w:name="Tc_kcdVQG9Jx0Ktv3sIrqQchg_45_0"/>
      <w:bookmarkStart w:id="745" w:name="Tc_pdkxbku8z0yl5KFqXzHJ7g_44_0"/>
      <w:bookmarkStart w:id="746" w:name="Tc_6wQaDLHjpE64a9UlmkzXWQ_43_0"/>
      <w:bookmarkStart w:id="747" w:name="Tc_CTxAr8bHhEOrV2Q5udvPkg_42_0"/>
      <w:bookmarkStart w:id="748" w:name="Tc_h-A8jO9czEKudDsQFBcTCw_41_0"/>
      <w:bookmarkStart w:id="749" w:name="Tc_UR9zc0Xj9U-llC1bCYBUoQ_40_0"/>
      <w:bookmarkStart w:id="750" w:name="Tc_VscGW3JJPU-zXVSqbbPb6w_39_5"/>
      <w:bookmarkStart w:id="751" w:name="Tc_vlPColoKFk2ICJHliIuWRQ_39_0"/>
      <w:bookmarkStart w:id="752" w:name="Tc_NaFUvkGFPUCG7YpqgypCvw_38_0"/>
      <w:bookmarkStart w:id="753" w:name="Tc_LQgHfPpQMUKFCY2rMhOL3w_37_0"/>
      <w:bookmarkStart w:id="754" w:name="Tc_LD3JHguuLEum_XT4ghHfaQ_36_5"/>
      <w:bookmarkStart w:id="755" w:name="Tc_ZDoTICnY2UKndEPb6wJeRA_36_0"/>
      <w:bookmarkStart w:id="756" w:name="Tc_dsGen3ls3UWzBOQt_1BarA_35_0"/>
      <w:bookmarkStart w:id="757" w:name="Tc_dI3-UootW0epBImY36Xuiw_34_0"/>
      <w:bookmarkStart w:id="758" w:name="Tc_Emn6CXdKSku2n_m30XWPsg_33_0"/>
      <w:bookmarkStart w:id="759" w:name="Tc_UrtXlhPJ1EqXjL-AbLS4bA_32_2"/>
      <w:bookmarkStart w:id="760" w:name="Tc_IrmU-74QzEW-foJhe5H_NA_32_0"/>
      <w:bookmarkStart w:id="761" w:name="Tc_eRn7s-lRAUO70ESw8wD2yw_31_2"/>
      <w:bookmarkStart w:id="762" w:name="Tc_I1muN0M-rkKk5A73rBBK7w_31_0"/>
      <w:bookmarkStart w:id="763" w:name="Tc_M61yZT7sbEay8sdrNjyKhw_30_0"/>
      <w:bookmarkStart w:id="764" w:name="Tc_NyeshKST0Umsw6hdk6mvPw_29_0"/>
      <w:bookmarkStart w:id="765" w:name="Tc_8OcYKwfiYkmHFcuou-HXgA_28_5"/>
      <w:bookmarkStart w:id="766" w:name="Tc_SyFkLJYpoUmcz6x_KZaSLQ_28_0"/>
      <w:bookmarkStart w:id="767" w:name="Tc_RvBw6j0JCEOm4-ytP00pzA_27_0"/>
      <w:bookmarkStart w:id="768" w:name="Tc_6CeQYF2jFE65YdHyMTXrng_26_0"/>
      <w:bookmarkStart w:id="769" w:name="Tc_7K17tHUTekOZoiURfWqYHg_25_0"/>
      <w:bookmarkStart w:id="770" w:name="Tc_iMbdBuI5lEuyZoX6_Ju_ZA_24_0"/>
      <w:bookmarkStart w:id="771" w:name="Tc_12drc8lg8kKwYwsrl8Uv8w_23_0"/>
      <w:bookmarkStart w:id="772" w:name="Tc_-1lBCRYgsEe2veN7r4AM2g_22_0"/>
      <w:bookmarkStart w:id="773" w:name="Tc_e31dcICLikKycejUjmI3LA_21_0"/>
      <w:bookmarkStart w:id="774" w:name="Tc_eM7SughyqEWmQjDtFGpDAg_20_0"/>
      <w:bookmarkStart w:id="775" w:name="Tc_t44dKLThTU2Zsh3xMxVrhw_19_0"/>
      <w:bookmarkStart w:id="776" w:name="Tc_quyado10sk6BRHmOHG1iiw_18_0"/>
      <w:bookmarkStart w:id="777" w:name="Tc_oVRmsjfUeECOi-fNdXuwOQ_17_0"/>
      <w:bookmarkStart w:id="778" w:name="Tc_6SI81x5vwkSHX5DJENXeOw_16_0"/>
      <w:bookmarkStart w:id="779" w:name="Tc__lR7qF6I0U-zEVWdMs31_w_15_0"/>
      <w:bookmarkStart w:id="780" w:name="Tc__ZT0sunnhke7Vfkq7ejj2w_14_0"/>
      <w:bookmarkStart w:id="781" w:name="Tc_j7wT0yJbxkihq8AWx6kZ0w_13_0"/>
      <w:bookmarkStart w:id="782" w:name="Tc_fWrSwzpFz0-Fq4Gq5iRRpQ_12_0"/>
      <w:bookmarkStart w:id="783" w:name="Tc_mfK0TP30e0GKbxUXJZj9HA_11_0"/>
      <w:bookmarkStart w:id="784" w:name="Tc_TBtU29aexESu1aZhiXNz6w_10_0"/>
      <w:bookmarkStart w:id="785" w:name="Tc_2uLyBAv8MUWMicsyWGM53w_9_0"/>
      <w:bookmarkStart w:id="786" w:name="Tc_tH8eo71NUkGhH6NEvNOzlg_8_0"/>
      <w:bookmarkStart w:id="787" w:name="Tc_WyVxhlrYk0aN2ozIjTS0Cw_7_0"/>
      <w:bookmarkStart w:id="788" w:name="Tc_ZMEo2aPZskmO62coqeo69Q_6_0"/>
      <w:bookmarkStart w:id="789" w:name="Tc_gO2Q2blnP0a8MB1Meh-4Iw_5_4"/>
      <w:bookmarkStart w:id="790" w:name="Tc_hKmLtf47z0qUkZL5QFMvGw_5_1"/>
      <w:bookmarkStart w:id="791" w:name="Tc_E6Vz-phXhkWxmNxWJP21vA_5_0"/>
      <w:bookmarkStart w:id="792" w:name="Tc_v8md4KKJ1k6PA45FjJBlkQ_4_0"/>
      <w:bookmarkStart w:id="793" w:name="Tc_G-X3K52Vn0OoD09H4zM2JQ_3_1"/>
      <w:bookmarkStart w:id="794" w:name="Tc_sckEl4qm_UCXA56W5KH14w_2_5"/>
      <w:bookmarkStart w:id="795" w:name="Tc_DT0uGqvQcEKo0YSi57MEuA_2_1"/>
      <w:bookmarkStart w:id="796" w:name="Tc_x3KbsGSkSE-Q1Quzu41z9A_1_1"/>
      <w:bookmarkStart w:id="797" w:name="_d23708cc_07e8_43bc_9d98_00249e25ce80"/>
      <w:bookmarkStart w:id="798" w:name="Tc_yMYhxTbr3EeDtIbejWsSSQ_49_4"/>
      <w:bookmarkStart w:id="799" w:name="Tc_togo1F992kqvCyG1QMV2sw_49_1"/>
      <w:bookmarkStart w:id="800" w:name="Tc_p7UWJGXUoEO5gjT-s-mPFQ_49_0"/>
      <w:bookmarkStart w:id="801" w:name="Tc_9ClW2ELJv0q168wyfqMkuA_48_0"/>
      <w:bookmarkStart w:id="802" w:name="Tc_jtFPHXZkFk-pVQO-g878GQ_47_4"/>
      <w:bookmarkStart w:id="803" w:name="Tc_xFnYPn_Hu0uSL7QGHwKj0g_47_1"/>
      <w:bookmarkStart w:id="804" w:name="Tc_i2hZTlUG70WD0oxqSHymGQ_47_0"/>
      <w:bookmarkStart w:id="805" w:name="Tc_tmKIfANARUexgQHpzHjteQ_46_0"/>
      <w:bookmarkStart w:id="806" w:name="Tc_yqE2vcFYlk27w5_u4o7phQ_45_4"/>
      <w:bookmarkStart w:id="807" w:name="Tc_a1NYP5W3KUm4i2T2IZ0TXA_45_1"/>
      <w:bookmarkStart w:id="808" w:name="Tc_kcdVQG9Jx0Ktv3sIrqQchg_45_0"/>
      <w:bookmarkStart w:id="809" w:name="Tc_pdkxbku8z0yl5KFqXzHJ7g_44_0"/>
      <w:bookmarkStart w:id="810" w:name="Tc_6wQaDLHjpE64a9UlmkzXWQ_43_0"/>
      <w:bookmarkStart w:id="811" w:name="Tc_CTxAr8bHhEOrV2Q5udvPkg_42_0"/>
      <w:bookmarkStart w:id="812" w:name="Tc_h-A8jO9czEKudDsQFBcTCw_41_0"/>
      <w:bookmarkStart w:id="813" w:name="Tc_UR9zc0Xj9U-llC1bCYBUoQ_40_0"/>
      <w:bookmarkStart w:id="814" w:name="Tc_VscGW3JJPU-zXVSqbbPb6w_39_5"/>
      <w:bookmarkStart w:id="815" w:name="Tc_vlPColoKFk2ICJHliIuWRQ_39_0"/>
      <w:bookmarkStart w:id="816" w:name="Tc_NaFUvkGFPUCG7YpqgypCvw_38_0"/>
      <w:bookmarkStart w:id="817" w:name="Tc_LQgHfPpQMUKFCY2rMhOL3w_37_0"/>
      <w:bookmarkStart w:id="818" w:name="Tc_LD3JHguuLEum_XT4ghHfaQ_36_5"/>
      <w:bookmarkStart w:id="819" w:name="Tc_ZDoTICnY2UKndEPb6wJeRA_36_0"/>
      <w:bookmarkStart w:id="820" w:name="Tc_dsGen3ls3UWzBOQt_1BarA_35_0"/>
      <w:bookmarkStart w:id="821" w:name="Tc_dI3-UootW0epBImY36Xuiw_34_0"/>
      <w:bookmarkStart w:id="822" w:name="Tc_Emn6CXdKSku2n_m30XWPsg_33_0"/>
      <w:bookmarkStart w:id="823" w:name="Tc_UrtXlhPJ1EqXjL-AbLS4bA_32_2"/>
      <w:bookmarkStart w:id="824" w:name="Tc_IrmU-74QzEW-foJhe5H_NA_32_0"/>
      <w:bookmarkStart w:id="825" w:name="Tc_eRn7s-lRAUO70ESw8wD2yw_31_2"/>
      <w:bookmarkStart w:id="826" w:name="Tc_I1muN0M-rkKk5A73rBBK7w_31_0"/>
      <w:bookmarkStart w:id="827" w:name="Tc_M61yZT7sbEay8sdrNjyKhw_30_0"/>
      <w:bookmarkStart w:id="828" w:name="Tc_NyeshKST0Umsw6hdk6mvPw_29_0"/>
      <w:bookmarkStart w:id="829" w:name="Tc_8OcYKwfiYkmHFcuou-HXgA_28_5"/>
      <w:bookmarkStart w:id="830" w:name="Tc_SyFkLJYpoUmcz6x_KZaSLQ_28_0"/>
      <w:bookmarkStart w:id="831" w:name="Tc_RvBw6j0JCEOm4-ytP00pzA_27_0"/>
      <w:bookmarkStart w:id="832" w:name="Tc_6CeQYF2jFE65YdHyMTXrng_26_0"/>
      <w:bookmarkStart w:id="833" w:name="Tc_7K17tHUTekOZoiURfWqYHg_25_0"/>
      <w:bookmarkStart w:id="834" w:name="Tc_iMbdBuI5lEuyZoX6_Ju_ZA_24_0"/>
      <w:bookmarkStart w:id="835" w:name="Tc_12drc8lg8kKwYwsrl8Uv8w_23_0"/>
      <w:bookmarkStart w:id="836" w:name="Tc_-1lBCRYgsEe2veN7r4AM2g_22_0"/>
      <w:bookmarkStart w:id="837" w:name="Tc_e31dcICLikKycejUjmI3LA_21_0"/>
      <w:bookmarkStart w:id="838" w:name="Tc_eM7SughyqEWmQjDtFGpDAg_20_0"/>
      <w:bookmarkStart w:id="839" w:name="Tc_t44dKLThTU2Zsh3xMxVrhw_19_0"/>
      <w:bookmarkStart w:id="840" w:name="Tc_quyado10sk6BRHmOHG1iiw_18_0"/>
      <w:bookmarkStart w:id="841" w:name="Tc_oVRmsjfUeECOi-fNdXuwOQ_17_0"/>
      <w:bookmarkStart w:id="842" w:name="Tc_6SI81x5vwkSHX5DJENXeOw_16_0"/>
      <w:bookmarkStart w:id="843" w:name="Tc__lR7qF6I0U-zEVWdMs31_w_15_0"/>
      <w:bookmarkStart w:id="844" w:name="Tc__ZT0sunnhke7Vfkq7ejj2w_14_0"/>
      <w:bookmarkStart w:id="845" w:name="Tc_j7wT0yJbxkihq8AWx6kZ0w_13_0"/>
      <w:bookmarkStart w:id="846" w:name="Tc_fWrSwzpFz0-Fq4Gq5iRRpQ_12_0"/>
      <w:bookmarkStart w:id="847" w:name="Tc_mfK0TP30e0GKbxUXJZj9HA_11_0"/>
      <w:bookmarkStart w:id="848" w:name="Tc_TBtU29aexESu1aZhiXNz6w_10_0"/>
      <w:bookmarkStart w:id="849" w:name="Tc_2uLyBAv8MUWMicsyWGM53w_9_0"/>
      <w:bookmarkStart w:id="850" w:name="Tc_tH8eo71NUkGhH6NEvNOzlg_8_0"/>
      <w:bookmarkStart w:id="851" w:name="Tc_WyVxhlrYk0aN2ozIjTS0Cw_7_0"/>
      <w:bookmarkStart w:id="852" w:name="Tc_ZMEo2aPZskmO62coqeo69Q_6_0"/>
      <w:bookmarkStart w:id="853" w:name="Tc_gO2Q2blnP0a8MB1Meh-4Iw_5_4"/>
      <w:bookmarkStart w:id="854" w:name="Tc_hKmLtf47z0qUkZL5QFMvGw_5_1"/>
      <w:bookmarkStart w:id="855" w:name="Tc_E6Vz-phXhkWxmNxWJP21vA_5_0"/>
      <w:bookmarkStart w:id="856" w:name="Tc_v8md4KKJ1k6PA45FjJBlkQ_4_0"/>
      <w:bookmarkStart w:id="857" w:name="Tc_G-X3K52Vn0OoD09H4zM2JQ_3_1"/>
      <w:bookmarkStart w:id="858" w:name="Tc_sckEl4qm_UCXA56W5KH14w_2_5"/>
      <w:bookmarkStart w:id="859" w:name="Tc_DT0uGqvQcEKo0YSi57MEuA_2_1"/>
      <w:bookmarkStart w:id="860" w:name="Tc_x3KbsGSkSE-Q1Quzu41z9A_1_1"/>
      <w:bookmarkStart w:id="861" w:name="_d23708cc_07e8_43bc_9d98_00249e25ce80"/>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p>
    <w:tbl>
      <w:tblPr>
        <w:tblW w:w="10205" w:type="dxa"/>
        <w:jc w:val="left"/>
        <w:tblInd w:w="0" w:type="dxa"/>
        <w:tblLayout w:type="fixed"/>
        <w:tblCellMar>
          <w:top w:w="0" w:type="dxa"/>
          <w:left w:w="0" w:type="dxa"/>
          <w:bottom w:w="0" w:type="dxa"/>
          <w:right w:w="0" w:type="dxa"/>
        </w:tblCellMar>
      </w:tblPr>
      <w:tblGrid>
        <w:gridCol w:w="7657"/>
        <w:gridCol w:w="225"/>
        <w:gridCol w:w="824"/>
        <w:gridCol w:w="397"/>
        <w:gridCol w:w="225"/>
        <w:gridCol w:w="877"/>
      </w:tblGrid>
      <w:tr>
        <w:trPr/>
        <w:tc>
          <w:tcPr>
            <w:tcW w:w="76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4862195" cy="175260"/>
                      <wp:effectExtent l="0" t="0" r="0" b="0"/>
                      <wp:wrapNone/>
                      <wp:docPr id="42" name="Frame42"/>
                      <a:graphic xmlns:a="http://schemas.openxmlformats.org/drawingml/2006/main">
                        <a:graphicData uri="http://schemas.microsoft.com/office/word/2010/wordprocessingShape">
                          <wps:wsp>
                            <wps:cNvSpPr txBox="1"/>
                            <wps:spPr>
                              <a:xfrm>
                                <a:off x="0" y="0"/>
                                <a:ext cx="4862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42875" cy="175260"/>
                      <wp:effectExtent l="0" t="0" r="0" b="0"/>
                      <wp:wrapNone/>
                      <wp:docPr id="43" name="Frame43"/>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523240" cy="175260"/>
                      <wp:effectExtent l="0" t="0" r="0" b="0"/>
                      <wp:wrapNone/>
                      <wp:docPr id="44" name="Frame44"/>
                      <a:graphic xmlns:a="http://schemas.openxmlformats.org/drawingml/2006/main">
                        <a:graphicData uri="http://schemas.microsoft.com/office/word/2010/wordprocessingShape">
                          <wps:wsp>
                            <wps:cNvSpPr txBox="1"/>
                            <wps:spPr>
                              <a:xfrm>
                                <a:off x="0" y="0"/>
                                <a:ext cx="523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52095" cy="175260"/>
                      <wp:effectExtent l="0" t="0" r="0" b="0"/>
                      <wp:wrapNone/>
                      <wp:docPr id="45" name="Frame45"/>
                      <a:graphic xmlns:a="http://schemas.openxmlformats.org/drawingml/2006/main">
                        <a:graphicData uri="http://schemas.microsoft.com/office/word/2010/wordprocessingShape">
                          <wps:wsp>
                            <wps:cNvSpPr txBox="1"/>
                            <wps:spPr>
                              <a:xfrm>
                                <a:off x="0" y="0"/>
                                <a:ext cx="252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42875" cy="175260"/>
                      <wp:effectExtent l="0" t="0" r="0" b="0"/>
                      <wp:wrapNone/>
                      <wp:docPr id="46" name="Frame46"/>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556895" cy="175260"/>
                      <wp:effectExtent l="0" t="0" r="0" b="0"/>
                      <wp:wrapNone/>
                      <wp:docPr id="47" name="Frame47"/>
                      <a:graphic xmlns:a="http://schemas.openxmlformats.org/drawingml/2006/main">
                        <a:graphicData uri="http://schemas.microsoft.com/office/word/2010/wordprocessingShape">
                          <wps:wsp>
                            <wps:cNvSpPr txBox="1"/>
                            <wps:spPr>
                              <a:xfrm>
                                <a:off x="0" y="0"/>
                                <a:ext cx="556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657" w:type="dxa"/>
            <w:tcBorders/>
            <w:vAlign w:val="center"/>
          </w:tcPr>
          <w:p>
            <w:pPr>
              <w:pStyle w:val="TableContents"/>
              <w:bidi w:val="0"/>
              <w:spacing w:before="0" w:after="1"/>
              <w:ind w:left="0" w:right="0" w:hanging="0"/>
              <w:jc w:val="left"/>
              <w:rPr/>
            </w:pPr>
            <w:r>
              <w:rPr/>
              <w:t>​</w:t>
            </w:r>
          </w:p>
        </w:tc>
        <w:tc>
          <w:tcPr>
            <w:tcW w:w="254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Three months ended March 31, </w:t>
            </w:r>
          </w:p>
        </w:tc>
      </w:tr>
      <w:tr>
        <w:trPr/>
        <w:tc>
          <w:tcPr>
            <w:tcW w:w="7657" w:type="dxa"/>
            <w:tcBorders/>
            <w:vAlign w:val="center"/>
          </w:tcPr>
          <w:p>
            <w:pPr>
              <w:pStyle w:val="TableContents"/>
              <w:bidi w:val="0"/>
              <w:spacing w:before="0" w:after="1"/>
              <w:ind w:left="0" w:right="0" w:hanging="0"/>
              <w:jc w:val="left"/>
              <w:rPr/>
            </w:pPr>
            <w:r>
              <w:rPr/>
              <w:t>​</w:t>
            </w:r>
          </w:p>
        </w:tc>
        <w:tc>
          <w:tcPr>
            <w:tcW w:w="104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97" w:type="dxa"/>
            <w:tcBorders/>
            <w:vAlign w:val="center"/>
          </w:tcPr>
          <w:p>
            <w:pPr>
              <w:pStyle w:val="TableContents"/>
              <w:bidi w:val="0"/>
              <w:spacing w:before="0" w:after="1"/>
              <w:ind w:left="0" w:right="0" w:hanging="0"/>
              <w:jc w:val="left"/>
              <w:rPr/>
            </w:pPr>
            <w:r>
              <w:rPr/>
              <w:t>  ​ ​ ​</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87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10205" w:type="dxa"/>
            <w:gridSpan w:val="6"/>
            <w:tcBorders/>
            <w:vAlign w:val="center"/>
          </w:tcPr>
          <w:p>
            <w:pPr>
              <w:pStyle w:val="TableContents"/>
              <w:bidi w:val="0"/>
              <w:spacing w:before="0" w:after="283"/>
              <w:ind w:left="0" w:right="0" w:hanging="0"/>
              <w:jc w:val="left"/>
              <w:rPr>
                <w:sz w:val="4"/>
                <w:szCs w:val="4"/>
              </w:rPr>
            </w:pPr>
            <w:r>
              <w:rPr>
                <w:sz w:val="4"/>
                <w:szCs w:val="4"/>
              </w:rPr>
            </w:r>
          </w:p>
        </w:tc>
      </w:tr>
      <w:tr>
        <w:trPr/>
        <w:tc>
          <w:tcPr>
            <w:tcW w:w="7657" w:type="dxa"/>
            <w:tcBorders/>
            <w:vAlign w:val="center"/>
          </w:tcPr>
          <w:p>
            <w:pPr>
              <w:pStyle w:val="TableContents"/>
              <w:bidi w:val="0"/>
              <w:spacing w:before="0" w:after="1"/>
              <w:ind w:left="0" w:right="0" w:hanging="0"/>
              <w:jc w:val="left"/>
              <w:rPr/>
            </w:pPr>
            <w:r>
              <w:rPr/>
              <w:t>​</w:t>
            </w:r>
          </w:p>
        </w:tc>
        <w:tc>
          <w:tcPr>
            <w:tcW w:w="2548"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(unaudited)</w:t>
            </w:r>
          </w:p>
        </w:tc>
      </w:tr>
      <w:tr>
        <w:trPr/>
        <w:tc>
          <w:tcPr>
            <w:tcW w:w="7657" w:type="dxa"/>
            <w:tcBorders/>
            <w:shd w:fill="CCEEFF" w:val="clear"/>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Cash flows from operating activities:</w:t>
            </w:r>
          </w:p>
        </w:tc>
        <w:tc>
          <w:tcPr>
            <w:tcW w:w="225" w:type="dxa"/>
            <w:tcBorders/>
            <w:shd w:fill="CCEEFF" w:val="clear"/>
            <w:vAlign w:val="center"/>
          </w:tcPr>
          <w:p>
            <w:pPr>
              <w:pStyle w:val="TableContents"/>
              <w:bidi w:val="0"/>
              <w:spacing w:before="0" w:after="1"/>
              <w:ind w:left="0" w:right="0" w:hanging="0"/>
              <w:jc w:val="left"/>
              <w:rPr/>
            </w:pPr>
            <w:r>
              <w:rPr/>
              <w:t>​</w:t>
            </w:r>
          </w:p>
        </w:tc>
        <w:tc>
          <w:tcPr>
            <w:tcW w:w="824" w:type="dxa"/>
            <w:tcBorders/>
            <w:shd w:fill="CCEEFF" w:val="clear"/>
            <w:vAlign w:val="center"/>
          </w:tcPr>
          <w:p>
            <w:pPr>
              <w:pStyle w:val="TableContents"/>
              <w:bidi w:val="0"/>
              <w:spacing w:before="0" w:after="1"/>
              <w:ind w:left="0" w:right="0" w:hanging="0"/>
              <w:jc w:val="right"/>
              <w:rPr/>
            </w:pPr>
            <w:r>
              <w:rPr/>
              <w:t>  ​</w:t>
            </w:r>
          </w:p>
        </w:tc>
        <w:tc>
          <w:tcPr>
            <w:tcW w:w="397" w:type="dxa"/>
            <w:tcBorders/>
            <w:shd w:fill="CCEEFF" w:val="clear"/>
            <w:vAlign w:val="center"/>
          </w:tcPr>
          <w:p>
            <w:pPr>
              <w:pStyle w:val="TableContents"/>
              <w:bidi w:val="0"/>
              <w:spacing w:before="0" w:after="1"/>
              <w:ind w:left="0" w:right="0" w:hanging="0"/>
              <w:jc w:val="left"/>
              <w:rPr/>
            </w:pPr>
            <w:r>
              <w:rPr/>
              <w:t> </w:t>
            </w:r>
          </w:p>
        </w:tc>
        <w:tc>
          <w:tcPr>
            <w:tcW w:w="225" w:type="dxa"/>
            <w:tcBorders/>
            <w:shd w:fill="CCEEFF" w:val="clear"/>
            <w:vAlign w:val="center"/>
          </w:tcPr>
          <w:p>
            <w:pPr>
              <w:pStyle w:val="TableContents"/>
              <w:bidi w:val="0"/>
              <w:spacing w:before="0" w:after="1"/>
              <w:ind w:left="0" w:right="0" w:hanging="0"/>
              <w:jc w:val="left"/>
              <w:rPr/>
            </w:pPr>
            <w:r>
              <w:rPr/>
              <w:t>​</w:t>
            </w:r>
          </w:p>
        </w:tc>
        <w:tc>
          <w:tcPr>
            <w:tcW w:w="877" w:type="dxa"/>
            <w:tcBorders/>
            <w:shd w:fill="CCEEFF" w:val="clear"/>
            <w:vAlign w:val="center"/>
          </w:tcPr>
          <w:p>
            <w:pPr>
              <w:pStyle w:val="TableContents"/>
              <w:bidi w:val="0"/>
              <w:spacing w:before="0" w:after="1"/>
              <w:ind w:left="0" w:right="0" w:hanging="0"/>
              <w:jc w:val="left"/>
              <w:rPr/>
            </w:pPr>
            <w:r>
              <w:rPr/>
              <w:t>​</w:t>
            </w:r>
          </w:p>
        </w:tc>
      </w:tr>
      <w:tr>
        <w:trPr/>
        <w:tc>
          <w:tcPr>
            <w:tcW w:w="765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 (loss)</w:t>
            </w:r>
          </w:p>
        </w:tc>
        <w:tc>
          <w:tcPr>
            <w:tcW w:w="22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(2,510)</w:t>
            </w:r>
          </w:p>
        </w:tc>
        <w:tc>
          <w:tcPr>
            <w:tcW w:w="397"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7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11,130</w:t>
            </w:r>
          </w:p>
        </w:tc>
      </w:tr>
      <w:tr>
        <w:trPr/>
        <w:tc>
          <w:tcPr>
            <w:tcW w:w="765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Adjustments to reconcile net income (loss) to net cash provided by operating activities:</w:t>
            </w:r>
          </w:p>
        </w:tc>
        <w:tc>
          <w:tcPr>
            <w:tcW w:w="225" w:type="dxa"/>
            <w:tcBorders/>
            <w:shd w:fill="CCEEFF" w:val="clear"/>
            <w:vAlign w:val="center"/>
          </w:tcPr>
          <w:p>
            <w:pPr>
              <w:pStyle w:val="TableContents"/>
              <w:bidi w:val="0"/>
              <w:spacing w:before="0" w:after="1"/>
              <w:ind w:left="0" w:right="0" w:hanging="0"/>
              <w:jc w:val="left"/>
              <w:rPr/>
            </w:pPr>
            <w:r>
              <w:rPr/>
              <w:t> </w:t>
            </w:r>
          </w:p>
        </w:tc>
        <w:tc>
          <w:tcPr>
            <w:tcW w:w="824" w:type="dxa"/>
            <w:tcBorders/>
            <w:shd w:fill="CCEEFF" w:val="clear"/>
            <w:vAlign w:val="center"/>
          </w:tcPr>
          <w:p>
            <w:pPr>
              <w:pStyle w:val="TableContents"/>
              <w:bidi w:val="0"/>
              <w:spacing w:before="0" w:after="1"/>
              <w:ind w:left="0" w:right="0" w:hanging="0"/>
              <w:jc w:val="right"/>
              <w:rPr/>
            </w:pPr>
            <w:r>
              <w:rPr/>
              <w:t>​</w:t>
            </w:r>
          </w:p>
        </w:tc>
        <w:tc>
          <w:tcPr>
            <w:tcW w:w="397"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877" w:type="dxa"/>
            <w:tcBorders/>
            <w:shd w:fill="CCEEFF" w:val="clear"/>
            <w:vAlign w:val="center"/>
          </w:tcPr>
          <w:p>
            <w:pPr>
              <w:pStyle w:val="TableContents"/>
              <w:bidi w:val="0"/>
              <w:spacing w:before="0" w:after="1"/>
              <w:ind w:left="0" w:right="0" w:hanging="0"/>
              <w:jc w:val="right"/>
              <w:rPr/>
            </w:pPr>
            <w:r>
              <w:rPr/>
              <w:t>​</w:t>
            </w:r>
          </w:p>
        </w:tc>
      </w:tr>
      <w:tr>
        <w:trPr/>
        <w:tc>
          <w:tcPr>
            <w:tcW w:w="765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225" w:type="dxa"/>
            <w:tcBorders/>
            <w:vAlign w:val="center"/>
          </w:tcPr>
          <w:p>
            <w:pPr>
              <w:pStyle w:val="TableContents"/>
              <w:bidi w:val="0"/>
              <w:spacing w:before="0" w:after="1"/>
              <w:ind w:left="0" w:right="0" w:hanging="0"/>
              <w:jc w:val="left"/>
              <w:rPr/>
            </w:pPr>
            <w:r>
              <w:rPr/>
              <w:t> </w:t>
            </w:r>
          </w:p>
        </w:tc>
        <w:tc>
          <w:tcPr>
            <w:tcW w:w="82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27,053</w:t>
            </w:r>
          </w:p>
        </w:tc>
        <w:tc>
          <w:tcPr>
            <w:tcW w:w="397"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87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22,266</w:t>
            </w:r>
          </w:p>
        </w:tc>
      </w:tr>
      <w:tr>
        <w:trPr/>
        <w:tc>
          <w:tcPr>
            <w:tcW w:w="765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Amortization of cloud computing implementation costs</w:t>
            </w:r>
          </w:p>
        </w:tc>
        <w:tc>
          <w:tcPr>
            <w:tcW w:w="225" w:type="dxa"/>
            <w:tcBorders/>
            <w:shd w:fill="CCEEFF" w:val="clear"/>
            <w:vAlign w:val="center"/>
          </w:tcPr>
          <w:p>
            <w:pPr>
              <w:pStyle w:val="TableContents"/>
              <w:bidi w:val="0"/>
              <w:spacing w:before="0" w:after="1"/>
              <w:ind w:left="0" w:right="0" w:hanging="0"/>
              <w:jc w:val="left"/>
              <w:rPr/>
            </w:pPr>
            <w:r>
              <w:rPr/>
              <w:t>​</w:t>
            </w:r>
          </w:p>
        </w:tc>
        <w:tc>
          <w:tcPr>
            <w:tcW w:w="82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1,037</w:t>
            </w:r>
          </w:p>
        </w:tc>
        <w:tc>
          <w:tcPr>
            <w:tcW w:w="397"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87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1,006</w:t>
            </w:r>
          </w:p>
        </w:tc>
      </w:tr>
      <w:tr>
        <w:trPr/>
        <w:tc>
          <w:tcPr>
            <w:tcW w:w="765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Provision for subscription cancellations and non-renewals</w:t>
            </w:r>
          </w:p>
        </w:tc>
        <w:tc>
          <w:tcPr>
            <w:tcW w:w="225" w:type="dxa"/>
            <w:tcBorders/>
            <w:vAlign w:val="center"/>
          </w:tcPr>
          <w:p>
            <w:pPr>
              <w:pStyle w:val="TableContents"/>
              <w:bidi w:val="0"/>
              <w:spacing w:before="0" w:after="1"/>
              <w:ind w:left="0" w:right="0" w:hanging="0"/>
              <w:jc w:val="left"/>
              <w:rPr/>
            </w:pPr>
            <w:r>
              <w:rPr/>
              <w:t> </w:t>
            </w:r>
          </w:p>
        </w:tc>
        <w:tc>
          <w:tcPr>
            <w:tcW w:w="82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936</w:t>
            </w:r>
          </w:p>
        </w:tc>
        <w:tc>
          <w:tcPr>
            <w:tcW w:w="397"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87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192</w:t>
            </w:r>
          </w:p>
        </w:tc>
      </w:tr>
      <w:tr>
        <w:trPr/>
        <w:tc>
          <w:tcPr>
            <w:tcW w:w="765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Amortization of deferred financing costs</w:t>
            </w:r>
          </w:p>
        </w:tc>
        <w:tc>
          <w:tcPr>
            <w:tcW w:w="225" w:type="dxa"/>
            <w:tcBorders/>
            <w:shd w:fill="CCEEFF" w:val="clear"/>
            <w:vAlign w:val="center"/>
          </w:tcPr>
          <w:p>
            <w:pPr>
              <w:pStyle w:val="TableContents"/>
              <w:bidi w:val="0"/>
              <w:spacing w:before="0" w:after="1"/>
              <w:ind w:left="0" w:right="0" w:hanging="0"/>
              <w:jc w:val="left"/>
              <w:rPr/>
            </w:pPr>
            <w:r>
              <w:rPr/>
              <w:t> </w:t>
            </w:r>
          </w:p>
        </w:tc>
        <w:tc>
          <w:tcPr>
            <w:tcW w:w="82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680</w:t>
            </w:r>
          </w:p>
        </w:tc>
        <w:tc>
          <w:tcPr>
            <w:tcW w:w="397"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87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680</w:t>
            </w:r>
          </w:p>
        </w:tc>
      </w:tr>
      <w:tr>
        <w:trPr/>
        <w:tc>
          <w:tcPr>
            <w:tcW w:w="765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Change in fair value of contingent consideration liabilities</w:t>
            </w:r>
          </w:p>
        </w:tc>
        <w:tc>
          <w:tcPr>
            <w:tcW w:w="225" w:type="dxa"/>
            <w:tcBorders/>
            <w:vAlign w:val="center"/>
          </w:tcPr>
          <w:p>
            <w:pPr>
              <w:pStyle w:val="TableContents"/>
              <w:bidi w:val="0"/>
              <w:spacing w:before="0" w:after="1"/>
              <w:ind w:left="0" w:right="0" w:hanging="0"/>
              <w:jc w:val="left"/>
              <w:rPr/>
            </w:pPr>
            <w:r>
              <w:rPr/>
              <w:t>​</w:t>
            </w:r>
          </w:p>
        </w:tc>
        <w:tc>
          <w:tcPr>
            <w:tcW w:w="82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(5,738)</w:t>
            </w:r>
          </w:p>
        </w:tc>
        <w:tc>
          <w:tcPr>
            <w:tcW w:w="397"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87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(14,700)</w:t>
            </w:r>
          </w:p>
        </w:tc>
      </w:tr>
      <w:tr>
        <w:trPr/>
        <w:tc>
          <w:tcPr>
            <w:tcW w:w="765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225" w:type="dxa"/>
            <w:tcBorders/>
            <w:shd w:fill="CCEEFF" w:val="clear"/>
            <w:vAlign w:val="center"/>
          </w:tcPr>
          <w:p>
            <w:pPr>
              <w:pStyle w:val="TableContents"/>
              <w:bidi w:val="0"/>
              <w:spacing w:before="0" w:after="1"/>
              <w:ind w:left="0" w:right="0" w:hanging="0"/>
              <w:jc w:val="left"/>
              <w:rPr/>
            </w:pPr>
            <w:r>
              <w:rPr/>
              <w:t> </w:t>
            </w:r>
          </w:p>
        </w:tc>
        <w:tc>
          <w:tcPr>
            <w:tcW w:w="82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18,508</w:t>
            </w:r>
          </w:p>
        </w:tc>
        <w:tc>
          <w:tcPr>
            <w:tcW w:w="397"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87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21,044</w:t>
            </w:r>
          </w:p>
        </w:tc>
      </w:tr>
      <w:tr>
        <w:trPr/>
        <w:tc>
          <w:tcPr>
            <w:tcW w:w="765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income taxes</w:t>
            </w:r>
          </w:p>
        </w:tc>
        <w:tc>
          <w:tcPr>
            <w:tcW w:w="225" w:type="dxa"/>
            <w:tcBorders/>
            <w:vAlign w:val="center"/>
          </w:tcPr>
          <w:p>
            <w:pPr>
              <w:pStyle w:val="TableContents"/>
              <w:bidi w:val="0"/>
              <w:spacing w:before="0" w:after="1"/>
              <w:ind w:left="0" w:right="0" w:hanging="0"/>
              <w:jc w:val="left"/>
              <w:rPr/>
            </w:pPr>
            <w:r>
              <w:rPr/>
              <w:t>​</w:t>
            </w:r>
          </w:p>
        </w:tc>
        <w:tc>
          <w:tcPr>
            <w:tcW w:w="82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1,810</w:t>
            </w:r>
          </w:p>
        </w:tc>
        <w:tc>
          <w:tcPr>
            <w:tcW w:w="397"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87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(929)</w:t>
            </w:r>
          </w:p>
        </w:tc>
      </w:tr>
      <w:tr>
        <w:trPr/>
        <w:tc>
          <w:tcPr>
            <w:tcW w:w="765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Non-cash operating lease costs</w:t>
            </w:r>
          </w:p>
        </w:tc>
        <w:tc>
          <w:tcPr>
            <w:tcW w:w="225" w:type="dxa"/>
            <w:tcBorders/>
            <w:shd w:fill="CCEEFF" w:val="clear"/>
            <w:vAlign w:val="center"/>
          </w:tcPr>
          <w:p>
            <w:pPr>
              <w:pStyle w:val="TableContents"/>
              <w:bidi w:val="0"/>
              <w:spacing w:before="0" w:after="1"/>
              <w:ind w:left="0" w:right="0" w:hanging="0"/>
              <w:jc w:val="left"/>
              <w:rPr/>
            </w:pPr>
            <w:r>
              <w:rPr/>
              <w:t>​</w:t>
            </w:r>
          </w:p>
        </w:tc>
        <w:tc>
          <w:tcPr>
            <w:tcW w:w="82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1,773</w:t>
            </w:r>
          </w:p>
        </w:tc>
        <w:tc>
          <w:tcPr>
            <w:tcW w:w="397"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87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779</w:t>
            </w:r>
          </w:p>
        </w:tc>
      </w:tr>
      <w:tr>
        <w:trPr/>
        <w:tc>
          <w:tcPr>
            <w:tcW w:w="765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w:t>
            </w:r>
          </w:p>
        </w:tc>
        <w:tc>
          <w:tcPr>
            <w:tcW w:w="225" w:type="dxa"/>
            <w:tcBorders/>
            <w:vAlign w:val="center"/>
          </w:tcPr>
          <w:p>
            <w:pPr>
              <w:pStyle w:val="TableContents"/>
              <w:bidi w:val="0"/>
              <w:spacing w:before="0" w:after="1"/>
              <w:ind w:left="0" w:right="0" w:hanging="0"/>
              <w:jc w:val="left"/>
              <w:rPr/>
            </w:pPr>
            <w:r>
              <w:rPr/>
              <w:t> </w:t>
            </w:r>
          </w:p>
        </w:tc>
        <w:tc>
          <w:tcPr>
            <w:tcW w:w="82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w:t>
            </w:r>
          </w:p>
        </w:tc>
        <w:tc>
          <w:tcPr>
            <w:tcW w:w="397"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87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w:t>
            </w:r>
          </w:p>
        </w:tc>
      </w:tr>
      <w:tr>
        <w:trPr/>
        <w:tc>
          <w:tcPr>
            <w:tcW w:w="765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Changes in operating assets and liabilities, net of the effects of business acquisition(s):</w:t>
            </w:r>
          </w:p>
        </w:tc>
        <w:tc>
          <w:tcPr>
            <w:tcW w:w="225" w:type="dxa"/>
            <w:tcBorders/>
            <w:shd w:fill="CCEEFF" w:val="clear"/>
            <w:vAlign w:val="center"/>
          </w:tcPr>
          <w:p>
            <w:pPr>
              <w:pStyle w:val="TableContents"/>
              <w:bidi w:val="0"/>
              <w:spacing w:before="0" w:after="1"/>
              <w:ind w:left="0" w:right="0" w:hanging="0"/>
              <w:jc w:val="left"/>
              <w:rPr/>
            </w:pPr>
            <w:r>
              <w:rPr/>
              <w:t> </w:t>
            </w:r>
          </w:p>
        </w:tc>
        <w:tc>
          <w:tcPr>
            <w:tcW w:w="824" w:type="dxa"/>
            <w:tcBorders/>
            <w:shd w:fill="CCEEFF" w:val="clear"/>
            <w:vAlign w:val="center"/>
          </w:tcPr>
          <w:p>
            <w:pPr>
              <w:pStyle w:val="TableContents"/>
              <w:bidi w:val="0"/>
              <w:spacing w:before="0" w:after="1"/>
              <w:ind w:left="0" w:right="0" w:hanging="0"/>
              <w:jc w:val="right"/>
              <w:rPr/>
            </w:pPr>
            <w:r>
              <w:rPr/>
              <w:t>​</w:t>
            </w:r>
          </w:p>
        </w:tc>
        <w:tc>
          <w:tcPr>
            <w:tcW w:w="397"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877" w:type="dxa"/>
            <w:tcBorders/>
            <w:shd w:fill="CCEEFF" w:val="clear"/>
            <w:vAlign w:val="center"/>
          </w:tcPr>
          <w:p>
            <w:pPr>
              <w:pStyle w:val="TableContents"/>
              <w:bidi w:val="0"/>
              <w:spacing w:before="0" w:after="1"/>
              <w:ind w:left="0" w:right="0" w:hanging="0"/>
              <w:jc w:val="right"/>
              <w:rPr/>
            </w:pPr>
            <w:r>
              <w:rPr/>
              <w:t>​</w:t>
            </w:r>
          </w:p>
        </w:tc>
      </w:tr>
      <w:tr>
        <w:trPr/>
        <w:tc>
          <w:tcPr>
            <w:tcW w:w="765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receivable</w:t>
            </w:r>
          </w:p>
        </w:tc>
        <w:tc>
          <w:tcPr>
            <w:tcW w:w="225" w:type="dxa"/>
            <w:tcBorders/>
            <w:vAlign w:val="center"/>
          </w:tcPr>
          <w:p>
            <w:pPr>
              <w:pStyle w:val="TableContents"/>
              <w:bidi w:val="0"/>
              <w:spacing w:before="0" w:after="1"/>
              <w:ind w:left="0" w:right="0" w:hanging="0"/>
              <w:jc w:val="left"/>
              <w:rPr/>
            </w:pPr>
            <w:r>
              <w:rPr/>
              <w:t> </w:t>
            </w:r>
          </w:p>
        </w:tc>
        <w:tc>
          <w:tcPr>
            <w:tcW w:w="82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23,396</w:t>
            </w:r>
          </w:p>
        </w:tc>
        <w:tc>
          <w:tcPr>
            <w:tcW w:w="397"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87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11,772</w:t>
            </w:r>
          </w:p>
        </w:tc>
      </w:tr>
      <w:tr>
        <w:trPr/>
        <w:tc>
          <w:tcPr>
            <w:tcW w:w="765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225" w:type="dxa"/>
            <w:tcBorders/>
            <w:shd w:fill="CCEEFF" w:val="clear"/>
            <w:vAlign w:val="center"/>
          </w:tcPr>
          <w:p>
            <w:pPr>
              <w:pStyle w:val="TableContents"/>
              <w:bidi w:val="0"/>
              <w:spacing w:before="0" w:after="1"/>
              <w:ind w:left="0" w:right="0" w:hanging="0"/>
              <w:jc w:val="left"/>
              <w:rPr/>
            </w:pPr>
            <w:r>
              <w:rPr/>
              <w:t> </w:t>
            </w:r>
          </w:p>
        </w:tc>
        <w:tc>
          <w:tcPr>
            <w:tcW w:w="82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(21,449)</w:t>
            </w:r>
          </w:p>
        </w:tc>
        <w:tc>
          <w:tcPr>
            <w:tcW w:w="397"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87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(13,169)</w:t>
            </w:r>
          </w:p>
        </w:tc>
      </w:tr>
      <w:tr>
        <w:trPr/>
        <w:tc>
          <w:tcPr>
            <w:tcW w:w="765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commissions</w:t>
            </w:r>
          </w:p>
        </w:tc>
        <w:tc>
          <w:tcPr>
            <w:tcW w:w="225" w:type="dxa"/>
            <w:tcBorders/>
            <w:vAlign w:val="center"/>
          </w:tcPr>
          <w:p>
            <w:pPr>
              <w:pStyle w:val="TableContents"/>
              <w:bidi w:val="0"/>
              <w:spacing w:before="0" w:after="1"/>
              <w:ind w:left="0" w:right="0" w:hanging="0"/>
              <w:jc w:val="left"/>
              <w:rPr/>
            </w:pPr>
            <w:r>
              <w:rPr/>
              <w:t> </w:t>
            </w:r>
          </w:p>
        </w:tc>
        <w:tc>
          <w:tcPr>
            <w:tcW w:w="82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1,028</w:t>
            </w:r>
          </w:p>
        </w:tc>
        <w:tc>
          <w:tcPr>
            <w:tcW w:w="397"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87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w:t>
            </w:r>
          </w:p>
        </w:tc>
      </w:tr>
      <w:tr>
        <w:trPr/>
        <w:tc>
          <w:tcPr>
            <w:tcW w:w="765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225" w:type="dxa"/>
            <w:tcBorders/>
            <w:shd w:fill="CCEEFF" w:val="clear"/>
            <w:vAlign w:val="center"/>
          </w:tcPr>
          <w:p>
            <w:pPr>
              <w:pStyle w:val="TableContents"/>
              <w:bidi w:val="0"/>
              <w:spacing w:before="0" w:after="1"/>
              <w:ind w:left="0" w:right="0" w:hanging="0"/>
              <w:jc w:val="left"/>
              <w:rPr/>
            </w:pPr>
            <w:r>
              <w:rPr/>
              <w:t> </w:t>
            </w:r>
          </w:p>
        </w:tc>
        <w:tc>
          <w:tcPr>
            <w:tcW w:w="82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(1,968)</w:t>
            </w:r>
          </w:p>
        </w:tc>
        <w:tc>
          <w:tcPr>
            <w:tcW w:w="397"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87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(11,279)</w:t>
            </w:r>
          </w:p>
        </w:tc>
      </w:tr>
      <w:tr>
        <w:trPr/>
        <w:tc>
          <w:tcPr>
            <w:tcW w:w="765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expenses</w:t>
            </w:r>
          </w:p>
        </w:tc>
        <w:tc>
          <w:tcPr>
            <w:tcW w:w="225" w:type="dxa"/>
            <w:tcBorders/>
            <w:vAlign w:val="center"/>
          </w:tcPr>
          <w:p>
            <w:pPr>
              <w:pStyle w:val="TableContents"/>
              <w:bidi w:val="0"/>
              <w:spacing w:before="0" w:after="1"/>
              <w:ind w:left="0" w:right="0" w:hanging="0"/>
              <w:jc w:val="left"/>
              <w:rPr/>
            </w:pPr>
            <w:r>
              <w:rPr/>
              <w:t> </w:t>
            </w:r>
          </w:p>
        </w:tc>
        <w:tc>
          <w:tcPr>
            <w:tcW w:w="82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(7,341)</w:t>
            </w:r>
          </w:p>
        </w:tc>
        <w:tc>
          <w:tcPr>
            <w:tcW w:w="397"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87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2,956</w:t>
            </w:r>
          </w:p>
        </w:tc>
      </w:tr>
      <w:tr>
        <w:trPr/>
        <w:tc>
          <w:tcPr>
            <w:tcW w:w="765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and deferred compensation</w:t>
            </w:r>
          </w:p>
        </w:tc>
        <w:tc>
          <w:tcPr>
            <w:tcW w:w="225" w:type="dxa"/>
            <w:tcBorders/>
            <w:shd w:fill="CCEEFF" w:val="clear"/>
            <w:vAlign w:val="center"/>
          </w:tcPr>
          <w:p>
            <w:pPr>
              <w:pStyle w:val="TableContents"/>
              <w:bidi w:val="0"/>
              <w:spacing w:before="0" w:after="1"/>
              <w:ind w:left="0" w:right="0" w:hanging="0"/>
              <w:jc w:val="left"/>
              <w:rPr/>
            </w:pPr>
            <w:r>
              <w:rPr/>
              <w:t> </w:t>
            </w:r>
          </w:p>
        </w:tc>
        <w:tc>
          <w:tcPr>
            <w:tcW w:w="82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(10,562)</w:t>
            </w:r>
          </w:p>
        </w:tc>
        <w:tc>
          <w:tcPr>
            <w:tcW w:w="397"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87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(26,785)</w:t>
            </w:r>
          </w:p>
        </w:tc>
      </w:tr>
      <w:tr>
        <w:trPr/>
        <w:tc>
          <w:tcPr>
            <w:tcW w:w="765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revenue</w:t>
            </w:r>
          </w:p>
        </w:tc>
        <w:tc>
          <w:tcPr>
            <w:tcW w:w="225" w:type="dxa"/>
            <w:tcBorders/>
            <w:vAlign w:val="center"/>
          </w:tcPr>
          <w:p>
            <w:pPr>
              <w:pStyle w:val="TableContents"/>
              <w:bidi w:val="0"/>
              <w:spacing w:before="0" w:after="1"/>
              <w:ind w:left="0" w:right="0" w:hanging="0"/>
              <w:jc w:val="left"/>
              <w:rPr/>
            </w:pPr>
            <w:r>
              <w:rPr/>
              <w:t> </w:t>
            </w:r>
          </w:p>
        </w:tc>
        <w:tc>
          <w:tcPr>
            <w:tcW w:w="82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11,247</w:t>
            </w:r>
          </w:p>
        </w:tc>
        <w:tc>
          <w:tcPr>
            <w:tcW w:w="397"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87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11,156</w:t>
            </w:r>
          </w:p>
        </w:tc>
      </w:tr>
      <w:tr>
        <w:trPr/>
        <w:tc>
          <w:tcPr>
            <w:tcW w:w="765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liabilities</w:t>
            </w:r>
          </w:p>
        </w:tc>
        <w:tc>
          <w:tcPr>
            <w:tcW w:w="225" w:type="dxa"/>
            <w:tcBorders/>
            <w:shd w:fill="CCEEFF" w:val="clear"/>
            <w:vAlign w:val="center"/>
          </w:tcPr>
          <w:p>
            <w:pPr>
              <w:pStyle w:val="TableContents"/>
              <w:bidi w:val="0"/>
              <w:spacing w:before="0" w:after="1"/>
              <w:ind w:left="0" w:right="0" w:hanging="0"/>
              <w:jc w:val="left"/>
              <w:rPr/>
            </w:pPr>
            <w:r>
              <w:rPr/>
              <w:t>​</w:t>
            </w:r>
          </w:p>
        </w:tc>
        <w:tc>
          <w:tcPr>
            <w:tcW w:w="82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(2,083)</w:t>
            </w:r>
          </w:p>
        </w:tc>
        <w:tc>
          <w:tcPr>
            <w:tcW w:w="397"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87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(1,068)</w:t>
            </w:r>
          </w:p>
        </w:tc>
      </w:tr>
      <w:tr>
        <w:trPr/>
        <w:tc>
          <w:tcPr>
            <w:tcW w:w="765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2,157</w:t>
            </w:r>
          </w:p>
        </w:tc>
        <w:tc>
          <w:tcPr>
            <w:tcW w:w="397"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(183)</w:t>
            </w:r>
          </w:p>
        </w:tc>
      </w:tr>
      <w:tr>
        <w:trPr/>
        <w:tc>
          <w:tcPr>
            <w:tcW w:w="765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cash provided by operating activities</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37,975</w:t>
            </w:r>
          </w:p>
        </w:tc>
        <w:tc>
          <w:tcPr>
            <w:tcW w:w="397"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14,805</w:t>
            </w:r>
          </w:p>
        </w:tc>
      </w:tr>
      <w:tr>
        <w:trPr/>
        <w:tc>
          <w:tcPr>
            <w:tcW w:w="7657" w:type="dxa"/>
            <w:tcBorders/>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Cash flows from investing activities:</w:t>
            </w:r>
          </w:p>
        </w:tc>
        <w:tc>
          <w:tcPr>
            <w:tcW w:w="225" w:type="dxa"/>
            <w:tcBorders/>
            <w:vAlign w:val="center"/>
          </w:tcPr>
          <w:p>
            <w:pPr>
              <w:pStyle w:val="TableContents"/>
              <w:bidi w:val="0"/>
              <w:spacing w:before="0" w:after="1"/>
              <w:ind w:left="0" w:right="0" w:hanging="0"/>
              <w:jc w:val="left"/>
              <w:rPr/>
            </w:pPr>
            <w:r>
              <w:rPr/>
              <w:t> </w:t>
            </w:r>
          </w:p>
        </w:tc>
        <w:tc>
          <w:tcPr>
            <w:tcW w:w="824" w:type="dxa"/>
            <w:tcBorders/>
            <w:vAlign w:val="center"/>
          </w:tcPr>
          <w:p>
            <w:pPr>
              <w:pStyle w:val="TableContents"/>
              <w:bidi w:val="0"/>
              <w:spacing w:before="0" w:after="1"/>
              <w:ind w:left="0" w:right="0" w:hanging="0"/>
              <w:jc w:val="right"/>
              <w:rPr/>
            </w:pPr>
            <w:r>
              <w:rPr/>
              <w:t>  ​</w:t>
            </w:r>
          </w:p>
        </w:tc>
        <w:tc>
          <w:tcPr>
            <w:tcW w:w="397"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877" w:type="dxa"/>
            <w:tcBorders/>
            <w:vAlign w:val="center"/>
          </w:tcPr>
          <w:p>
            <w:pPr>
              <w:pStyle w:val="TableContents"/>
              <w:bidi w:val="0"/>
              <w:spacing w:before="0" w:after="1"/>
              <w:ind w:left="0" w:right="0" w:hanging="0"/>
              <w:jc w:val="right"/>
              <w:rPr/>
            </w:pPr>
            <w:r>
              <w:rPr/>
              <w:t>  ​</w:t>
            </w:r>
          </w:p>
        </w:tc>
      </w:tr>
      <w:tr>
        <w:trPr/>
        <w:tc>
          <w:tcPr>
            <w:tcW w:w="765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Acquisition of businesses and assets, net of cash acquired</w:t>
            </w:r>
          </w:p>
        </w:tc>
        <w:tc>
          <w:tcPr>
            <w:tcW w:w="225" w:type="dxa"/>
            <w:tcBorders/>
            <w:shd w:fill="CCEEFF" w:val="clear"/>
            <w:vAlign w:val="center"/>
          </w:tcPr>
          <w:p>
            <w:pPr>
              <w:pStyle w:val="TableContents"/>
              <w:bidi w:val="0"/>
              <w:spacing w:before="0" w:after="1"/>
              <w:ind w:left="0" w:right="0" w:hanging="0"/>
              <w:jc w:val="left"/>
              <w:rPr/>
            </w:pPr>
            <w:r>
              <w:rPr/>
              <w:t> </w:t>
            </w:r>
          </w:p>
        </w:tc>
        <w:tc>
          <w:tcPr>
            <w:tcW w:w="82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(21,968)</w:t>
            </w:r>
          </w:p>
        </w:tc>
        <w:tc>
          <w:tcPr>
            <w:tcW w:w="397"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877" w:type="dxa"/>
            <w:tcBorders/>
            <w:shd w:fill="CCEEFF" w:val="clear"/>
            <w:vAlign w:val="center"/>
          </w:tcPr>
          <w:p>
            <w:pPr>
              <w:pStyle w:val="TableContents"/>
              <w:bidi w:val="0"/>
              <w:spacing w:before="0" w:after="1"/>
              <w:ind w:left="0" w:right="0" w:hanging="0"/>
              <w:jc w:val="right"/>
              <w:rPr/>
            </w:pPr>
            <w:r>
              <w:rPr/>
              <w:t>—</w:t>
            </w:r>
          </w:p>
        </w:tc>
      </w:tr>
      <w:tr>
        <w:trPr/>
        <w:tc>
          <w:tcPr>
            <w:tcW w:w="765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Property and equipment additions</w:t>
            </w:r>
          </w:p>
        </w:tc>
        <w:tc>
          <w:tcPr>
            <w:tcW w:w="225" w:type="dxa"/>
            <w:tcBorders/>
            <w:vAlign w:val="center"/>
          </w:tcPr>
          <w:p>
            <w:pPr>
              <w:pStyle w:val="TableContents"/>
              <w:bidi w:val="0"/>
              <w:spacing w:before="0" w:after="1"/>
              <w:ind w:left="0" w:right="0" w:hanging="0"/>
              <w:jc w:val="left"/>
              <w:rPr/>
            </w:pPr>
            <w:r>
              <w:rPr/>
              <w:t> </w:t>
            </w:r>
          </w:p>
        </w:tc>
        <w:tc>
          <w:tcPr>
            <w:tcW w:w="82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(24,660)</w:t>
            </w:r>
          </w:p>
        </w:tc>
        <w:tc>
          <w:tcPr>
            <w:tcW w:w="397"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87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(21,394)</w:t>
            </w:r>
          </w:p>
        </w:tc>
      </w:tr>
      <w:tr>
        <w:trPr/>
        <w:tc>
          <w:tcPr>
            <w:tcW w:w="765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Capitalized software additions</w:t>
            </w:r>
          </w:p>
        </w:tc>
        <w:tc>
          <w:tcPr>
            <w:tcW w:w="225" w:type="dxa"/>
            <w:tcBorders/>
            <w:shd w:fill="CCEEFF" w:val="clear"/>
            <w:vAlign w:val="center"/>
          </w:tcPr>
          <w:p>
            <w:pPr>
              <w:pStyle w:val="TableContents"/>
              <w:bidi w:val="0"/>
              <w:spacing w:before="0" w:after="1"/>
              <w:ind w:left="0" w:right="0" w:hanging="0"/>
              <w:jc w:val="left"/>
              <w:rPr/>
            </w:pPr>
            <w:r>
              <w:rPr/>
              <w:t> </w:t>
            </w:r>
          </w:p>
        </w:tc>
        <w:tc>
          <w:tcPr>
            <w:tcW w:w="82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(5,656)</w:t>
            </w:r>
          </w:p>
        </w:tc>
        <w:tc>
          <w:tcPr>
            <w:tcW w:w="397"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87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(5,661)</w:t>
            </w:r>
          </w:p>
        </w:tc>
      </w:tr>
      <w:tr>
        <w:trPr/>
        <w:tc>
          <w:tcPr>
            <w:tcW w:w="765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Purchase of investment securities, available-for-sale</w:t>
            </w:r>
          </w:p>
        </w:tc>
        <w:tc>
          <w:tcPr>
            <w:tcW w:w="225" w:type="dxa"/>
            <w:tcBorders/>
            <w:vAlign w:val="center"/>
          </w:tcPr>
          <w:p>
            <w:pPr>
              <w:pStyle w:val="TableContents"/>
              <w:bidi w:val="0"/>
              <w:spacing w:before="0" w:after="1"/>
              <w:ind w:left="0" w:right="0" w:hanging="0"/>
              <w:jc w:val="left"/>
              <w:rPr/>
            </w:pPr>
            <w:r>
              <w:rPr/>
              <w:t>​</w:t>
            </w:r>
          </w:p>
        </w:tc>
        <w:tc>
          <w:tcPr>
            <w:tcW w:w="824" w:type="dxa"/>
            <w:tcBorders/>
            <w:vAlign w:val="center"/>
          </w:tcPr>
          <w:p>
            <w:pPr>
              <w:pStyle w:val="TableContents"/>
              <w:bidi w:val="0"/>
              <w:spacing w:before="0" w:after="1"/>
              <w:ind w:left="0" w:right="0" w:hanging="0"/>
              <w:jc w:val="right"/>
              <w:rPr/>
            </w:pPr>
            <w:r>
              <w:rPr/>
              <w:t>—</w:t>
            </w:r>
          </w:p>
        </w:tc>
        <w:tc>
          <w:tcPr>
            <w:tcW w:w="397"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87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(2,398)</w:t>
            </w:r>
          </w:p>
        </w:tc>
      </w:tr>
      <w:tr>
        <w:trPr/>
        <w:tc>
          <w:tcPr>
            <w:tcW w:w="765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from sales and maturities of investment securities, available-for-sale</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97"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11,607</w:t>
            </w:r>
          </w:p>
        </w:tc>
      </w:tr>
      <w:tr>
        <w:trPr/>
        <w:tc>
          <w:tcPr>
            <w:tcW w:w="765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cash used in investing activities</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(52,284)</w:t>
            </w:r>
          </w:p>
        </w:tc>
        <w:tc>
          <w:tcPr>
            <w:tcW w:w="397"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(17,846)</w:t>
            </w:r>
          </w:p>
        </w:tc>
      </w:tr>
      <w:tr>
        <w:trPr/>
        <w:tc>
          <w:tcPr>
            <w:tcW w:w="765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flows from financing activities:</w:t>
            </w:r>
          </w:p>
        </w:tc>
        <w:tc>
          <w:tcPr>
            <w:tcW w:w="225" w:type="dxa"/>
            <w:tcBorders/>
            <w:shd w:fill="CCEEFF" w:val="clear"/>
            <w:vAlign w:val="center"/>
          </w:tcPr>
          <w:p>
            <w:pPr>
              <w:pStyle w:val="TableContents"/>
              <w:bidi w:val="0"/>
              <w:spacing w:before="0" w:after="1"/>
              <w:ind w:left="0" w:right="0" w:hanging="0"/>
              <w:jc w:val="left"/>
              <w:rPr/>
            </w:pPr>
            <w:r>
              <w:rPr/>
              <w:t> </w:t>
            </w:r>
          </w:p>
        </w:tc>
        <w:tc>
          <w:tcPr>
            <w:tcW w:w="824" w:type="dxa"/>
            <w:tcBorders/>
            <w:shd w:fill="CCEEFF" w:val="clear"/>
            <w:vAlign w:val="center"/>
          </w:tcPr>
          <w:p>
            <w:pPr>
              <w:pStyle w:val="TableContents"/>
              <w:bidi w:val="0"/>
              <w:spacing w:before="0" w:after="1"/>
              <w:ind w:left="0" w:right="0" w:hanging="0"/>
              <w:jc w:val="right"/>
              <w:rPr/>
            </w:pPr>
            <w:r>
              <w:rPr/>
              <w:t>  ​</w:t>
            </w:r>
          </w:p>
        </w:tc>
        <w:tc>
          <w:tcPr>
            <w:tcW w:w="397"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877" w:type="dxa"/>
            <w:tcBorders/>
            <w:shd w:fill="CCEEFF" w:val="clear"/>
            <w:vAlign w:val="center"/>
          </w:tcPr>
          <w:p>
            <w:pPr>
              <w:pStyle w:val="TableContents"/>
              <w:bidi w:val="0"/>
              <w:spacing w:before="0" w:after="1"/>
              <w:ind w:left="0" w:right="0" w:hanging="0"/>
              <w:jc w:val="right"/>
              <w:rPr/>
            </w:pPr>
            <w:r>
              <w:rPr/>
              <w:t>  ​</w:t>
            </w:r>
          </w:p>
        </w:tc>
      </w:tr>
      <w:tr>
        <w:trPr/>
        <w:tc>
          <w:tcPr>
            <w:tcW w:w="765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increase (decrease) in customer funds obligations</w:t>
            </w:r>
          </w:p>
        </w:tc>
        <w:tc>
          <w:tcPr>
            <w:tcW w:w="225" w:type="dxa"/>
            <w:tcBorders/>
            <w:vAlign w:val="center"/>
          </w:tcPr>
          <w:p>
            <w:pPr>
              <w:pStyle w:val="TableContents"/>
              <w:bidi w:val="0"/>
              <w:spacing w:before="0" w:after="1"/>
              <w:ind w:left="0" w:right="0" w:hanging="0"/>
              <w:jc w:val="left"/>
              <w:rPr/>
            </w:pPr>
            <w:r>
              <w:rPr/>
              <w:t> </w:t>
            </w:r>
          </w:p>
        </w:tc>
        <w:tc>
          <w:tcPr>
            <w:tcW w:w="82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(6,621)</w:t>
            </w:r>
          </w:p>
        </w:tc>
        <w:tc>
          <w:tcPr>
            <w:tcW w:w="397"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87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3,227</w:t>
            </w:r>
          </w:p>
        </w:tc>
      </w:tr>
      <w:tr>
        <w:trPr/>
        <w:tc>
          <w:tcPr>
            <w:tcW w:w="765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Repurchases of shares</w:t>
            </w:r>
          </w:p>
        </w:tc>
        <w:tc>
          <w:tcPr>
            <w:tcW w:w="225" w:type="dxa"/>
            <w:tcBorders/>
            <w:shd w:fill="CCEEFF" w:val="clear"/>
            <w:vAlign w:val="center"/>
          </w:tcPr>
          <w:p>
            <w:pPr>
              <w:pStyle w:val="TableContents"/>
              <w:bidi w:val="0"/>
              <w:spacing w:before="0" w:after="1"/>
              <w:ind w:left="0" w:right="0" w:hanging="0"/>
              <w:jc w:val="left"/>
              <w:rPr/>
            </w:pPr>
            <w:r>
              <w:rPr/>
              <w:t>​</w:t>
            </w:r>
          </w:p>
        </w:tc>
        <w:tc>
          <w:tcPr>
            <w:tcW w:w="82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(20,041)</w:t>
            </w:r>
          </w:p>
        </w:tc>
        <w:tc>
          <w:tcPr>
            <w:tcW w:w="397"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877" w:type="dxa"/>
            <w:tcBorders/>
            <w:shd w:fill="CCEEFF" w:val="clear"/>
            <w:vAlign w:val="center"/>
          </w:tcPr>
          <w:p>
            <w:pPr>
              <w:pStyle w:val="TableContents"/>
              <w:bidi w:val="0"/>
              <w:spacing w:before="0" w:after="1"/>
              <w:ind w:left="0" w:right="0" w:hanging="0"/>
              <w:jc w:val="right"/>
              <w:rPr/>
            </w:pPr>
            <w:r>
              <w:rPr/>
              <w:t>—</w:t>
            </w:r>
          </w:p>
        </w:tc>
      </w:tr>
      <w:tr>
        <w:trPr/>
        <w:tc>
          <w:tcPr>
            <w:tcW w:w="765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Payments for taxes related to net share settlement of stock-based awards</w:t>
            </w:r>
          </w:p>
        </w:tc>
        <w:tc>
          <w:tcPr>
            <w:tcW w:w="225" w:type="dxa"/>
            <w:tcBorders/>
            <w:vAlign w:val="center"/>
          </w:tcPr>
          <w:p>
            <w:pPr>
              <w:pStyle w:val="TableContents"/>
              <w:bidi w:val="0"/>
              <w:spacing w:before="0" w:after="1"/>
              <w:ind w:left="0" w:right="0" w:hanging="0"/>
              <w:jc w:val="left"/>
              <w:rPr/>
            </w:pPr>
            <w:r>
              <w:rPr/>
              <w:t>​</w:t>
            </w:r>
          </w:p>
        </w:tc>
        <w:tc>
          <w:tcPr>
            <w:tcW w:w="82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(7,143)</w:t>
            </w:r>
          </w:p>
        </w:tc>
        <w:tc>
          <w:tcPr>
            <w:tcW w:w="397"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87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(25,034)</w:t>
            </w:r>
          </w:p>
        </w:tc>
      </w:tr>
      <w:tr>
        <w:trPr/>
        <w:tc>
          <w:tcPr>
            <w:tcW w:w="765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from exercise of stock options</w:t>
            </w:r>
          </w:p>
        </w:tc>
        <w:tc>
          <w:tcPr>
            <w:tcW w:w="225" w:type="dxa"/>
            <w:tcBorders/>
            <w:shd w:fill="CCEEFF" w:val="clear"/>
            <w:vAlign w:val="center"/>
          </w:tcPr>
          <w:p>
            <w:pPr>
              <w:pStyle w:val="TableContents"/>
              <w:bidi w:val="0"/>
              <w:spacing w:before="0" w:after="1"/>
              <w:ind w:left="0" w:right="0" w:hanging="0"/>
              <w:jc w:val="left"/>
              <w:rPr/>
            </w:pPr>
            <w:r>
              <w:rPr/>
              <w:t> </w:t>
            </w:r>
          </w:p>
        </w:tc>
        <w:tc>
          <w:tcPr>
            <w:tcW w:w="82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97</w:t>
            </w:r>
          </w:p>
        </w:tc>
        <w:tc>
          <w:tcPr>
            <w:tcW w:w="397"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87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1,166</w:t>
            </w:r>
          </w:p>
        </w:tc>
      </w:tr>
      <w:tr>
        <w:trPr/>
        <w:tc>
          <w:tcPr>
            <w:tcW w:w="765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Payments for acquisition contingent cash earn-out </w:t>
            </w:r>
          </w:p>
        </w:tc>
        <w:tc>
          <w:tcPr>
            <w:tcW w:w="225" w:type="dxa"/>
            <w:tcBorders/>
            <w:vAlign w:val="center"/>
          </w:tcPr>
          <w:p>
            <w:pPr>
              <w:pStyle w:val="TableContents"/>
              <w:bidi w:val="0"/>
              <w:spacing w:before="0" w:after="1"/>
              <w:ind w:left="0" w:right="0" w:hanging="0"/>
              <w:jc w:val="left"/>
              <w:rPr/>
            </w:pPr>
            <w:r>
              <w:rPr/>
              <w:t>​</w:t>
            </w:r>
          </w:p>
        </w:tc>
        <w:tc>
          <w:tcPr>
            <w:tcW w:w="82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(19,600)</w:t>
            </w:r>
          </w:p>
        </w:tc>
        <w:tc>
          <w:tcPr>
            <w:tcW w:w="397"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877" w:type="dxa"/>
            <w:tcBorders/>
            <w:vAlign w:val="center"/>
          </w:tcPr>
          <w:p>
            <w:pPr>
              <w:pStyle w:val="TableContents"/>
              <w:bidi w:val="0"/>
              <w:spacing w:before="0" w:after="1"/>
              <w:ind w:left="0" w:right="0" w:hanging="0"/>
              <w:jc w:val="right"/>
              <w:rPr/>
            </w:pPr>
            <w:r>
              <w:rPr/>
              <w:t>—</w:t>
            </w:r>
          </w:p>
        </w:tc>
      </w:tr>
      <w:tr>
        <w:trPr/>
        <w:tc>
          <w:tcPr>
            <w:tcW w:w="765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Payments of finance lease liabilities</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w:t>
            </w:r>
          </w:p>
        </w:tc>
        <w:tc>
          <w:tcPr>
            <w:tcW w:w="397"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w:t>
            </w:r>
          </w:p>
        </w:tc>
      </w:tr>
      <w:tr>
        <w:trPr/>
        <w:tc>
          <w:tcPr>
            <w:tcW w:w="765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cash used in financing activities</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(53,328)</w:t>
            </w:r>
          </w:p>
        </w:tc>
        <w:tc>
          <w:tcPr>
            <w:tcW w:w="397"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(20,653)</w:t>
            </w:r>
          </w:p>
        </w:tc>
      </w:tr>
      <w:tr>
        <w:trPr/>
        <w:tc>
          <w:tcPr>
            <w:tcW w:w="7657" w:type="dxa"/>
            <w:tcBorders/>
            <w:shd w:fill="CCEEFF" w:val="clear"/>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Effect of exchange rate changes on cash, cash equivalents and restricted cash</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(505)</w:t>
            </w:r>
          </w:p>
        </w:tc>
        <w:tc>
          <w:tcPr>
            <w:tcW w:w="397"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1,310</w:t>
            </w:r>
          </w:p>
        </w:tc>
      </w:tr>
      <w:tr>
        <w:trPr/>
        <w:tc>
          <w:tcPr>
            <w:tcW w:w="765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decrease in cash, cash equivalents and restricted cash</w:t>
            </w:r>
          </w:p>
        </w:tc>
        <w:tc>
          <w:tcPr>
            <w:tcW w:w="225" w:type="dxa"/>
            <w:tcBorders/>
            <w:vAlign w:val="center"/>
          </w:tcPr>
          <w:p>
            <w:pPr>
              <w:pStyle w:val="TableContents"/>
              <w:bidi w:val="0"/>
              <w:spacing w:before="0" w:after="1"/>
              <w:ind w:left="0" w:right="0" w:hanging="0"/>
              <w:jc w:val="left"/>
              <w:rPr/>
            </w:pPr>
            <w:r>
              <w:rPr/>
              <w:t>​</w:t>
            </w:r>
          </w:p>
        </w:tc>
        <w:tc>
          <w:tcPr>
            <w:tcW w:w="82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(68,142)</w:t>
            </w:r>
          </w:p>
        </w:tc>
        <w:tc>
          <w:tcPr>
            <w:tcW w:w="397"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87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(22,384)</w:t>
            </w:r>
          </w:p>
        </w:tc>
      </w:tr>
      <w:tr>
        <w:trPr/>
        <w:tc>
          <w:tcPr>
            <w:tcW w:w="7657" w:type="dxa"/>
            <w:tcBorders/>
            <w:shd w:fill="CCEEFF" w:val="clear"/>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Cash, cash equivalents and restricted cash, beginning of period</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338,295</w:t>
            </w:r>
          </w:p>
        </w:tc>
        <w:tc>
          <w:tcPr>
            <w:tcW w:w="397"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326,066</w:t>
            </w:r>
          </w:p>
        </w:tc>
      </w:tr>
      <w:tr>
        <w:trPr/>
        <w:tc>
          <w:tcPr>
            <w:tcW w:w="765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cash equivalents and restricted cash, end of period</w:t>
            </w:r>
          </w:p>
        </w:tc>
        <w:tc>
          <w:tcPr>
            <w:tcW w:w="22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270,153</w:t>
            </w:r>
          </w:p>
        </w:tc>
        <w:tc>
          <w:tcPr>
            <w:tcW w:w="397" w:type="dxa"/>
            <w:tcBorders/>
            <w:vAlign w:val="center"/>
          </w:tcPr>
          <w:p>
            <w:pPr>
              <w:pStyle w:val="TableContents"/>
              <w:bidi w:val="0"/>
              <w:spacing w:before="0" w:after="1"/>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7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303,682</w:t>
            </w:r>
          </w:p>
        </w:tc>
      </w:tr>
      <w:tr>
        <w:trPr/>
        <w:tc>
          <w:tcPr>
            <w:tcW w:w="7657" w:type="dxa"/>
            <w:tcBorders/>
            <w:shd w:fill="CCEEFF" w:val="clear"/>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Reconciliation of cash, cash equivalents and restricted cash to the Condensed Consolidated Balance Sheets, end of period:</w:t>
            </w:r>
          </w:p>
        </w:tc>
        <w:tc>
          <w:tcPr>
            <w:tcW w:w="225" w:type="dxa"/>
            <w:tcBorders/>
            <w:shd w:fill="CCEEFF" w:val="clear"/>
            <w:vAlign w:val="center"/>
          </w:tcPr>
          <w:p>
            <w:pPr>
              <w:pStyle w:val="TableContents"/>
              <w:bidi w:val="0"/>
              <w:spacing w:before="0" w:after="1"/>
              <w:ind w:left="0" w:right="0" w:hanging="0"/>
              <w:jc w:val="left"/>
              <w:rPr/>
            </w:pPr>
            <w:r>
              <w:rPr/>
              <w:t> </w:t>
            </w:r>
          </w:p>
        </w:tc>
        <w:tc>
          <w:tcPr>
            <w:tcW w:w="824" w:type="dxa"/>
            <w:tcBorders/>
            <w:shd w:fill="CCEEFF" w:val="clear"/>
            <w:vAlign w:val="center"/>
          </w:tcPr>
          <w:p>
            <w:pPr>
              <w:pStyle w:val="TableContents"/>
              <w:bidi w:val="0"/>
              <w:spacing w:before="0" w:after="1"/>
              <w:ind w:left="0" w:right="0" w:hanging="0"/>
              <w:jc w:val="right"/>
              <w:rPr/>
            </w:pPr>
            <w:r>
              <w:rPr/>
              <w:t>  ​</w:t>
            </w:r>
          </w:p>
        </w:tc>
        <w:tc>
          <w:tcPr>
            <w:tcW w:w="397"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877" w:type="dxa"/>
            <w:tcBorders/>
            <w:shd w:fill="CCEEFF" w:val="clear"/>
            <w:vAlign w:val="center"/>
          </w:tcPr>
          <w:p>
            <w:pPr>
              <w:pStyle w:val="TableContents"/>
              <w:bidi w:val="0"/>
              <w:spacing w:before="0" w:after="1"/>
              <w:ind w:left="0" w:right="0" w:hanging="0"/>
              <w:jc w:val="right"/>
              <w:rPr/>
            </w:pPr>
            <w:r>
              <w:rPr/>
              <w:t>  ​</w:t>
            </w:r>
          </w:p>
        </w:tc>
      </w:tr>
      <w:tr>
        <w:trPr/>
        <w:tc>
          <w:tcPr>
            <w:tcW w:w="765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22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252,455</w:t>
            </w:r>
          </w:p>
        </w:tc>
        <w:tc>
          <w:tcPr>
            <w:tcW w:w="397"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7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270,395</w:t>
            </w:r>
          </w:p>
        </w:tc>
      </w:tr>
      <w:tr>
        <w:trPr/>
        <w:tc>
          <w:tcPr>
            <w:tcW w:w="765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Restricted cash—funds held for customers</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17,698</w:t>
            </w:r>
          </w:p>
        </w:tc>
        <w:tc>
          <w:tcPr>
            <w:tcW w:w="397"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33,287</w:t>
            </w:r>
          </w:p>
        </w:tc>
      </w:tr>
      <w:tr>
        <w:trPr/>
        <w:tc>
          <w:tcPr>
            <w:tcW w:w="765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cash, cash equivalents and restricted cash, end of period</w:t>
            </w:r>
          </w:p>
        </w:tc>
        <w:tc>
          <w:tcPr>
            <w:tcW w:w="22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270,153</w:t>
            </w:r>
          </w:p>
        </w:tc>
        <w:tc>
          <w:tcPr>
            <w:tcW w:w="397" w:type="dxa"/>
            <w:tcBorders/>
            <w:vAlign w:val="center"/>
          </w:tcPr>
          <w:p>
            <w:pPr>
              <w:pStyle w:val="TableContents"/>
              <w:bidi w:val="0"/>
              <w:spacing w:before="0" w:after="1"/>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7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303,682</w:t>
            </w:r>
          </w:p>
        </w:tc>
      </w:tr>
      <w:tr>
        <w:trPr/>
        <w:tc>
          <w:tcPr>
            <w:tcW w:w="7657"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824" w:type="dxa"/>
            <w:tcBorders/>
            <w:vAlign w:val="center"/>
          </w:tcPr>
          <w:p>
            <w:pPr>
              <w:pStyle w:val="TableContents"/>
              <w:bidi w:val="0"/>
              <w:spacing w:before="0" w:after="1"/>
              <w:ind w:left="0" w:right="0" w:hanging="0"/>
              <w:jc w:val="right"/>
              <w:rPr/>
            </w:pPr>
            <w:r>
              <w:rPr/>
              <w:t>​</w:t>
            </w:r>
          </w:p>
        </w:tc>
        <w:tc>
          <w:tcPr>
            <w:tcW w:w="397"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877" w:type="dxa"/>
            <w:tcBorders/>
            <w:vAlign w:val="center"/>
          </w:tcPr>
          <w:p>
            <w:pPr>
              <w:pStyle w:val="TableContents"/>
              <w:bidi w:val="0"/>
              <w:spacing w:before="0" w:after="1"/>
              <w:ind w:left="0" w:right="0" w:hanging="0"/>
              <w:jc w:val="left"/>
              <w:rPr/>
            </w:pPr>
            <w:r>
              <w:rPr/>
              <w:t>​</w:t>
            </w:r>
          </w:p>
        </w:tc>
      </w:tr>
      <w:tr>
        <w:trPr/>
        <w:tc>
          <w:tcPr>
            <w:tcW w:w="10205" w:type="dxa"/>
            <w:gridSpan w:val="6"/>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360"/>
        <w:jc w:val="center"/>
        <w:rPr/>
      </w:pPr>
      <w:r>
        <w:rPr/>
        <w:t>​</w:t>
      </w:r>
    </w:p>
    <w:p>
      <w:pPr>
        <w:pStyle w:val="TextBody"/>
        <w:bidi w:val="0"/>
        <w:spacing w:before="0" w:after="0"/>
        <w:ind w:left="0" w:right="0" w:firstLine="360"/>
        <w:jc w:val="center"/>
        <w:rPr>
          <w:rFonts w:ascii="Times New Roman;Times;serif" w:hAnsi="Times New Roman;Times;serif"/>
          <w:sz w:val="16"/>
        </w:rPr>
      </w:pPr>
      <w:r>
        <w:rPr>
          <w:rFonts w:ascii="Times New Roman;Times;serif" w:hAnsi="Times New Roman;Times;serif"/>
          <w:sz w:val="16"/>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432" w:after="283"/>
        <w:jc w:val="left"/>
        <w:rPr>
          <w:sz w:val="4"/>
          <w:szCs w:val="4"/>
        </w:rPr>
      </w:pPr>
      <w:r>
        <w:rPr>
          <w:sz w:val="4"/>
          <w:szCs w:val="4"/>
        </w:rPr>
      </w:r>
      <w:bookmarkStart w:id="862" w:name="_c5f3defc_848a_4ea4_807c_81d90df56238"/>
      <w:bookmarkStart w:id="863" w:name="_cc2ff6ea_eb41_4f64_ad73_fcd2ca9dc5f5"/>
      <w:bookmarkStart w:id="864" w:name="_c5f3defc_848a_4ea4_807c_81d90df56238"/>
      <w:bookmarkStart w:id="865" w:name="_cc2ff6ea_eb41_4f64_ad73_fcd2ca9dc5f5"/>
      <w:bookmarkEnd w:id="864"/>
      <w:bookmarkEnd w:id="865"/>
    </w:p>
    <w:tbl>
      <w:tblPr>
        <w:tblW w:w="5776" w:type="dxa"/>
        <w:jc w:val="left"/>
        <w:tblInd w:w="0" w:type="dxa"/>
        <w:tblLayout w:type="fixed"/>
        <w:tblCellMar>
          <w:top w:w="0" w:type="dxa"/>
          <w:left w:w="0" w:type="dxa"/>
          <w:bottom w:w="0" w:type="dxa"/>
          <w:right w:w="0" w:type="dxa"/>
        </w:tblCellMar>
      </w:tblPr>
      <w:tblGrid>
        <w:gridCol w:w="5776"/>
      </w:tblGrid>
      <w:tr>
        <w:trPr/>
        <w:tc>
          <w:tcPr>
            <w:tcW w:w="5776" w:type="dxa"/>
            <w:tcBorders/>
            <w:vAlign w:val="center"/>
          </w:tcPr>
          <w:p>
            <w:pPr>
              <w:pStyle w:val="TableContents"/>
              <w:bidi w:val="0"/>
              <w:spacing w:before="0" w:after="283"/>
              <w:ind w:left="0" w:right="0" w:hanging="0"/>
              <w:jc w:val="left"/>
              <w:rPr>
                <w:sz w:val="4"/>
                <w:szCs w:val="4"/>
              </w:rPr>
            </w:pPr>
            <w:r>
              <w:rPr>
                <w:sz w:val="4"/>
                <w:szCs w:val="4"/>
              </w:rPr>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w:t>
            </w:r>
          </w:p>
        </w:tc>
      </w:tr>
      <w:tr>
        <w:trPr/>
        <w:tc>
          <w:tcPr>
            <w:tcW w:w="57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866" w:name="_Hlk78445138"/>
      <w:bookmarkStart w:id="867" w:name="_Hlk78445093"/>
      <w:bookmarkStart w:id="868" w:name="a1SUMMARYOFSIGNIFICANTACCOUNTINGPOLICIES"/>
      <w:bookmarkStart w:id="869" w:name="_Hlk78445138"/>
      <w:bookmarkStart w:id="870" w:name="_Hlk78445093"/>
      <w:bookmarkStart w:id="871" w:name="a1SUMMARYOFSIGNIFICANTACCOUNTINGPOLICIES"/>
      <w:bookmarkEnd w:id="869"/>
      <w:bookmarkEnd w:id="870"/>
      <w:bookmarkEnd w:id="871"/>
    </w:p>
    <w:tbl>
      <w:tblPr>
        <w:tblW w:w="5571" w:type="dxa"/>
        <w:jc w:val="left"/>
        <w:tblInd w:w="0" w:type="dxa"/>
        <w:tblLayout w:type="fixed"/>
        <w:tblCellMar>
          <w:top w:w="28" w:type="dxa"/>
          <w:left w:w="28" w:type="dxa"/>
          <w:bottom w:w="28" w:type="dxa"/>
          <w:right w:w="28" w:type="dxa"/>
        </w:tblCellMar>
      </w:tblPr>
      <w:tblGrid>
        <w:gridCol w:w="124"/>
        <w:gridCol w:w="256"/>
        <w:gridCol w:w="5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519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SUMMARY OF SIGNIFICANT ACCOUNTING POLICIES</w:t>
            </w:r>
            <w:r>
              <w:rPr>
                <w:caps w:val="false"/>
                <w:smallCaps w:val="false"/>
              </w:rPr>
              <w:t xml:space="preserve"> </w:t>
            </w:r>
          </w:p>
        </w:tc>
      </w:tr>
    </w:tbl>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sz w:val="20"/>
        </w:rPr>
        <w:t>Nature of Business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Vertex, Inc. (“Vertex”) and its consolidated subsidiaries (collectively, the “Company”) operate as solutions providers of state, local, and value added tax calculation, compliance, and analytics, offering software products that are sold through software license and software as a service (“cloud”) subscriptions. The Company also provides implementation and training services in connection with its software license and cloud subscriptions, transaction tax returns outsourcing, and other tax-related services. The Company sells to customers located throughout the United States (“U.S.”) and internationally.</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Basis of Consolidation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condensed consolidated financial statements are prepared in accordance with accounting principles generally accepted in the U.S. (“GAAP”) and include the accounts of the Company. All intercompany transactions have been eliminated in consolidation.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March 2, 2026, the Company completed its acquisition of Brinta (defined in Note 3). The acquisition was accounted for as a business combination. Upon its acquisition, Brinta became a wholly owned subsidiary of the Company, and its operations have been included in the Company’s condensed consolidated financial statements commencing on the Acquisition Date (as defined below).</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Unaudited Interim Financial Information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accompanying unaudited interim condensed consolidated financial statements have been prepared pursuant to the rules and regulations of the Securities and Exchange Commission (the “SEC”) for interim financial information and include the accounts of the Company. Certain information and disclosures normally included in consolidated financial statements prepared in accordance with GAAP have been condensed or omitted. Accordingly, these interim condensed consolidated financial statements should be read in conjunction with the audited consolidated financial statements and the related notes for the year ended December 31, 2025 included in the Company’s Annual Report on Form 10-K for the year ended December 31, 2025 (the “2025 Annual Report”) filed with the SEC on February 24, 2026. The condensed consolidated balance sheet as of December 31, 2025 has been derived from audited financial statements included in the 2025 Annual Report. The accompanying interim condensed consolidated balance sheet as of March 31, 2026, the interim condensed consolidated statements of comprehensive income and changes in stockholders’ equity for the three months ended March 31, 2026 and 2025, and the interim condensed consolidated statements of cash flows for the three months ended March 31, 2026 and 2025 are unaudited. The unaudited interim condensed consolidated financial statements have been prepared on a basis consistent with that used to prepare the annual audited consolidated financial statements and include, in the opinion of management, all adjustments, consisting of normal and recurring items necessary for the fair presentation of the condensed consolidated financial statements. The operating results for the three months ended March 31, 2026 are not necessarily indicative of the results expected for the full year ending December 31, 2026.</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Use of Estimates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preparation of condensed consolidated financial statements requires management to make estimates and assumptions that affect the reported amounts of assets, liabilities, equity, revenues, and expenses during the reporting period. Significant estimates used in preparing these condensed consolidated financial statements include: (i) the estimated allowance for subscription cancellations; (ii) expected credit losses associated with the allowance for doubtful accounts; (iii) allowance for credit losses on available-for-sale debt securities; (iv) the reserve for self-insurance; (v) assumptions related to achievement of technological feasibility for software developed for sale; (vi) product life cycles; (vii) estimated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432" w:after="283"/>
        <w:jc w:val="left"/>
        <w:rPr>
          <w:sz w:val="4"/>
          <w:szCs w:val="4"/>
        </w:rPr>
      </w:pPr>
      <w:r>
        <w:rPr>
          <w:sz w:val="4"/>
          <w:szCs w:val="4"/>
        </w:rPr>
      </w:r>
      <w:bookmarkStart w:id="872" w:name="_6db42027_5db6_4923_a44f_591bae303bb9"/>
      <w:bookmarkStart w:id="873" w:name="_f136d7eb_2fe3_4313_947e_bfbde33cd0d2"/>
      <w:bookmarkStart w:id="874" w:name="_6db42027_5db6_4923_a44f_591bae303bb9"/>
      <w:bookmarkStart w:id="875" w:name="_f136d7eb_2fe3_4313_947e_bfbde33cd0d2"/>
      <w:bookmarkEnd w:id="874"/>
      <w:bookmarkEnd w:id="875"/>
    </w:p>
    <w:tbl>
      <w:tblPr>
        <w:tblW w:w="6766" w:type="dxa"/>
        <w:jc w:val="left"/>
        <w:tblInd w:w="0" w:type="dxa"/>
        <w:tblLayout w:type="fixed"/>
        <w:tblCellMar>
          <w:top w:w="0" w:type="dxa"/>
          <w:left w:w="0" w:type="dxa"/>
          <w:bottom w:w="0" w:type="dxa"/>
          <w:right w:w="0" w:type="dxa"/>
        </w:tblCellMar>
      </w:tblPr>
      <w:tblGrid>
        <w:gridCol w:w="6766"/>
      </w:tblGrid>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bookmarkStart w:id="876" w:name="Tc_Y0uNxFOhw0e1J3IA-e0dGg_20_4"/>
      <w:bookmarkStart w:id="877" w:name="Tc_07A28pwVxEi_SIhMRqS2Gg_20_1"/>
      <w:bookmarkStart w:id="878" w:name="Tc_njBR8-fK2EKqvngViZnd4Q_20_0"/>
      <w:bookmarkStart w:id="879" w:name="Tc_FkdhrMJSBEar40mifyi1kQ_19_0"/>
      <w:bookmarkStart w:id="880" w:name="Tc_yrOuPMp3306TF4SU8yD7Mw_18_0"/>
      <w:bookmarkStart w:id="881" w:name="Tc_y1TkPcTwHkWBwHFEgCi15g_17_4"/>
      <w:bookmarkStart w:id="882" w:name="Tc_2cKwGS0gp0y-A3w8Xq4ZSQ_17_1"/>
      <w:bookmarkStart w:id="883" w:name="Tc_0hFms9vLnkuCmjC6jM8PyA_17_0"/>
      <w:bookmarkStart w:id="884" w:name="Tc_GRvryGgo40Wn6w3Uf4jSgQ_16_0"/>
      <w:bookmarkStart w:id="885" w:name="Tc_pqPm--rMj0avzUDNg4hQPg_14_4"/>
      <w:bookmarkStart w:id="886" w:name="Tc_wCax3NEoWUmZUg2nSYvq2g_14_1"/>
      <w:bookmarkStart w:id="887" w:name="Tc_uZgXD4nTsUK8j7vL9JoIAg_14_0"/>
      <w:bookmarkStart w:id="888" w:name="Tc_6JWDFih_DEKP2EK-1RRwlA_13_0"/>
      <w:bookmarkStart w:id="889" w:name="Tc_fJanWv7bJkWjfMiiC0HXJA_12_4"/>
      <w:bookmarkStart w:id="890" w:name="Tc_Ih89Zjjq_0OqbcF0PEnXiA_12_1"/>
      <w:bookmarkStart w:id="891" w:name="Tc_EgPxi9KEXEGEQcFFa1WLEQ_12_0"/>
      <w:bookmarkStart w:id="892" w:name="Tc_gGTGKGuE80KS9ZaioVyGvg_11_0"/>
      <w:bookmarkStart w:id="893" w:name="Tc_NhacLXMgdEWTBsoI3XVQyQ_9_4"/>
      <w:bookmarkStart w:id="894" w:name="Tc_7s2z4bn0V0WzK3x2vyFZ0g_9_1"/>
      <w:bookmarkStart w:id="895" w:name="Tc_M_0Kfg6iZ0iodGmV4RYYzQ_9_0"/>
      <w:bookmarkStart w:id="896" w:name="Tc_MWoTK5RsMkmogs4Lmvj0CA_8_0"/>
      <w:bookmarkStart w:id="897" w:name="Tc_Zg1ldEhsdE-Yd5StjKCAyA_7_0"/>
      <w:bookmarkStart w:id="898" w:name="Tc_huktyG65R0SGa5hgizXzuQ_6_0"/>
      <w:bookmarkStart w:id="899" w:name="Tc_pdCldkd4dECEYMP5gW9IFQ_5_4"/>
      <w:bookmarkStart w:id="900" w:name="Tc_Pbg7dJ26C0usgg7Q_mQhqg_5_1"/>
      <w:bookmarkStart w:id="901" w:name="Tc_DOPi7ge1nkmbZkWwzhZaig_5_0"/>
      <w:bookmarkStart w:id="902" w:name="Tc_LS9WWYXIG0a_S948a2PBIQ_4_0"/>
      <w:bookmarkStart w:id="903" w:name="Tc_EouKfvK6VUOasgsevy8vRw_3_1"/>
      <w:bookmarkStart w:id="904" w:name="Tc_nWubjF05MECbnA8Z1Fz2tg_2_4"/>
      <w:bookmarkStart w:id="905" w:name="Tc_7zaiAdmviUqrkMZ7Pk-4DA_2_1"/>
      <w:bookmarkStart w:id="906" w:name="Tc_I4uB-Gtg1kKnlPmPeiYVdA_1_4"/>
      <w:bookmarkStart w:id="907" w:name="Tc_np7zxco2w0-rvNswUwz-CA_1_1"/>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r>
        <w:rPr>
          <w:rFonts w:ascii="Times New Roman;Times;serif" w:hAnsi="Times New Roman;Times;serif"/>
          <w:sz w:val="20"/>
        </w:rPr>
        <w:t xml:space="preserve">useful lives and potential impairment of long-lived assets, intangible assets, and capitalized cloud computing arrangement software implementation costs; (viii) potential impairment of goodwill; (ix) determination of the fair value of tangible and intangible assets acquired, liabilities assumed, and consideration transferred in acquisitions; (x) amortization period of deferred commissions; (xi) Black-Scholes-Merton option pricing model (“Black-Scholes model”) input assumptions used to determine the fair value of certain stock-based compensation awards and Employee Stock Purchase Plan (“ESPP”) purchase rights; (xii) measurement of future purchase commitment, fair value of contingent consideration liabilities related to cash and stock earn-out payments, contingent consideration and deferred purchase consideration liabilities associated with acquisitions; (xiii) measurements of long-term investment and warrant rights; and (xiv) the potential outcome of future tax consequences of events that have been recognized in the condensed consolidated financial statements or tax returns. Actual results may differ from these estimates. </w:t>
      </w:r>
    </w:p>
    <w:p>
      <w:pPr>
        <w:pStyle w:val="TextBody"/>
        <w:bidi w:val="0"/>
        <w:spacing w:before="0" w:after="0"/>
        <w:ind w:left="0" w:right="0" w:hanging="0"/>
        <w:jc w:val="both"/>
        <w:rPr/>
      </w:pPr>
      <w:r>
        <w:rPr/>
        <w:t>​</w:t>
      </w:r>
    </w:p>
    <w:p>
      <w:pPr>
        <w:pStyle w:val="TextBody"/>
        <w:bidi w:val="0"/>
        <w:spacing w:before="0" w:after="240"/>
        <w:ind w:left="0" w:right="0" w:firstLine="360"/>
        <w:jc w:val="left"/>
        <w:rPr>
          <w:rFonts w:ascii="Times New Roman;Times;serif" w:hAnsi="Times New Roman;Times;serif"/>
          <w:b/>
          <w:sz w:val="20"/>
        </w:rPr>
      </w:pPr>
      <w:r>
        <w:rPr>
          <w:rFonts w:ascii="Times New Roman;Times;serif" w:hAnsi="Times New Roman;Times;serif"/>
          <w:b/>
          <w:sz w:val="20"/>
        </w:rPr>
        <w:t>Supplemental Balance Sheet Disclosures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Supplemental balance sheet disclosures are as follows for the respective periods:</w:t>
      </w:r>
    </w:p>
    <w:p>
      <w:pPr>
        <w:pStyle w:val="TextBody"/>
        <w:bidi w:val="0"/>
        <w:spacing w:before="0" w:after="240"/>
        <w:ind w:left="0" w:right="0" w:firstLine="360"/>
        <w:jc w:val="both"/>
        <w:rPr/>
      </w:pPr>
      <w:r>
        <w:rPr/>
        <w:t>​</w:t>
      </w:r>
    </w:p>
    <w:tbl>
      <w:tblPr>
        <w:tblW w:w="7422" w:type="dxa"/>
        <w:jc w:val="left"/>
        <w:tblInd w:w="0" w:type="dxa"/>
        <w:tblLayout w:type="fixed"/>
        <w:tblCellMar>
          <w:top w:w="0" w:type="dxa"/>
          <w:left w:w="0" w:type="dxa"/>
          <w:bottom w:w="0" w:type="dxa"/>
          <w:right w:w="0" w:type="dxa"/>
        </w:tblCellMar>
      </w:tblPr>
      <w:tblGrid>
        <w:gridCol w:w="4396"/>
        <w:gridCol w:w="314"/>
        <w:gridCol w:w="1006"/>
        <w:gridCol w:w="146"/>
        <w:gridCol w:w="328"/>
        <w:gridCol w:w="1232"/>
      </w:tblGrid>
      <w:tr>
        <w:trPr/>
        <w:tc>
          <w:tcPr>
            <w:tcW w:w="4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791460" cy="175260"/>
                      <wp:effectExtent l="0" t="0" r="0" b="0"/>
                      <wp:wrapNone/>
                      <wp:docPr id="48" name="Frame48"/>
                      <a:graphic xmlns:a="http://schemas.openxmlformats.org/drawingml/2006/main">
                        <a:graphicData uri="http://schemas.microsoft.com/office/word/2010/wordprocessingShape">
                          <wps:wsp>
                            <wps:cNvSpPr txBox="1"/>
                            <wps:spPr>
                              <a:xfrm>
                                <a:off x="0" y="0"/>
                                <a:ext cx="2791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99390" cy="175260"/>
                      <wp:effectExtent l="0" t="0" r="0" b="0"/>
                      <wp:wrapNone/>
                      <wp:docPr id="49" name="Frame49"/>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38810" cy="175260"/>
                      <wp:effectExtent l="0" t="0" r="0" b="0"/>
                      <wp:wrapNone/>
                      <wp:docPr id="50" name="Frame50"/>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92710" cy="175260"/>
                      <wp:effectExtent l="0" t="0" r="0" b="0"/>
                      <wp:wrapNone/>
                      <wp:docPr id="51" name="Frame5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8280" cy="175260"/>
                      <wp:effectExtent l="0" t="0" r="0" b="0"/>
                      <wp:wrapNone/>
                      <wp:docPr id="52" name="Frame52"/>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782320" cy="175260"/>
                      <wp:effectExtent l="0" t="0" r="0" b="0"/>
                      <wp:wrapNone/>
                      <wp:docPr id="53" name="Frame53"/>
                      <a:graphic xmlns:a="http://schemas.openxmlformats.org/drawingml/2006/main">
                        <a:graphicData uri="http://schemas.microsoft.com/office/word/2010/wordprocessingShape">
                          <wps:wsp>
                            <wps:cNvSpPr txBox="1"/>
                            <wps:spPr>
                              <a:xfrm>
                                <a:off x="0" y="0"/>
                                <a:ext cx="782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96" w:type="dxa"/>
            <w:tcBorders/>
            <w:vAlign w:val="center"/>
          </w:tcPr>
          <w:p>
            <w:pPr>
              <w:pStyle w:val="TableContents"/>
              <w:bidi w:val="0"/>
              <w:spacing w:before="0" w:after="0"/>
              <w:ind w:left="0" w:right="0" w:hanging="0"/>
              <w:jc w:val="left"/>
              <w:rPr/>
            </w:pPr>
            <w:r>
              <w:rPr/>
              <w:t>​</w:t>
            </w:r>
          </w:p>
        </w:tc>
        <w:tc>
          <w:tcPr>
            <w:tcW w:w="13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March 31, </w:t>
            </w:r>
          </w:p>
        </w:tc>
        <w:tc>
          <w:tcPr>
            <w:tcW w:w="146" w:type="dxa"/>
            <w:tcBorders/>
            <w:vAlign w:val="center"/>
          </w:tcPr>
          <w:p>
            <w:pPr>
              <w:pStyle w:val="TableContents"/>
              <w:bidi w:val="0"/>
              <w:spacing w:before="0" w:after="0"/>
              <w:ind w:left="0" w:right="0" w:hanging="0"/>
              <w:jc w:val="left"/>
              <w:rPr/>
            </w:pPr>
            <w:r>
              <w:rPr/>
              <w:t>​</w:t>
            </w:r>
          </w:p>
        </w:tc>
        <w:tc>
          <w:tcPr>
            <w:tcW w:w="156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4396" w:type="dxa"/>
            <w:tcBorders/>
            <w:vAlign w:val="center"/>
          </w:tcPr>
          <w:p>
            <w:pPr>
              <w:pStyle w:val="TableContents"/>
              <w:bidi w:val="0"/>
              <w:spacing w:before="0" w:after="0"/>
              <w:ind w:left="0" w:right="0" w:hanging="0"/>
              <w:jc w:val="left"/>
              <w:rPr/>
            </w:pPr>
            <w:r>
              <w:rPr/>
              <w:t>​</w:t>
            </w:r>
          </w:p>
        </w:tc>
        <w:tc>
          <w:tcPr>
            <w:tcW w:w="13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46" w:type="dxa"/>
            <w:tcBorders/>
            <w:vAlign w:val="center"/>
          </w:tcPr>
          <w:p>
            <w:pPr>
              <w:pStyle w:val="TableContents"/>
              <w:bidi w:val="0"/>
              <w:spacing w:before="0" w:after="0"/>
              <w:ind w:left="0" w:right="0" w:hanging="0"/>
              <w:jc w:val="center"/>
              <w:rPr/>
            </w:pPr>
            <w:r>
              <w:rPr/>
              <w:t>​</w:t>
            </w:r>
          </w:p>
        </w:tc>
        <w:tc>
          <w:tcPr>
            <w:tcW w:w="15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396" w:type="dxa"/>
            <w:tcBorders/>
            <w:vAlign w:val="center"/>
          </w:tcPr>
          <w:p>
            <w:pPr>
              <w:pStyle w:val="TableContents"/>
              <w:bidi w:val="0"/>
              <w:spacing w:before="0" w:after="0"/>
              <w:ind w:left="0" w:right="0" w:hanging="0"/>
              <w:jc w:val="left"/>
              <w:rPr/>
            </w:pPr>
            <w:r>
              <w:rPr/>
              <w:t>​</w:t>
            </w:r>
          </w:p>
        </w:tc>
        <w:tc>
          <w:tcPr>
            <w:tcW w:w="13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4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232" w:type="dxa"/>
            <w:tcBorders/>
            <w:vAlign w:val="center"/>
          </w:tcPr>
          <w:p>
            <w:pPr>
              <w:pStyle w:val="TableContents"/>
              <w:bidi w:val="0"/>
              <w:spacing w:before="0" w:after="0"/>
              <w:ind w:left="0" w:right="0" w:hanging="0"/>
              <w:jc w:val="left"/>
              <w:rPr/>
            </w:pPr>
            <w:r>
              <w:rPr/>
              <w:t>​</w:t>
            </w:r>
          </w:p>
        </w:tc>
      </w:tr>
      <w:tr>
        <w:trPr/>
        <w:tc>
          <w:tcPr>
            <w:tcW w:w="43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Prepaid expenses and other current assets:</w:t>
            </w:r>
          </w:p>
        </w:tc>
        <w:tc>
          <w:tcPr>
            <w:tcW w:w="314"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328" w:type="dxa"/>
            <w:tcBorders/>
            <w:shd w:fill="CCEEFF" w:val="clear"/>
            <w:vAlign w:val="center"/>
          </w:tcPr>
          <w:p>
            <w:pPr>
              <w:pStyle w:val="TableContents"/>
              <w:bidi w:val="0"/>
              <w:spacing w:before="0" w:after="0"/>
              <w:ind w:left="0" w:right="0" w:hanging="0"/>
              <w:jc w:val="left"/>
              <w:rPr/>
            </w:pPr>
            <w:r>
              <w:rPr/>
              <w:t>​</w:t>
            </w:r>
          </w:p>
        </w:tc>
        <w:tc>
          <w:tcPr>
            <w:tcW w:w="1232" w:type="dxa"/>
            <w:tcBorders/>
            <w:shd w:fill="CCEEFF" w:val="clear"/>
            <w:vAlign w:val="center"/>
          </w:tcPr>
          <w:p>
            <w:pPr>
              <w:pStyle w:val="TableContents"/>
              <w:bidi w:val="0"/>
              <w:spacing w:before="0" w:after="0"/>
              <w:ind w:left="0" w:right="0" w:hanging="0"/>
              <w:jc w:val="right"/>
              <w:rPr/>
            </w:pPr>
            <w:r>
              <w:rPr/>
              <w:t>  ​</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w:t>
            </w:r>
          </w:p>
        </w:tc>
        <w:tc>
          <w:tcPr>
            <w:tcW w:w="3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25,715</w:t>
            </w:r>
          </w:p>
        </w:tc>
        <w:tc>
          <w:tcPr>
            <w:tcW w:w="14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13,068</w:t>
            </w:r>
          </w:p>
        </w:tc>
      </w:tr>
      <w:tr>
        <w:trPr/>
        <w:tc>
          <w:tcPr>
            <w:tcW w:w="4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Unamortized cloud computing implementation costs</w:t>
            </w:r>
          </w:p>
        </w:tc>
        <w:tc>
          <w:tcPr>
            <w:tcW w:w="314"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6,416</w:t>
            </w:r>
          </w:p>
        </w:tc>
        <w:tc>
          <w:tcPr>
            <w:tcW w:w="14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2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4,666</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insurance</w:t>
            </w:r>
          </w:p>
        </w:tc>
        <w:tc>
          <w:tcPr>
            <w:tcW w:w="314"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1,240</w:t>
            </w:r>
          </w:p>
        </w:tc>
        <w:tc>
          <w:tcPr>
            <w:tcW w:w="14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2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1,229</w:t>
            </w:r>
          </w:p>
        </w:tc>
      </w:tr>
      <w:tr>
        <w:trPr/>
        <w:tc>
          <w:tcPr>
            <w:tcW w:w="4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licenses and support</w:t>
            </w:r>
          </w:p>
        </w:tc>
        <w:tc>
          <w:tcPr>
            <w:tcW w:w="3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25,987</w:t>
            </w:r>
          </w:p>
        </w:tc>
        <w:tc>
          <w:tcPr>
            <w:tcW w:w="146" w:type="dxa"/>
            <w:tcBorders/>
            <w:shd w:fill="CCEEFF" w:val="clear"/>
            <w:vAlign w:val="center"/>
          </w:tcPr>
          <w:p>
            <w:pPr>
              <w:pStyle w:val="TableContents"/>
              <w:bidi w:val="0"/>
              <w:spacing w:before="0" w:after="0"/>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20,003</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59,358</w:t>
            </w:r>
          </w:p>
        </w:tc>
        <w:tc>
          <w:tcPr>
            <w:tcW w:w="146" w:type="dxa"/>
            <w:tcBorders/>
            <w:vAlign w:val="center"/>
          </w:tcPr>
          <w:p>
            <w:pPr>
              <w:pStyle w:val="TableContents"/>
              <w:bidi w:val="0"/>
              <w:spacing w:before="0" w:after="0"/>
              <w:ind w:left="0" w:right="0" w:hanging="0"/>
              <w:jc w:val="left"/>
              <w:rPr/>
            </w:pPr>
            <w:r>
              <w:rPr/>
              <w:t>​</w:t>
            </w:r>
          </w:p>
        </w:tc>
        <w:tc>
          <w:tcPr>
            <w:tcW w:w="3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38,966</w:t>
            </w:r>
          </w:p>
        </w:tc>
      </w:tr>
      <w:tr>
        <w:trPr/>
        <w:tc>
          <w:tcPr>
            <w:tcW w:w="439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232" w:type="dxa"/>
            <w:tcBorders/>
            <w:shd w:fill="CCEEFF" w:val="clear"/>
            <w:vAlign w:val="center"/>
          </w:tcPr>
          <w:p>
            <w:pPr>
              <w:pStyle w:val="TableContents"/>
              <w:bidi w:val="0"/>
              <w:spacing w:before="0" w:after="0"/>
              <w:ind w:left="0" w:right="0" w:hanging="0"/>
              <w:jc w:val="right"/>
              <w:rPr/>
            </w:pPr>
            <w:r>
              <w:rPr/>
              <w:t>​</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assets:</w:t>
            </w:r>
          </w:p>
        </w:tc>
        <w:tc>
          <w:tcPr>
            <w:tcW w:w="314"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32" w:type="dxa"/>
            <w:tcBorders/>
            <w:vAlign w:val="center"/>
          </w:tcPr>
          <w:p>
            <w:pPr>
              <w:pStyle w:val="TableContents"/>
              <w:bidi w:val="0"/>
              <w:spacing w:before="0" w:after="0"/>
              <w:ind w:left="0" w:right="0" w:hanging="0"/>
              <w:jc w:val="right"/>
              <w:rPr/>
            </w:pPr>
            <w:r>
              <w:rPr/>
              <w:t>​</w:t>
            </w:r>
          </w:p>
        </w:tc>
      </w:tr>
      <w:tr>
        <w:trPr/>
        <w:tc>
          <w:tcPr>
            <w:tcW w:w="4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Unamortized cloud computing implementation costs</w:t>
            </w:r>
          </w:p>
        </w:tc>
        <w:tc>
          <w:tcPr>
            <w:tcW w:w="3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5,964</w:t>
            </w:r>
          </w:p>
        </w:tc>
        <w:tc>
          <w:tcPr>
            <w:tcW w:w="14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8,518</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assets </w:t>
            </w:r>
          </w:p>
        </w:tc>
        <w:tc>
          <w:tcPr>
            <w:tcW w:w="3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4,042</w:t>
            </w:r>
          </w:p>
        </w:tc>
        <w:tc>
          <w:tcPr>
            <w:tcW w:w="146" w:type="dxa"/>
            <w:tcBorders/>
            <w:vAlign w:val="center"/>
          </w:tcPr>
          <w:p>
            <w:pPr>
              <w:pStyle w:val="TableContents"/>
              <w:bidi w:val="0"/>
              <w:spacing w:before="0" w:after="0"/>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3,727</w:t>
            </w:r>
          </w:p>
        </w:tc>
      </w:tr>
      <w:tr>
        <w:trPr/>
        <w:tc>
          <w:tcPr>
            <w:tcW w:w="4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assets</w:t>
            </w:r>
          </w:p>
        </w:tc>
        <w:tc>
          <w:tcPr>
            <w:tcW w:w="3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10,006</w:t>
            </w:r>
          </w:p>
        </w:tc>
        <w:tc>
          <w:tcPr>
            <w:tcW w:w="146" w:type="dxa"/>
            <w:tcBorders/>
            <w:shd w:fill="CCEEFF" w:val="clear"/>
            <w:vAlign w:val="center"/>
          </w:tcPr>
          <w:p>
            <w:pPr>
              <w:pStyle w:val="TableContents"/>
              <w:bidi w:val="0"/>
              <w:spacing w:before="0" w:after="0"/>
              <w:ind w:left="0" w:right="0" w:hanging="0"/>
              <w:jc w:val="left"/>
              <w:rPr/>
            </w:pPr>
            <w:r>
              <w:rPr/>
              <w:t>​</w:t>
            </w:r>
          </w:p>
        </w:tc>
        <w:tc>
          <w:tcPr>
            <w:tcW w:w="3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12,245</w:t>
            </w:r>
          </w:p>
        </w:tc>
      </w:tr>
      <w:tr>
        <w:trPr/>
        <w:tc>
          <w:tcPr>
            <w:tcW w:w="439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232" w:type="dxa"/>
            <w:tcBorders/>
            <w:vAlign w:val="center"/>
          </w:tcPr>
          <w:p>
            <w:pPr>
              <w:pStyle w:val="TableContents"/>
              <w:bidi w:val="0"/>
              <w:spacing w:before="0" w:after="0"/>
              <w:ind w:left="0" w:right="0" w:hanging="0"/>
              <w:jc w:val="right"/>
              <w:rPr/>
            </w:pPr>
            <w:r>
              <w:rPr/>
              <w:t>​</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Accrued expenses:</w:t>
            </w:r>
          </w:p>
        </w:tc>
        <w:tc>
          <w:tcPr>
            <w:tcW w:w="314"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232" w:type="dxa"/>
            <w:tcBorders/>
            <w:vAlign w:val="center"/>
          </w:tcPr>
          <w:p>
            <w:pPr>
              <w:pStyle w:val="TableContents"/>
              <w:bidi w:val="0"/>
              <w:spacing w:before="0" w:after="0"/>
              <w:ind w:left="0" w:right="0" w:hanging="0"/>
              <w:jc w:val="right"/>
              <w:rPr/>
            </w:pPr>
            <w:r>
              <w:rPr/>
              <w:t>​</w:t>
            </w:r>
          </w:p>
        </w:tc>
      </w:tr>
      <w:tr>
        <w:trPr/>
        <w:tc>
          <w:tcPr>
            <w:tcW w:w="4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general expenses</w:t>
            </w:r>
          </w:p>
        </w:tc>
        <w:tc>
          <w:tcPr>
            <w:tcW w:w="3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16,436</w:t>
            </w:r>
          </w:p>
        </w:tc>
        <w:tc>
          <w:tcPr>
            <w:tcW w:w="14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18,918</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contract labor and professional fees</w:t>
            </w:r>
          </w:p>
        </w:tc>
        <w:tc>
          <w:tcPr>
            <w:tcW w:w="314"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14,124</w:t>
            </w:r>
          </w:p>
        </w:tc>
        <w:tc>
          <w:tcPr>
            <w:tcW w:w="14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2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17,624</w:t>
            </w:r>
          </w:p>
        </w:tc>
      </w:tr>
      <w:tr>
        <w:trPr/>
        <w:tc>
          <w:tcPr>
            <w:tcW w:w="4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income and other taxes</w:t>
            </w:r>
          </w:p>
        </w:tc>
        <w:tc>
          <w:tcPr>
            <w:tcW w:w="3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6,047</w:t>
            </w:r>
          </w:p>
        </w:tc>
        <w:tc>
          <w:tcPr>
            <w:tcW w:w="146" w:type="dxa"/>
            <w:tcBorders/>
            <w:shd w:fill="CCEEFF" w:val="clear"/>
            <w:vAlign w:val="center"/>
          </w:tcPr>
          <w:p>
            <w:pPr>
              <w:pStyle w:val="TableContents"/>
              <w:bidi w:val="0"/>
              <w:spacing w:before="0" w:after="0"/>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7,100</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36,607</w:t>
            </w:r>
          </w:p>
        </w:tc>
        <w:tc>
          <w:tcPr>
            <w:tcW w:w="146" w:type="dxa"/>
            <w:tcBorders/>
            <w:vAlign w:val="center"/>
          </w:tcPr>
          <w:p>
            <w:pPr>
              <w:pStyle w:val="TableContents"/>
              <w:bidi w:val="0"/>
              <w:spacing w:before="0" w:after="0"/>
              <w:ind w:left="0" w:right="0" w:hanging="0"/>
              <w:jc w:val="left"/>
              <w:rPr/>
            </w:pPr>
            <w:r>
              <w:rPr/>
              <w:t>​</w:t>
            </w:r>
          </w:p>
        </w:tc>
        <w:tc>
          <w:tcPr>
            <w:tcW w:w="3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2"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43,642</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Cloud computing software implementation costs incurred in hosting arrangements are capitalized and included as a component of prepaid expenses and other current assets, or other assets, once available for their intended use. These costs are amortized using the straight-line method over their respective contract service periods, including periods covered by an option to extend, ranging from </w:t>
      </w:r>
      <w:r>
        <w:rPr>
          <w:rFonts w:ascii="Times New Roman;Times;serif" w:hAnsi="Times New Roman;Times;serif"/>
          <w:b w:val="false"/>
          <w:i w:val="false"/>
          <w:caps w:val="false"/>
          <w:smallCaps w:val="false"/>
          <w:sz w:val="20"/>
        </w:rPr>
        <w:t>two</w:t>
      </w:r>
      <w:r>
        <w:rPr>
          <w:rFonts w:ascii="Times New Roman;Times;serif" w:hAnsi="Times New Roman;Times;serif"/>
          <w:sz w:val="20"/>
        </w:rPr>
        <w:t xml:space="preserve"> to five years. Amortization expense for capitalized cloud computing implementation costs for the three months ended March 31, 2026 and 2025 were $1,037 and $1,006, respectively, and are included in general and administrative expense in the condensed consolidated statements of comprehensive income.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766" w:type="dxa"/>
        <w:jc w:val="left"/>
        <w:tblInd w:w="0" w:type="dxa"/>
        <w:tblLayout w:type="fixed"/>
        <w:tblCellMar>
          <w:top w:w="0" w:type="dxa"/>
          <w:left w:w="0" w:type="dxa"/>
          <w:bottom w:w="0" w:type="dxa"/>
          <w:right w:w="0" w:type="dxa"/>
        </w:tblCellMar>
      </w:tblPr>
      <w:tblGrid>
        <w:gridCol w:w="6766"/>
      </w:tblGrid>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Recently Issued Accounting Pronouncements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i/>
          <w:sz w:val="20"/>
        </w:rPr>
      </w:pPr>
      <w:r>
        <w:rPr>
          <w:rFonts w:ascii="Times New Roman;Times;serif" w:hAnsi="Times New Roman;Times;serif"/>
          <w:i/>
          <w:sz w:val="20"/>
        </w:rPr>
        <w:t>Interim Reporting (Topic 270): Narrow-Scope Improvements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December 2025, the Financial Accounting Standards Board (the “FASB”) issued Accounting Standards Update (“ASU”) 2025-11, Interim Reporting (Topic 270): Narrow-Scope Improvements. The standard provides clarifications intended to improve the consistency and usability of interim disclosure requirements, including a comprehensive listing of required interim disclosures and a new disclosure principle for reporting material events occurring after the most recent annual period. The standard does not change the fundamental nature of interim reporting. The standard is effective for fiscal years beginning after December 15, 2027, including interim periods within those fiscal years. The Company is currently evaluating the impact of the standard on its interim reporting processes, including updates to disclosure controls, and interim footnote structure. However, the Company does not expect the adoption of the standard to have a material impact on its consolidated financial statements.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i/>
          <w:sz w:val="20"/>
        </w:rPr>
      </w:pPr>
      <w:r>
        <w:rPr>
          <w:rFonts w:ascii="Times New Roman;Times;serif" w:hAnsi="Times New Roman;Times;serif"/>
          <w:i/>
          <w:sz w:val="20"/>
        </w:rPr>
        <w:t xml:space="preserve">Targeted Improvements to the Accounting for Internal-Use Software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September 2025, the FASB issued ASU 2025-06, Intangibles-Goodwill and Other-Internal-Use Software (Subtopic 350-40): Targeted Improvements to the Accounting for Internal-Use Software. ASU 2025-06 replaces the existing stage based capitalization model with a principles-based approach. Under the new guidance, software development costs are capitalized only when (i) management has authorized and committed to funding the software project, and (ii) it is probable that the project will be completed and the software will be used to perform its intended function. The standard also consolidates guidance for website development costs from Subtopic 350-50 into Subtopic 350-40 and introduces enhanced disclosure requirements related to capitalized software costs. The standard is effective for annual reporting periods beginning after December 15, 2027, including interim reporting periods within those fiscal years. The standard can be adopted retrospectively, prospectively or on a modified prospective basis, and early adoption is permitted as of the beginning of an annual reporting period, provided that the financial statements for that period have not yet been issued or made available for issuance. The Company is currently evaluating the impact of the standard on its consolidated financial statements and related disclosures and will determine the appropriate transition method prior to adoption.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i/>
          <w:sz w:val="20"/>
        </w:rPr>
      </w:pPr>
      <w:r>
        <w:rPr>
          <w:rFonts w:ascii="Times New Roman;Times;serif" w:hAnsi="Times New Roman;Times;serif"/>
          <w:i/>
          <w:sz w:val="20"/>
        </w:rPr>
        <w:t xml:space="preserve">Disaggregation of Income Statement Expenses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November 2024, the FASB issued ASU 2024-03, Income Statement - Reporting Comprehensive Income - Expense Disaggregation Disclosures (Subtopic 220-40): Disaggregation of Income Statement Expenses. Entities will be required to provide disaggregation of certain expense captions into specified categories in disclosures within the footnotes to the financial statements for both interim and annual reporting periods. The standard does not change the expense captions that an entity presents on the face of the income statement. The standard will be effective for annual reporting periods beginning after December 15, 2026, and for interim reporting periods for annual reporting periods beginning after December 15, 2027, with early adoption permitted. Entities are required to adopt the standard prospectively; however, entities are permitted to apply the amendments retrospectively to any or all prior periods presented in the financial statements. The Company is continuing to assess the potential impacts of the standard but does not expect this standard to have a material effect on its financial statements, other than the required changes to the disclosures.</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766" w:type="dxa"/>
        <w:jc w:val="left"/>
        <w:tblInd w:w="0" w:type="dxa"/>
        <w:tblLayout w:type="fixed"/>
        <w:tblCellMar>
          <w:top w:w="0" w:type="dxa"/>
          <w:left w:w="0" w:type="dxa"/>
          <w:bottom w:w="0" w:type="dxa"/>
          <w:right w:w="0" w:type="dxa"/>
        </w:tblCellMar>
      </w:tblPr>
      <w:tblGrid>
        <w:gridCol w:w="6766"/>
      </w:tblGrid>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08" w:name="Tc_b87PvEFc7k2Yex0mBUd-oA_5_5"/>
      <w:bookmarkStart w:id="909" w:name="Tc_qaJFLxjm30CR9a6Nnx2uOw_5_2"/>
      <w:bookmarkStart w:id="910" w:name="Tc_lvhB22lc00-ajWfas5D8EA_5_0"/>
      <w:bookmarkStart w:id="911" w:name="Tc_niRoGM28BUGKuflhAOXVNw_4_0"/>
      <w:bookmarkStart w:id="912" w:name="Tc_TAzKyPMr5EeVCq_Xa8HlHg_3_5"/>
      <w:bookmarkStart w:id="913" w:name="Tc_SHsq-yTIQUuRBZLyJUywmw_3_2"/>
      <w:bookmarkStart w:id="914" w:name="Tc_OB2d224qS0irsR8Oz_I5qw_3_0"/>
      <w:bookmarkStart w:id="915" w:name="Tc_XJ-Gxg1a5UKmP3442QXP5A_2_2"/>
      <w:bookmarkStart w:id="916" w:name="Tc_2P8e5BrCpkexG2SC_bz4ug_1_5"/>
      <w:bookmarkStart w:id="917" w:name="Tc_ewyh7OQ2YE6mHQQmRli_QA_1_2"/>
      <w:bookmarkStart w:id="918" w:name="Tc_bY5vUUCEd0yYWmntjZe-xQ_9_5"/>
      <w:bookmarkStart w:id="919" w:name="Tc_vQGJLes5vEaa1OC83rLkrw_9_2"/>
      <w:bookmarkStart w:id="920" w:name="Tc_X55Zj4O3v0-9hBRZGf4waQ_9_0"/>
      <w:bookmarkStart w:id="921" w:name="Tc_kOT_AhRg4kmF-9dk9F4mfg_8_0"/>
      <w:bookmarkStart w:id="922" w:name="Tc_aj09aSWV8EejM4OBkRonCQ_7_0"/>
      <w:bookmarkStart w:id="923" w:name="Tc_Nwyl0lV-ZUKfvv6JBj9W6Q_6_0"/>
      <w:bookmarkStart w:id="924" w:name="Tc__pyNwxDvdku0YfD2Us6l3g_5_5"/>
      <w:bookmarkStart w:id="925" w:name="Tc_WR9LzWmuwkaofAnoJhv9SA_5_2"/>
      <w:bookmarkStart w:id="926" w:name="Tc_Tf6ducFj2UaEa2tn893tWA_5_0"/>
      <w:bookmarkStart w:id="927" w:name="Tc_dpdK_Zy5BUSLsW_FTcyGiQ_4_0"/>
      <w:bookmarkStart w:id="928" w:name="Tc_O7U_Z5iFL06A200nZpGCog_3_2"/>
      <w:bookmarkStart w:id="929" w:name="Tc_ukG2gs7JRUG1n1IoRE1eCw_2_5"/>
      <w:bookmarkStart w:id="930" w:name="Tc_AFkJTbK3rEmnXcIAA7wTKQ_2_3"/>
      <w:bookmarkStart w:id="931" w:name="Tc_R5n8Yc_u5US8XFFEQoaBew_1_2"/>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r>
        <w:rPr>
          <w:rFonts w:ascii="Times New Roman;Times;serif" w:hAnsi="Times New Roman;Times;serif"/>
          <w:b/>
          <w:sz w:val="20"/>
        </w:rPr>
        <w:t>2.     REVENUE RECOGNITION</w:t>
      </w:r>
    </w:p>
    <w:p>
      <w:pPr>
        <w:pStyle w:val="TextBody"/>
        <w:bidi w:val="0"/>
        <w:spacing w:before="0" w:after="240"/>
        <w:ind w:left="0" w:right="0" w:firstLine="360"/>
        <w:jc w:val="left"/>
        <w:rPr>
          <w:rFonts w:ascii="Times New Roman;Times;serif" w:hAnsi="Times New Roman;Times;serif"/>
          <w:b w:val="false"/>
          <w:i/>
          <w:sz w:val="20"/>
        </w:rPr>
      </w:pPr>
      <w:r>
        <w:rPr>
          <w:rFonts w:ascii="Times New Roman;Times;serif" w:hAnsi="Times New Roman;Times;serif"/>
          <w:b w:val="false"/>
          <w:i/>
          <w:sz w:val="20"/>
        </w:rPr>
        <w:t>Disaggregation of revenue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table reflects revenue by major source for the following periods:</w:t>
      </w:r>
    </w:p>
    <w:p>
      <w:pPr>
        <w:pStyle w:val="TextBody"/>
        <w:bidi w:val="0"/>
        <w:spacing w:before="0" w:after="0"/>
        <w:ind w:left="0" w:right="0" w:hanging="0"/>
        <w:jc w:val="left"/>
        <w:rPr/>
      </w:pPr>
      <w:r>
        <w:rPr/>
        <w:t>​</w:t>
      </w:r>
    </w:p>
    <w:tbl>
      <w:tblPr>
        <w:tblW w:w="4802" w:type="dxa"/>
        <w:jc w:val="left"/>
        <w:tblInd w:w="0" w:type="dxa"/>
        <w:tblLayout w:type="fixed"/>
        <w:tblCellMar>
          <w:top w:w="0" w:type="dxa"/>
          <w:left w:w="0" w:type="dxa"/>
          <w:bottom w:w="0" w:type="dxa"/>
          <w:right w:w="0" w:type="dxa"/>
        </w:tblCellMar>
      </w:tblPr>
      <w:tblGrid>
        <w:gridCol w:w="2011"/>
        <w:gridCol w:w="346"/>
        <w:gridCol w:w="211"/>
        <w:gridCol w:w="781"/>
        <w:gridCol w:w="346"/>
        <w:gridCol w:w="211"/>
        <w:gridCol w:w="896"/>
      </w:tblGrid>
      <w:tr>
        <w:trPr/>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276985" cy="175260"/>
                      <wp:effectExtent l="0" t="0" r="0" b="0"/>
                      <wp:wrapNone/>
                      <wp:docPr id="54" name="Frame54"/>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9710" cy="175260"/>
                      <wp:effectExtent l="0" t="0" r="0" b="0"/>
                      <wp:wrapNone/>
                      <wp:docPr id="55" name="Frame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33985" cy="175260"/>
                      <wp:effectExtent l="0" t="0" r="0" b="0"/>
                      <wp:wrapNone/>
                      <wp:docPr id="56" name="Frame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495935" cy="175260"/>
                      <wp:effectExtent l="0" t="0" r="0" b="0"/>
                      <wp:wrapNone/>
                      <wp:docPr id="57" name="Frame5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9710" cy="175260"/>
                      <wp:effectExtent l="0" t="0" r="0" b="0"/>
                      <wp:wrapNone/>
                      <wp:docPr id="58"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33985" cy="175260"/>
                      <wp:effectExtent l="0" t="0" r="0" b="0"/>
                      <wp:wrapNone/>
                      <wp:docPr id="59" name="Frame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568960" cy="175260"/>
                      <wp:effectExtent l="0" t="0" r="0" b="0"/>
                      <wp:wrapNone/>
                      <wp:docPr id="60" name="Frame60"/>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20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802"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0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244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201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Software subscriptions: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6" w:type="dxa"/>
            <w:tcBorders/>
            <w:shd w:fill="CCEEFF" w:val="clear"/>
            <w:vAlign w:val="center"/>
          </w:tcPr>
          <w:p>
            <w:pPr>
              <w:pStyle w:val="TableContents"/>
              <w:bidi w:val="0"/>
              <w:spacing w:before="0" w:after="0"/>
              <w:ind w:left="0" w:right="0" w:hanging="0"/>
              <w:jc w:val="right"/>
              <w:rPr/>
            </w:pPr>
            <w:r>
              <w:rPr/>
              <w:t>  ​</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 licenses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70,376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70,611</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Cloud subscriptions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96,770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80,150</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 subscriptions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167,146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150,761</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26,301</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196,646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177,062</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Contract balances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Timing of revenue recognition may differ from the timing of invoicing customers. A receivable is recorded in the condensed consolidated balance sheets when customers are billed related to revenue to be collected and recognized for subscription agreements as there is an unconditional right to invoice and receive payment in the future related to these subscriptions. A receivable and related revenue may also be recorded in advance of billings to the extent services have been performed and the Company has a right under the contract to bill and collect for such performance. Subscription-based customers are generally invoiced annually at the beginning of each annual subscription period. Accounts receivable is presented net of an allowance for potentially uncollectible accounts and estimated cancellations of software license and cloud-based subscriptions (the “allowance”) of $13,225 and $11,466 at March 31, 2026 and December 31, 2025, respectively. The allowance for potentially uncollectible accounts represents future expected credit losses over the life of the receivables based on past experience, current information and forward-looking economic considerations.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beginning and ending balances of accounts receivable, net of allowance, are as follows:</w:t>
      </w:r>
    </w:p>
    <w:p>
      <w:pPr>
        <w:pStyle w:val="TextBody"/>
        <w:bidi w:val="0"/>
        <w:spacing w:before="0" w:after="0"/>
        <w:ind w:left="0" w:right="0" w:hanging="0"/>
        <w:jc w:val="left"/>
        <w:rPr/>
      </w:pPr>
      <w:r>
        <w:rPr/>
        <w:t>​</w:t>
      </w:r>
    </w:p>
    <w:tbl>
      <w:tblPr>
        <w:tblW w:w="8979" w:type="dxa"/>
        <w:jc w:val="left"/>
        <w:tblInd w:w="0" w:type="dxa"/>
        <w:tblLayout w:type="fixed"/>
        <w:tblCellMar>
          <w:top w:w="0" w:type="dxa"/>
          <w:left w:w="0" w:type="dxa"/>
          <w:bottom w:w="0" w:type="dxa"/>
          <w:right w:w="0" w:type="dxa"/>
        </w:tblCellMar>
      </w:tblPr>
      <w:tblGrid>
        <w:gridCol w:w="2491"/>
        <w:gridCol w:w="109"/>
        <w:gridCol w:w="701"/>
        <w:gridCol w:w="2599"/>
        <w:gridCol w:w="109"/>
        <w:gridCol w:w="603"/>
        <w:gridCol w:w="2367"/>
      </w:tblGrid>
      <w:tr>
        <w:trPr/>
        <w:tc>
          <w:tcPr>
            <w:tcW w:w="2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581785" cy="175260"/>
                      <wp:effectExtent l="0" t="0" r="0" b="0"/>
                      <wp:wrapNone/>
                      <wp:docPr id="61" name="Frame61"/>
                      <a:graphic xmlns:a="http://schemas.openxmlformats.org/drawingml/2006/main">
                        <a:graphicData uri="http://schemas.microsoft.com/office/word/2010/wordprocessingShape">
                          <wps:wsp>
                            <wps:cNvSpPr txBox="1"/>
                            <wps:spPr>
                              <a:xfrm>
                                <a:off x="0" y="0"/>
                                <a:ext cx="1581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9215" cy="175260"/>
                      <wp:effectExtent l="0" t="0" r="0" b="0"/>
                      <wp:wrapNone/>
                      <wp:docPr id="62" name="Frame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445135" cy="175260"/>
                      <wp:effectExtent l="0" t="0" r="0" b="0"/>
                      <wp:wrapNone/>
                      <wp:docPr id="63" name="Frame63"/>
                      <a:graphic xmlns:a="http://schemas.openxmlformats.org/drawingml/2006/main">
                        <a:graphicData uri="http://schemas.microsoft.com/office/word/2010/wordprocessingShape">
                          <wps:wsp>
                            <wps:cNvSpPr txBox="1"/>
                            <wps:spPr>
                              <a:xfrm>
                                <a:off x="0" y="0"/>
                                <a:ext cx="445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650365" cy="175260"/>
                      <wp:effectExtent l="0" t="0" r="0" b="0"/>
                      <wp:wrapNone/>
                      <wp:docPr id="64" name="Frame64"/>
                      <a:graphic xmlns:a="http://schemas.openxmlformats.org/drawingml/2006/main">
                        <a:graphicData uri="http://schemas.microsoft.com/office/word/2010/wordprocessingShape">
                          <wps:wsp>
                            <wps:cNvSpPr txBox="1"/>
                            <wps:spPr>
                              <a:xfrm>
                                <a:off x="0" y="0"/>
                                <a:ext cx="16503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9215" cy="175260"/>
                      <wp:effectExtent l="0" t="0" r="0" b="0"/>
                      <wp:wrapNone/>
                      <wp:docPr id="65" name="Frame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382905" cy="175260"/>
                      <wp:effectExtent l="0" t="0" r="0" b="0"/>
                      <wp:wrapNone/>
                      <wp:docPr id="66" name="Frame66"/>
                      <a:graphic xmlns:a="http://schemas.openxmlformats.org/drawingml/2006/main">
                        <a:graphicData uri="http://schemas.microsoft.com/office/word/2010/wordprocessingShape">
                          <wps:wsp>
                            <wps:cNvSpPr txBox="1"/>
                            <wps:spPr>
                              <a:xfrm>
                                <a:off x="0" y="0"/>
                                <a:ext cx="382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503045" cy="175260"/>
                      <wp:effectExtent l="0" t="0" r="0" b="0"/>
                      <wp:wrapNone/>
                      <wp:docPr id="67" name="Frame67"/>
                      <a:graphic xmlns:a="http://schemas.openxmlformats.org/drawingml/2006/main">
                        <a:graphicData uri="http://schemas.microsoft.com/office/word/2010/wordprocessingShape">
                          <wps:wsp>
                            <wps:cNvSpPr txBox="1"/>
                            <wps:spPr>
                              <a:xfrm>
                                <a:off x="0" y="0"/>
                                <a:ext cx="1503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33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 2026</w:t>
            </w:r>
          </w:p>
        </w:tc>
        <w:tc>
          <w:tcPr>
            <w:tcW w:w="109" w:type="dxa"/>
            <w:tcBorders/>
            <w:vAlign w:val="center"/>
          </w:tcPr>
          <w:p>
            <w:pPr>
              <w:pStyle w:val="TableContents"/>
              <w:bidi w:val="0"/>
              <w:spacing w:before="0" w:after="1"/>
              <w:ind w:left="0" w:right="0" w:hanging="0"/>
              <w:jc w:val="center"/>
              <w:rPr/>
            </w:pPr>
            <w:r>
              <w:rPr/>
              <w:t>​</w:t>
            </w:r>
          </w:p>
        </w:tc>
        <w:tc>
          <w:tcPr>
            <w:tcW w:w="29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 2025</w:t>
            </w:r>
          </w:p>
        </w:tc>
      </w:tr>
      <w:tr>
        <w:trPr/>
        <w:tc>
          <w:tcPr>
            <w:tcW w:w="24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330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09" w:type="dxa"/>
            <w:tcBorders/>
            <w:vAlign w:val="center"/>
          </w:tcPr>
          <w:p>
            <w:pPr>
              <w:pStyle w:val="TableContents"/>
              <w:bidi w:val="0"/>
              <w:spacing w:before="0" w:after="1"/>
              <w:ind w:left="0" w:right="0" w:hanging="0"/>
              <w:jc w:val="center"/>
              <w:rPr/>
            </w:pPr>
            <w:r>
              <w:rPr/>
              <w:t>​</w:t>
            </w:r>
          </w:p>
        </w:tc>
        <w:tc>
          <w:tcPr>
            <w:tcW w:w="603" w:type="dxa"/>
            <w:tcBorders/>
            <w:vAlign w:val="center"/>
          </w:tcPr>
          <w:p>
            <w:pPr>
              <w:pStyle w:val="TableContents"/>
              <w:bidi w:val="0"/>
              <w:spacing w:before="0" w:after="1"/>
              <w:ind w:left="0" w:right="0" w:hanging="0"/>
              <w:jc w:val="center"/>
              <w:rPr/>
            </w:pPr>
            <w:r>
              <w:rPr/>
              <w:t>​</w:t>
            </w:r>
          </w:p>
        </w:tc>
        <w:tc>
          <w:tcPr>
            <w:tcW w:w="2367" w:type="dxa"/>
            <w:tcBorders/>
            <w:vAlign w:val="center"/>
          </w:tcPr>
          <w:p>
            <w:pPr>
              <w:pStyle w:val="TableContents"/>
              <w:bidi w:val="0"/>
              <w:spacing w:before="0" w:after="1"/>
              <w:ind w:left="0" w:right="0" w:hanging="0"/>
              <w:jc w:val="center"/>
              <w:rPr/>
            </w:pPr>
            <w:r>
              <w:rPr/>
              <w:t>​</w:t>
            </w:r>
          </w:p>
        </w:tc>
      </w:tr>
      <w:tr>
        <w:trPr/>
        <w:tc>
          <w:tcPr>
            <w:tcW w:w="249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Balance, beginning of period</w:t>
            </w:r>
          </w:p>
        </w:tc>
        <w:tc>
          <w:tcPr>
            <w:tcW w:w="109" w:type="dxa"/>
            <w:tcBorders/>
            <w:shd w:fill="CCEEFF" w:val="clear"/>
            <w:vAlign w:val="center"/>
          </w:tcPr>
          <w:p>
            <w:pPr>
              <w:pStyle w:val="TableContents"/>
              <w:bidi w:val="0"/>
              <w:spacing w:before="0" w:after="1"/>
              <w:ind w:left="0" w:right="0" w:hanging="0"/>
              <w:jc w:val="left"/>
              <w:rPr/>
            </w:pPr>
            <w:r>
              <w:rPr/>
              <w:t>​</w:t>
            </w:r>
          </w:p>
        </w:tc>
        <w:tc>
          <w:tcPr>
            <w:tcW w:w="7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5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183,446</w:t>
            </w:r>
          </w:p>
        </w:tc>
        <w:tc>
          <w:tcPr>
            <w:tcW w:w="109" w:type="dxa"/>
            <w:tcBorders/>
            <w:shd w:fill="CCEEFF" w:val="clear"/>
            <w:vAlign w:val="center"/>
          </w:tcPr>
          <w:p>
            <w:pPr>
              <w:pStyle w:val="TableContents"/>
              <w:bidi w:val="0"/>
              <w:spacing w:before="0" w:after="1"/>
              <w:ind w:left="0" w:right="0" w:hanging="0"/>
              <w:jc w:val="left"/>
              <w:rPr/>
            </w:pPr>
            <w:r>
              <w:rPr/>
              <w:t>​</w:t>
            </w:r>
          </w:p>
        </w:tc>
        <w:tc>
          <w:tcPr>
            <w:tcW w:w="60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3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164,432</w:t>
            </w:r>
          </w:p>
        </w:tc>
      </w:tr>
      <w:tr>
        <w:trPr/>
        <w:tc>
          <w:tcPr>
            <w:tcW w:w="249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Balance, end of period</w:t>
            </w:r>
          </w:p>
        </w:tc>
        <w:tc>
          <w:tcPr>
            <w:tcW w:w="109" w:type="dxa"/>
            <w:tcBorders/>
            <w:vAlign w:val="center"/>
          </w:tcPr>
          <w:p>
            <w:pPr>
              <w:pStyle w:val="TableContents"/>
              <w:bidi w:val="0"/>
              <w:spacing w:before="0" w:after="1"/>
              <w:ind w:left="0" w:right="0" w:hanging="0"/>
              <w:jc w:val="left"/>
              <w:rPr/>
            </w:pPr>
            <w:r>
              <w:rPr/>
              <w:t>​</w:t>
            </w:r>
          </w:p>
        </w:tc>
        <w:tc>
          <w:tcPr>
            <w:tcW w:w="70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259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158,998</w:t>
            </w:r>
          </w:p>
        </w:tc>
        <w:tc>
          <w:tcPr>
            <w:tcW w:w="109" w:type="dxa"/>
            <w:tcBorders/>
            <w:vAlign w:val="center"/>
          </w:tcPr>
          <w:p>
            <w:pPr>
              <w:pStyle w:val="TableContents"/>
              <w:bidi w:val="0"/>
              <w:spacing w:before="0" w:after="1"/>
              <w:ind w:left="0" w:right="0" w:hanging="0"/>
              <w:jc w:val="left"/>
              <w:rPr/>
            </w:pPr>
            <w:r>
              <w:rPr/>
              <w:t>​</w:t>
            </w:r>
          </w:p>
        </w:tc>
        <w:tc>
          <w:tcPr>
            <w:tcW w:w="60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236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183,446</w:t>
            </w:r>
          </w:p>
        </w:tc>
      </w:tr>
      <w:tr>
        <w:trPr/>
        <w:tc>
          <w:tcPr>
            <w:tcW w:w="24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Increase (decrease)</w:t>
            </w:r>
          </w:p>
        </w:tc>
        <w:tc>
          <w:tcPr>
            <w:tcW w:w="109" w:type="dxa"/>
            <w:tcBorders/>
            <w:shd w:fill="CCEEFF" w:val="clear"/>
            <w:vAlign w:val="center"/>
          </w:tcPr>
          <w:p>
            <w:pPr>
              <w:pStyle w:val="TableContents"/>
              <w:bidi w:val="0"/>
              <w:spacing w:before="0" w:after="1"/>
              <w:ind w:left="0" w:right="0" w:hanging="0"/>
              <w:jc w:val="left"/>
              <w:rPr/>
            </w:pPr>
            <w:r>
              <w:rPr/>
              <w:t>​</w:t>
            </w:r>
          </w:p>
        </w:tc>
        <w:tc>
          <w:tcPr>
            <w:tcW w:w="70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59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(24,448)</w:t>
            </w:r>
          </w:p>
        </w:tc>
        <w:tc>
          <w:tcPr>
            <w:tcW w:w="109" w:type="dxa"/>
            <w:tcBorders/>
            <w:shd w:fill="CCEEFF" w:val="clear"/>
            <w:vAlign w:val="center"/>
          </w:tcPr>
          <w:p>
            <w:pPr>
              <w:pStyle w:val="TableContents"/>
              <w:bidi w:val="0"/>
              <w:spacing w:before="0" w:after="1"/>
              <w:ind w:left="0" w:right="0" w:hanging="0"/>
              <w:jc w:val="left"/>
              <w:rPr/>
            </w:pPr>
            <w:r>
              <w:rPr/>
              <w:t>​</w:t>
            </w:r>
          </w:p>
        </w:tc>
        <w:tc>
          <w:tcPr>
            <w:tcW w:w="60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367"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19,014</w:t>
            </w:r>
          </w:p>
        </w:tc>
      </w:tr>
    </w:tbl>
    <w:p>
      <w:pPr>
        <w:pStyle w:val="TextBody"/>
        <w:bidi w:val="0"/>
        <w:spacing w:before="0" w:after="24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 contract liability is recorded as deferred revenue on the condensed consolidated balance sheets when customers are billed in advance of performance obligations being satisfied, and revenue is recognized after invoicing ratably over the subscription period. Deferred revenue is included net of a related deferred allowance for subscription cancellations (the “deferred allowance”) of $4,943 and $4,120 at March 31, 2026 and December 31, 2025, respectively. The deferred allowance represents the portion of the allowance for subscription cancellations associated with deferred revenue.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beginning and ending balances of and changes to the allowance and the deferred allowance are as follows: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766" w:type="dxa"/>
        <w:jc w:val="left"/>
        <w:tblInd w:w="0" w:type="dxa"/>
        <w:tblLayout w:type="fixed"/>
        <w:tblCellMar>
          <w:top w:w="0" w:type="dxa"/>
          <w:left w:w="0" w:type="dxa"/>
          <w:bottom w:w="0" w:type="dxa"/>
          <w:right w:w="0" w:type="dxa"/>
        </w:tblCellMar>
      </w:tblPr>
      <w:tblGrid>
        <w:gridCol w:w="6766"/>
      </w:tblGrid>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932" w:name="Tc_BqLw1rqLlUWpxqW4N9tH1w_8_5"/>
      <w:bookmarkStart w:id="933" w:name="Tc_TsUWjgWloU6Zzze6z9Sqbw_8_2"/>
      <w:bookmarkStart w:id="934" w:name="Tc_QCzISPsQ5EWLM9_bihigrA_8_0"/>
      <w:bookmarkStart w:id="935" w:name="Tc_HicdsZMvHE-O0zC1HWSupg_7_0"/>
      <w:bookmarkStart w:id="936" w:name="Tc_kymZtjN84EiO4NxVPKKkfA_6_0"/>
      <w:bookmarkStart w:id="937" w:name="Tc_7XxEwSFejkabfsLh1hm0sA_5_5"/>
      <w:bookmarkStart w:id="938" w:name="Tc_dWEdLa7qtEWJgsBzZXWm1w_5_2"/>
      <w:bookmarkStart w:id="939" w:name="Tc_lBNCt_J4DkuwAUFqCaXBew_5_0"/>
      <w:bookmarkStart w:id="940" w:name="Tc_vevhv-73L0aBUNZ44QLsnw_4_0"/>
      <w:bookmarkStart w:id="941" w:name="Tc_XOlSb0GNw0W-vXYOyGcf1Q_3_2"/>
      <w:bookmarkStart w:id="942" w:name="Tc_qpJ492MK606c30KHgmIlew_2_5"/>
      <w:bookmarkStart w:id="943" w:name="Tc_zu7jUUxC90CFzRm_HffC3Q_2_2"/>
      <w:bookmarkStart w:id="944" w:name="Tc_h_f5Rhkq2UiUj7QoS7fPXg_1_2"/>
      <w:bookmarkStart w:id="945" w:name="Tc_xpJqzx1-PUGJsIfpVHIR8Q_8_5"/>
      <w:bookmarkStart w:id="946" w:name="Tc_kfSrIYwxXkucS4yGkf3qPw_8_2"/>
      <w:bookmarkStart w:id="947" w:name="Tc_wlLdH0m_Y0Cnl-zda8kjPw_8_0"/>
      <w:bookmarkStart w:id="948" w:name="Tc_fLs_aU3gM0uW8xdZKfGUXQ_7_0"/>
      <w:bookmarkStart w:id="949" w:name="Tc_qhqIHZHjdEe9GXniXO-meA_6_0"/>
      <w:bookmarkStart w:id="950" w:name="Tc_47UAh-IRe0WJAD6sEMpDHA_5_5"/>
      <w:bookmarkStart w:id="951" w:name="Tc_Ona21GcIIkOVD9yuUCbNbA_5_2"/>
      <w:bookmarkStart w:id="952" w:name="Tc_PqmxKfV4UkKoKoYrxarWIw_5_0"/>
      <w:bookmarkStart w:id="953" w:name="Tc_9ty9ZrYeDESaDVDGoiBMjw_4_0"/>
      <w:bookmarkStart w:id="954" w:name="Tc_WKeZjEH-oUKXlgy5ZA0isg_3_2"/>
      <w:bookmarkStart w:id="955" w:name="Tc__q9i4sjfoUacHiMp4BZ_Kg_2_5"/>
      <w:bookmarkStart w:id="956" w:name="Tc_EdddQA_A3EeT32OrE0Kgqw_2_2"/>
      <w:bookmarkStart w:id="957" w:name="Tc_jl2pNxd7UUCbsb2NH264DA_1_2"/>
      <w:bookmarkStart w:id="958" w:name="_322db969_9af5_4826_a799_82c46ebd4e82"/>
      <w:bookmarkStart w:id="959" w:name="Tc_mLnCgAf0vki6xoc6HgowPA_12_11"/>
      <w:bookmarkStart w:id="960" w:name="Tc_dKKMT6KyuEWneE2T1u2Daw_12_5"/>
      <w:bookmarkStart w:id="961" w:name="Tc_AW16V0Pi3kW2hdX28WPw3Q_12_0"/>
      <w:bookmarkStart w:id="962" w:name="Tc_Hm0ebzMSDkSVAdl2VWB7ig_11_0"/>
      <w:bookmarkStart w:id="963" w:name="Tc_C12jgOLWwkOHt0Koozky8A_10_0"/>
      <w:bookmarkStart w:id="964" w:name="Tc__qMh6C7fyUqUWt_r7vz_Yg_9_0"/>
      <w:bookmarkStart w:id="965" w:name="Tc_ksRdtbdcgU2HNJpSg5GAOQ_8_11"/>
      <w:bookmarkStart w:id="966" w:name="Tc_3z_C9Mq85UKCq-VjMPc6VA_8_5"/>
      <w:bookmarkStart w:id="967" w:name="Tc_pyKUfJx_kUGncO_wuvnwsg_8_0"/>
      <w:bookmarkStart w:id="968" w:name="Tc_C7ZUI4_7W0KAwahZH7CpZQ_7_0"/>
      <w:bookmarkStart w:id="969" w:name="Tc_yyKrWYxIY02-9jMpgr7TgA_6_8"/>
      <w:bookmarkStart w:id="970" w:name="Tc_GrOMw2v4sk-XTk4QQ2G99Q_6_2"/>
      <w:bookmarkStart w:id="971" w:name="Tc_lYg2jsHs60aEKmq8eHZEDA_6_0"/>
      <w:bookmarkStart w:id="972" w:name="Tc_CyK94X03Kkq9Y5q6y-kaaw_5_2"/>
      <w:bookmarkStart w:id="973" w:name="Tc_luaxgFy45U27-7cbr8fUzA_4_12"/>
      <w:bookmarkStart w:id="974" w:name="Tc_yPoKB0K2GEaolbrZ5WZk2A_4_8"/>
      <w:bookmarkStart w:id="975" w:name="Tc_dqJCOSYcykeokHYcZDzdLQ_4_6"/>
      <w:bookmarkStart w:id="976" w:name="Tc_QqjsJ7-lv0ie8yK2ZEIhIg_4_2"/>
      <w:bookmarkStart w:id="977" w:name="Tc_82iNuPV4ukO9mP6x1vUcKQ_3_8"/>
      <w:bookmarkStart w:id="978" w:name="Tc_cN7_CatRo0qEfJLuKt4r9A_3_2"/>
      <w:bookmarkStart w:id="979" w:name="Tc_xwTl3a_xpEeF0ODy-wlUGw_2_2"/>
      <w:bookmarkStart w:id="980" w:name="Tc_BqLw1rqLlUWpxqW4N9tH1w_8_5"/>
      <w:bookmarkStart w:id="981" w:name="Tc_TsUWjgWloU6Zzze6z9Sqbw_8_2"/>
      <w:bookmarkStart w:id="982" w:name="Tc_QCzISPsQ5EWLM9_bihigrA_8_0"/>
      <w:bookmarkStart w:id="983" w:name="Tc_HicdsZMvHE-O0zC1HWSupg_7_0"/>
      <w:bookmarkStart w:id="984" w:name="Tc_kymZtjN84EiO4NxVPKKkfA_6_0"/>
      <w:bookmarkStart w:id="985" w:name="Tc_7XxEwSFejkabfsLh1hm0sA_5_5"/>
      <w:bookmarkStart w:id="986" w:name="Tc_dWEdLa7qtEWJgsBzZXWm1w_5_2"/>
      <w:bookmarkStart w:id="987" w:name="Tc_lBNCt_J4DkuwAUFqCaXBew_5_0"/>
      <w:bookmarkStart w:id="988" w:name="Tc_vevhv-73L0aBUNZ44QLsnw_4_0"/>
      <w:bookmarkStart w:id="989" w:name="Tc_XOlSb0GNw0W-vXYOyGcf1Q_3_2"/>
      <w:bookmarkStart w:id="990" w:name="Tc_qpJ492MK606c30KHgmIlew_2_5"/>
      <w:bookmarkStart w:id="991" w:name="Tc_zu7jUUxC90CFzRm_HffC3Q_2_2"/>
      <w:bookmarkStart w:id="992" w:name="Tc_h_f5Rhkq2UiUj7QoS7fPXg_1_2"/>
      <w:bookmarkStart w:id="993" w:name="Tc_xpJqzx1-PUGJsIfpVHIR8Q_8_5"/>
      <w:bookmarkStart w:id="994" w:name="Tc_kfSrIYwxXkucS4yGkf3qPw_8_2"/>
      <w:bookmarkStart w:id="995" w:name="Tc_wlLdH0m_Y0Cnl-zda8kjPw_8_0"/>
      <w:bookmarkStart w:id="996" w:name="Tc_fLs_aU3gM0uW8xdZKfGUXQ_7_0"/>
      <w:bookmarkStart w:id="997" w:name="Tc_qhqIHZHjdEe9GXniXO-meA_6_0"/>
      <w:bookmarkStart w:id="998" w:name="Tc_47UAh-IRe0WJAD6sEMpDHA_5_5"/>
      <w:bookmarkStart w:id="999" w:name="Tc_Ona21GcIIkOVD9yuUCbNbA_5_2"/>
      <w:bookmarkStart w:id="1000" w:name="Tc_PqmxKfV4UkKoKoYrxarWIw_5_0"/>
      <w:bookmarkStart w:id="1001" w:name="Tc_9ty9ZrYeDESaDVDGoiBMjw_4_0"/>
      <w:bookmarkStart w:id="1002" w:name="Tc_WKeZjEH-oUKXlgy5ZA0isg_3_2"/>
      <w:bookmarkStart w:id="1003" w:name="Tc__q9i4sjfoUacHiMp4BZ_Kg_2_5"/>
      <w:bookmarkStart w:id="1004" w:name="Tc_EdddQA_A3EeT32OrE0Kgqw_2_2"/>
      <w:bookmarkStart w:id="1005" w:name="Tc_jl2pNxd7UUCbsb2NH264DA_1_2"/>
      <w:bookmarkStart w:id="1006" w:name="_322db969_9af5_4826_a799_82c46ebd4e82"/>
      <w:bookmarkStart w:id="1007" w:name="Tc_mLnCgAf0vki6xoc6HgowPA_12_11"/>
      <w:bookmarkStart w:id="1008" w:name="Tc_dKKMT6KyuEWneE2T1u2Daw_12_5"/>
      <w:bookmarkStart w:id="1009" w:name="Tc_AW16V0Pi3kW2hdX28WPw3Q_12_0"/>
      <w:bookmarkStart w:id="1010" w:name="Tc_Hm0ebzMSDkSVAdl2VWB7ig_11_0"/>
      <w:bookmarkStart w:id="1011" w:name="Tc_C12jgOLWwkOHt0Koozky8A_10_0"/>
      <w:bookmarkStart w:id="1012" w:name="Tc__qMh6C7fyUqUWt_r7vz_Yg_9_0"/>
      <w:bookmarkStart w:id="1013" w:name="Tc_ksRdtbdcgU2HNJpSg5GAOQ_8_11"/>
      <w:bookmarkStart w:id="1014" w:name="Tc_3z_C9Mq85UKCq-VjMPc6VA_8_5"/>
      <w:bookmarkStart w:id="1015" w:name="Tc_pyKUfJx_kUGncO_wuvnwsg_8_0"/>
      <w:bookmarkStart w:id="1016" w:name="Tc_C7ZUI4_7W0KAwahZH7CpZQ_7_0"/>
      <w:bookmarkStart w:id="1017" w:name="Tc_yyKrWYxIY02-9jMpgr7TgA_6_8"/>
      <w:bookmarkStart w:id="1018" w:name="Tc_GrOMw2v4sk-XTk4QQ2G99Q_6_2"/>
      <w:bookmarkStart w:id="1019" w:name="Tc_lYg2jsHs60aEKmq8eHZEDA_6_0"/>
      <w:bookmarkStart w:id="1020" w:name="Tc_CyK94X03Kkq9Y5q6y-kaaw_5_2"/>
      <w:bookmarkStart w:id="1021" w:name="Tc_luaxgFy45U27-7cbr8fUzA_4_12"/>
      <w:bookmarkStart w:id="1022" w:name="Tc_yPoKB0K2GEaolbrZ5WZk2A_4_8"/>
      <w:bookmarkStart w:id="1023" w:name="Tc_dqJCOSYcykeokHYcZDzdLQ_4_6"/>
      <w:bookmarkStart w:id="1024" w:name="Tc_QqjsJ7-lv0ie8yK2ZEIhIg_4_2"/>
      <w:bookmarkStart w:id="1025" w:name="Tc_82iNuPV4ukO9mP6x1vUcKQ_3_8"/>
      <w:bookmarkStart w:id="1026" w:name="Tc_cN7_CatRo0qEfJLuKt4r9A_3_2"/>
      <w:bookmarkStart w:id="1027" w:name="Tc_xwTl3a_xpEeF0ODy-wlUGw_2_2"/>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p>
    <w:tbl>
      <w:tblPr>
        <w:tblW w:w="8866" w:type="dxa"/>
        <w:jc w:val="left"/>
        <w:tblInd w:w="0" w:type="dxa"/>
        <w:tblLayout w:type="fixed"/>
        <w:tblCellMar>
          <w:top w:w="0" w:type="dxa"/>
          <w:left w:w="0" w:type="dxa"/>
          <w:bottom w:w="0" w:type="dxa"/>
          <w:right w:w="0" w:type="dxa"/>
        </w:tblCellMar>
      </w:tblPr>
      <w:tblGrid>
        <w:gridCol w:w="3316"/>
        <w:gridCol w:w="109"/>
        <w:gridCol w:w="211"/>
        <w:gridCol w:w="796"/>
        <w:gridCol w:w="346"/>
        <w:gridCol w:w="211"/>
        <w:gridCol w:w="961"/>
        <w:gridCol w:w="346"/>
        <w:gridCol w:w="211"/>
        <w:gridCol w:w="796"/>
        <w:gridCol w:w="346"/>
        <w:gridCol w:w="211"/>
        <w:gridCol w:w="1006"/>
      </w:tblGrid>
      <w:tr>
        <w:trPr/>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05660" cy="175260"/>
                      <wp:effectExtent l="0" t="0" r="0" b="0"/>
                      <wp:wrapNone/>
                      <wp:docPr id="68" name="Frame68"/>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9215" cy="175260"/>
                      <wp:effectExtent l="0" t="0" r="0" b="0"/>
                      <wp:wrapNone/>
                      <wp:docPr id="69" name="Frame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33985" cy="175260"/>
                      <wp:effectExtent l="0" t="0" r="0" b="0"/>
                      <wp:wrapNone/>
                      <wp:docPr id="70" name="Frame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505460" cy="175260"/>
                      <wp:effectExtent l="0" t="0" r="0" b="0"/>
                      <wp:wrapNone/>
                      <wp:docPr id="71" name="Frame7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19710" cy="175260"/>
                      <wp:effectExtent l="0" t="0" r="0" b="0"/>
                      <wp:wrapNone/>
                      <wp:docPr id="72" name="Frame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33985" cy="175260"/>
                      <wp:effectExtent l="0" t="0" r="0" b="0"/>
                      <wp:wrapNone/>
                      <wp:docPr id="73" name="Frame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10235" cy="175260"/>
                      <wp:effectExtent l="0" t="0" r="0" b="0"/>
                      <wp:wrapNone/>
                      <wp:docPr id="74" name="Frame74"/>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19710" cy="175260"/>
                      <wp:effectExtent l="0" t="0" r="0" b="0"/>
                      <wp:wrapNone/>
                      <wp:docPr id="75" name="Frame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33985" cy="175260"/>
                      <wp:effectExtent l="0" t="0" r="0" b="0"/>
                      <wp:wrapNone/>
                      <wp:docPr id="76" name="Frame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505460" cy="175260"/>
                      <wp:effectExtent l="0" t="0" r="0" b="0"/>
                      <wp:wrapNone/>
                      <wp:docPr id="77" name="Frame7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19710" cy="175260"/>
                      <wp:effectExtent l="0" t="0" r="0" b="0"/>
                      <wp:wrapNone/>
                      <wp:docPr id="78" name="Frame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33985" cy="175260"/>
                      <wp:effectExtent l="0" t="0" r="0" b="0"/>
                      <wp:wrapNone/>
                      <wp:docPr id="79" name="Frame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38810" cy="175260"/>
                      <wp:effectExtent l="0" t="0" r="0" b="0"/>
                      <wp:wrapNone/>
                      <wp:docPr id="80" name="Frame80"/>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r>
      <w:tr>
        <w:trPr/>
        <w:tc>
          <w:tcPr>
            <w:tcW w:w="3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44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 </w:t>
            </w:r>
          </w:p>
        </w:tc>
      </w:tr>
      <w:tr>
        <w:trPr/>
        <w:tc>
          <w:tcPr>
            <w:tcW w:w="3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w:t>
            </w:r>
          </w:p>
        </w:tc>
        <w:tc>
          <w:tcPr>
            <w:tcW w:w="257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Change</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Change</w:t>
            </w:r>
          </w:p>
        </w:tc>
      </w:tr>
      <w:tr>
        <w:trPr/>
        <w:tc>
          <w:tcPr>
            <w:tcW w:w="8866"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441"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Allowance balance, January 1,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(11,466)</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(16,838)</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  ​</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balance, March 31, </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(13,225)</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(17,566)</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  ​</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allowance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728</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Deferred allowance balance, January 1,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4,120</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12,028</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  ​</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allowance balance, March 31,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4,943</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12,547</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  ​</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deferred allowance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amount charged to revenues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w:t>
            </w:r>
          </w:p>
        </w:tc>
      </w:tr>
      <w:tr>
        <w:trPr/>
        <w:tc>
          <w:tcPr>
            <w:tcW w:w="3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The portion of deferred revenue expected to be recognized in revenue beyond one year is included in deferred revenue, net of current portion in the condensed consolidated balance sheets. The following table provides information about the balances of and changes to deferred revenue for the following periods:</w:t>
      </w:r>
    </w:p>
    <w:p>
      <w:pPr>
        <w:pStyle w:val="TextBody"/>
        <w:bidi w:val="0"/>
        <w:spacing w:before="0" w:after="0"/>
        <w:ind w:left="0" w:right="0" w:hanging="0"/>
        <w:jc w:val="left"/>
        <w:rPr/>
      </w:pPr>
      <w:r>
        <w:rPr/>
        <w:t>​</w:t>
      </w:r>
    </w:p>
    <w:tbl>
      <w:tblPr>
        <w:tblW w:w="5820" w:type="dxa"/>
        <w:jc w:val="left"/>
        <w:tblInd w:w="0" w:type="dxa"/>
        <w:tblLayout w:type="fixed"/>
        <w:tblCellMar>
          <w:top w:w="0" w:type="dxa"/>
          <w:left w:w="0" w:type="dxa"/>
          <w:bottom w:w="0" w:type="dxa"/>
          <w:right w:w="0" w:type="dxa"/>
        </w:tblCellMar>
      </w:tblPr>
      <w:tblGrid>
        <w:gridCol w:w="2491"/>
        <w:gridCol w:w="346"/>
        <w:gridCol w:w="240"/>
        <w:gridCol w:w="1028"/>
        <w:gridCol w:w="395"/>
        <w:gridCol w:w="240"/>
        <w:gridCol w:w="1080"/>
      </w:tblGrid>
      <w:tr>
        <w:trPr/>
        <w:tc>
          <w:tcPr>
            <w:tcW w:w="2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581785" cy="175260"/>
                      <wp:effectExtent l="0" t="0" r="0" b="0"/>
                      <wp:wrapNone/>
                      <wp:docPr id="81" name="Frame81"/>
                      <a:graphic xmlns:a="http://schemas.openxmlformats.org/drawingml/2006/main">
                        <a:graphicData uri="http://schemas.microsoft.com/office/word/2010/wordprocessingShape">
                          <wps:wsp>
                            <wps:cNvSpPr txBox="1"/>
                            <wps:spPr>
                              <a:xfrm>
                                <a:off x="0" y="0"/>
                                <a:ext cx="1581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19710" cy="175260"/>
                      <wp:effectExtent l="0" t="0" r="0" b="0"/>
                      <wp:wrapNone/>
                      <wp:docPr id="82" name="Frame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52400" cy="175260"/>
                      <wp:effectExtent l="0" t="0" r="0" b="0"/>
                      <wp:wrapNone/>
                      <wp:docPr id="83" name="Frame83"/>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52780" cy="175260"/>
                      <wp:effectExtent l="0" t="0" r="0" b="0"/>
                      <wp:wrapNone/>
                      <wp:docPr id="84" name="Frame84"/>
                      <a:graphic xmlns:a="http://schemas.openxmlformats.org/drawingml/2006/main">
                        <a:graphicData uri="http://schemas.microsoft.com/office/word/2010/wordprocessingShape">
                          <wps:wsp>
                            <wps:cNvSpPr txBox="1"/>
                            <wps:spPr>
                              <a:xfrm>
                                <a:off x="0" y="0"/>
                                <a:ext cx="652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50825" cy="175260"/>
                      <wp:effectExtent l="0" t="0" r="0" b="0"/>
                      <wp:wrapNone/>
                      <wp:docPr id="85" name="Frame85"/>
                      <a:graphic xmlns:a="http://schemas.openxmlformats.org/drawingml/2006/main">
                        <a:graphicData uri="http://schemas.microsoft.com/office/word/2010/wordprocessingShape">
                          <wps:wsp>
                            <wps:cNvSpPr txBox="1"/>
                            <wps:spPr>
                              <a:xfrm>
                                <a:off x="0" y="0"/>
                                <a:ext cx="250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52400" cy="175260"/>
                      <wp:effectExtent l="0" t="0" r="0" b="0"/>
                      <wp:wrapNone/>
                      <wp:docPr id="86" name="Frame86"/>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85800" cy="175260"/>
                      <wp:effectExtent l="0" t="0" r="0" b="0"/>
                      <wp:wrapNone/>
                      <wp:docPr id="87" name="Frame87"/>
                      <a:graphic xmlns:a="http://schemas.openxmlformats.org/drawingml/2006/main">
                        <a:graphicData uri="http://schemas.microsoft.com/office/word/2010/wordprocessingShape">
                          <wps:wsp>
                            <wps:cNvSpPr txBox="1"/>
                            <wps:spPr>
                              <a:xfrm>
                                <a:off x="0" y="0"/>
                                <a:ext cx="685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 </w:t>
            </w:r>
          </w:p>
        </w:tc>
      </w:tr>
      <w:tr>
        <w:trPr/>
        <w:tc>
          <w:tcPr>
            <w:tcW w:w="24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95" w:type="dxa"/>
            <w:tcBorders/>
            <w:vAlign w:val="center"/>
          </w:tcPr>
          <w:p>
            <w:pPr>
              <w:pStyle w:val="TableContents"/>
              <w:bidi w:val="0"/>
              <w:spacing w:before="0" w:after="0"/>
              <w:ind w:left="0" w:right="0" w:hanging="0"/>
              <w:jc w:val="left"/>
              <w:rPr/>
            </w:pPr>
            <w:r>
              <w:rPr/>
              <w:t>​</w:t>
            </w:r>
          </w:p>
        </w:tc>
        <w:tc>
          <w:tcPr>
            <w:tcW w:w="13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820"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4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8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249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Changes to deferred revenue:</w:t>
            </w:r>
          </w:p>
        </w:tc>
        <w:tc>
          <w:tcPr>
            <w:tcW w:w="346" w:type="dxa"/>
            <w:tcBorders/>
            <w:shd w:fill="CCEEFF" w:val="clear"/>
            <w:vAlign w:val="center"/>
          </w:tcPr>
          <w:p>
            <w:pPr>
              <w:pStyle w:val="TableContents"/>
              <w:bidi w:val="0"/>
              <w:spacing w:before="0" w:after="0"/>
              <w:ind w:left="0" w:right="0" w:hanging="0"/>
              <w:jc w:val="left"/>
              <w:rPr/>
            </w:pPr>
            <w:r>
              <w:rPr/>
              <w:t>  ​ ​ ​</w:t>
            </w:r>
          </w:p>
        </w:tc>
        <w:tc>
          <w:tcPr>
            <w:tcW w:w="240"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right"/>
              <w:rPr/>
            </w:pPr>
            <w:r>
              <w:rPr/>
              <w:t>  ​</w:t>
            </w:r>
          </w:p>
        </w:tc>
        <w:tc>
          <w:tcPr>
            <w:tcW w:w="395" w:type="dxa"/>
            <w:tcBorders/>
            <w:shd w:fill="CCEEFF" w:val="clear"/>
            <w:vAlign w:val="center"/>
          </w:tcPr>
          <w:p>
            <w:pPr>
              <w:pStyle w:val="TableContents"/>
              <w:bidi w:val="0"/>
              <w:spacing w:before="0" w:after="0"/>
              <w:ind w:left="0" w:right="0" w:hanging="0"/>
              <w:jc w:val="left"/>
              <w:rPr/>
            </w:pPr>
            <w:r>
              <w:rPr/>
              <w:t>  ​ ​ ​</w:t>
            </w:r>
          </w:p>
        </w:tc>
        <w:tc>
          <w:tcPr>
            <w:tcW w:w="240" w:type="dxa"/>
            <w:tcBorders/>
            <w:shd w:fill="CCEEFF" w:val="clear"/>
            <w:vAlign w:val="center"/>
          </w:tcPr>
          <w:p>
            <w:pPr>
              <w:pStyle w:val="TableContents"/>
              <w:bidi w:val="0"/>
              <w:spacing w:before="0" w:after="0"/>
              <w:ind w:left="0" w:right="0" w:hanging="0"/>
              <w:jc w:val="left"/>
              <w:rPr/>
            </w:pPr>
            <w:r>
              <w:rPr/>
              <w:t>​</w:t>
            </w:r>
          </w:p>
        </w:tc>
        <w:tc>
          <w:tcPr>
            <w:tcW w:w="1080" w:type="dxa"/>
            <w:tcBorders/>
            <w:shd w:fill="CCEEFF" w:val="clear"/>
            <w:vAlign w:val="center"/>
          </w:tcPr>
          <w:p>
            <w:pPr>
              <w:pStyle w:val="TableContents"/>
              <w:bidi w:val="0"/>
              <w:spacing w:before="0" w:after="0"/>
              <w:ind w:left="0" w:right="0" w:hanging="0"/>
              <w:jc w:val="right"/>
              <w:rPr/>
            </w:pPr>
            <w:r>
              <w:rPr/>
              <w:t>  ​</w:t>
            </w:r>
          </w:p>
        </w:tc>
      </w:tr>
      <w:tr>
        <w:trPr/>
        <w:tc>
          <w:tcPr>
            <w:tcW w:w="2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388,048</w:t>
            </w:r>
          </w:p>
        </w:tc>
        <w:tc>
          <w:tcPr>
            <w:tcW w:w="395"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344,166</w:t>
            </w:r>
          </w:p>
        </w:tc>
      </w:tr>
      <w:tr>
        <w:trPr/>
        <w:tc>
          <w:tcPr>
            <w:tcW w:w="2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amounts deferred</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206,995</w:t>
            </w:r>
          </w:p>
        </w:tc>
        <w:tc>
          <w:tcPr>
            <w:tcW w:w="395"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 </w:t>
            </w:r>
          </w:p>
        </w:tc>
        <w:tc>
          <w:tcPr>
            <w:tcW w:w="10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187,793</w:t>
            </w:r>
          </w:p>
        </w:tc>
      </w:tr>
      <w:tr>
        <w:trPr/>
        <w:tc>
          <w:tcPr>
            <w:tcW w:w="2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 recognized</w:t>
            </w:r>
          </w:p>
        </w:tc>
        <w:tc>
          <w:tcPr>
            <w:tcW w:w="346"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(196,646)</w:t>
            </w:r>
          </w:p>
        </w:tc>
        <w:tc>
          <w:tcPr>
            <w:tcW w:w="395"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(177,062)</w:t>
            </w:r>
          </w:p>
        </w:tc>
      </w:tr>
      <w:tr>
        <w:trPr/>
        <w:tc>
          <w:tcPr>
            <w:tcW w:w="2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398,397</w:t>
            </w:r>
          </w:p>
        </w:tc>
        <w:tc>
          <w:tcPr>
            <w:tcW w:w="395" w:type="dxa"/>
            <w:tcBorders/>
            <w:shd w:fill="CCEEFF" w:val="clear"/>
            <w:vAlign w:val="center"/>
          </w:tcPr>
          <w:p>
            <w:pPr>
              <w:pStyle w:val="TableContents"/>
              <w:bidi w:val="0"/>
              <w:spacing w:before="0" w:after="0"/>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0"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354,897</w:t>
            </w:r>
          </w:p>
        </w:tc>
      </w:tr>
    </w:tbl>
    <w:p>
      <w:pPr>
        <w:pStyle w:val="TextBody"/>
        <w:bidi w:val="0"/>
        <w:spacing w:before="0" w:after="0"/>
        <w:ind w:left="0" w:right="0" w:hanging="0"/>
        <w:jc w:val="left"/>
        <w:rPr/>
      </w:pPr>
      <w:r>
        <w:rPr/>
        <w:t>​</w:t>
      </w:r>
    </w:p>
    <w:p>
      <w:pPr>
        <w:pStyle w:val="TextBody"/>
        <w:bidi w:val="0"/>
        <w:spacing w:before="0" w:after="240"/>
        <w:ind w:left="360" w:right="0" w:hanging="0"/>
        <w:jc w:val="left"/>
        <w:rPr>
          <w:rFonts w:ascii="Times New Roman;Times;serif" w:hAnsi="Times New Roman;Times;serif"/>
          <w:b w:val="false"/>
          <w:i/>
          <w:sz w:val="20"/>
        </w:rPr>
      </w:pPr>
      <w:r>
        <w:rPr>
          <w:rFonts w:ascii="Times New Roman;Times;serif" w:hAnsi="Times New Roman;Times;serif"/>
          <w:b w:val="false"/>
          <w:i/>
          <w:sz w:val="20"/>
        </w:rPr>
        <w:t>Contract costs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Deferred sales commissions earned by the Company’s sales force and certain sales incentive programs and vendor referral agreements are considered incremental and recoverable costs of obtaining a contract with a customer. An asset is recognized for these incremental contract costs and included as deferred commissions in the condensed consolidated balance sheets. These contract costs are amortized on a straight-line basis over a period consistent with the transfer of the associated product and services to the customer, which is generally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three years. Amortization of these costs are included in selling and marketing expense in the condensed consolidated statements of comprehensive income. The Company periodically reviews these contract assets to determine whether events or changes in circumstances have occurred that could impact the period of benefit of these assets. There were no impairment losses recorded for the periods presented.</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changes to contract cost balances as of and for the following periods are:</w:t>
      </w:r>
      <w:r>
        <w:rPr>
          <w:rFonts w:ascii="Times New Roman;Times;serif" w:hAnsi="Times New Roman;Times;serif"/>
          <w:color w:val="FF0000"/>
          <w:sz w:val="20"/>
        </w:rPr>
        <w:t xml:space="preserve"> </w:t>
      </w:r>
    </w:p>
    <w:p>
      <w:pPr>
        <w:pStyle w:val="TextBody"/>
        <w:bidi w:val="0"/>
        <w:spacing w:before="0" w:after="0"/>
        <w:ind w:left="0" w:right="0" w:hanging="0"/>
        <w:jc w:val="left"/>
        <w:rPr/>
      </w:pPr>
      <w:r>
        <w:rPr/>
        <w:t>​</w:t>
      </w:r>
    </w:p>
    <w:tbl>
      <w:tblPr>
        <w:tblW w:w="5297" w:type="dxa"/>
        <w:jc w:val="left"/>
        <w:tblInd w:w="0" w:type="dxa"/>
        <w:tblLayout w:type="fixed"/>
        <w:tblCellMar>
          <w:top w:w="0" w:type="dxa"/>
          <w:left w:w="0" w:type="dxa"/>
          <w:bottom w:w="0" w:type="dxa"/>
          <w:right w:w="0" w:type="dxa"/>
        </w:tblCellMar>
      </w:tblPr>
      <w:tblGrid>
        <w:gridCol w:w="1966"/>
        <w:gridCol w:w="346"/>
        <w:gridCol w:w="280"/>
        <w:gridCol w:w="917"/>
        <w:gridCol w:w="459"/>
        <w:gridCol w:w="280"/>
        <w:gridCol w:w="1049"/>
      </w:tblGrid>
      <w:tr>
        <w:trPr/>
        <w:tc>
          <w:tcPr>
            <w:tcW w:w="1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248410" cy="175260"/>
                      <wp:effectExtent l="0" t="0" r="0" b="0"/>
                      <wp:wrapNone/>
                      <wp:docPr id="88" name="Frame88"/>
                      <a:graphic xmlns:a="http://schemas.openxmlformats.org/drawingml/2006/main">
                        <a:graphicData uri="http://schemas.microsoft.com/office/word/2010/wordprocessingShape">
                          <wps:wsp>
                            <wps:cNvSpPr txBox="1"/>
                            <wps:spPr>
                              <a:xfrm>
                                <a:off x="0" y="0"/>
                                <a:ext cx="1248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19710" cy="175260"/>
                      <wp:effectExtent l="0" t="0" r="0" b="0"/>
                      <wp:wrapNone/>
                      <wp:docPr id="89" name="Frame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77800" cy="175260"/>
                      <wp:effectExtent l="0" t="0" r="0" b="0"/>
                      <wp:wrapNone/>
                      <wp:docPr id="90" name="Frame90"/>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582295" cy="175260"/>
                      <wp:effectExtent l="0" t="0" r="0" b="0"/>
                      <wp:wrapNone/>
                      <wp:docPr id="91" name="Frame91"/>
                      <a:graphic xmlns:a="http://schemas.openxmlformats.org/drawingml/2006/main">
                        <a:graphicData uri="http://schemas.microsoft.com/office/word/2010/wordprocessingShape">
                          <wps:wsp>
                            <wps:cNvSpPr txBox="1"/>
                            <wps:spPr>
                              <a:xfrm>
                                <a:off x="0" y="0"/>
                                <a:ext cx="582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91465" cy="175260"/>
                      <wp:effectExtent l="0" t="0" r="0" b="0"/>
                      <wp:wrapNone/>
                      <wp:docPr id="92" name="Frame92"/>
                      <a:graphic xmlns:a="http://schemas.openxmlformats.org/drawingml/2006/main">
                        <a:graphicData uri="http://schemas.microsoft.com/office/word/2010/wordprocessingShape">
                          <wps:wsp>
                            <wps:cNvSpPr txBox="1"/>
                            <wps:spPr>
                              <a:xfrm>
                                <a:off x="0" y="0"/>
                                <a:ext cx="291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77800" cy="175260"/>
                      <wp:effectExtent l="0" t="0" r="0" b="0"/>
                      <wp:wrapNone/>
                      <wp:docPr id="93" name="Frame93"/>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66115" cy="175260"/>
                      <wp:effectExtent l="0" t="0" r="0" b="0"/>
                      <wp:wrapNone/>
                      <wp:docPr id="94" name="Frame94"/>
                      <a:graphic xmlns:a="http://schemas.openxmlformats.org/drawingml/2006/main">
                        <a:graphicData uri="http://schemas.microsoft.com/office/word/2010/wordprocessingShape">
                          <wps:wsp>
                            <wps:cNvSpPr txBox="1"/>
                            <wps:spPr>
                              <a:xfrm>
                                <a:off x="0" y="0"/>
                                <a:ext cx="666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 </w:t>
            </w:r>
          </w:p>
        </w:tc>
      </w:tr>
      <w:tr>
        <w:trPr/>
        <w:tc>
          <w:tcPr>
            <w:tcW w:w="1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59" w:type="dxa"/>
            <w:tcBorders/>
            <w:vAlign w:val="center"/>
          </w:tcPr>
          <w:p>
            <w:pPr>
              <w:pStyle w:val="TableContents"/>
              <w:bidi w:val="0"/>
              <w:spacing w:before="0" w:after="0"/>
              <w:ind w:left="0" w:right="0" w:hanging="0"/>
              <w:jc w:val="left"/>
              <w:rPr/>
            </w:pPr>
            <w:r>
              <w:rPr/>
              <w:t>​</w:t>
            </w:r>
          </w:p>
        </w:tc>
        <w:tc>
          <w:tcPr>
            <w:tcW w:w="13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297"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1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8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196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Deferred commissions:</w:t>
            </w:r>
          </w:p>
        </w:tc>
        <w:tc>
          <w:tcPr>
            <w:tcW w:w="346" w:type="dxa"/>
            <w:tcBorders/>
            <w:shd w:fill="CCEEFF" w:val="clear"/>
            <w:vAlign w:val="center"/>
          </w:tcPr>
          <w:p>
            <w:pPr>
              <w:pStyle w:val="TableContents"/>
              <w:bidi w:val="0"/>
              <w:spacing w:before="0" w:after="0"/>
              <w:ind w:left="0" w:right="0" w:hanging="0"/>
              <w:jc w:val="left"/>
              <w:rPr/>
            </w:pPr>
            <w:r>
              <w:rPr/>
              <w:t>  ​ ​ ​</w:t>
            </w:r>
          </w:p>
        </w:tc>
        <w:tc>
          <w:tcPr>
            <w:tcW w:w="280" w:type="dxa"/>
            <w:tcBorders/>
            <w:shd w:fill="CCEEFF" w:val="clear"/>
            <w:vAlign w:val="center"/>
          </w:tcPr>
          <w:p>
            <w:pPr>
              <w:pStyle w:val="TableContents"/>
              <w:bidi w:val="0"/>
              <w:spacing w:before="0" w:after="0"/>
              <w:ind w:left="0" w:right="0" w:hanging="0"/>
              <w:jc w:val="right"/>
              <w:rPr/>
            </w:pPr>
            <w:r>
              <w:rPr/>
              <w:t>​</w:t>
            </w:r>
          </w:p>
        </w:tc>
        <w:tc>
          <w:tcPr>
            <w:tcW w:w="917" w:type="dxa"/>
            <w:tcBorders/>
            <w:shd w:fill="CCEEFF" w:val="clear"/>
            <w:vAlign w:val="center"/>
          </w:tcPr>
          <w:p>
            <w:pPr>
              <w:pStyle w:val="TableContents"/>
              <w:bidi w:val="0"/>
              <w:spacing w:before="0" w:after="0"/>
              <w:ind w:left="0" w:right="0" w:hanging="0"/>
              <w:jc w:val="right"/>
              <w:rPr/>
            </w:pPr>
            <w:r>
              <w:rPr/>
              <w:t>  ​</w:t>
            </w:r>
          </w:p>
        </w:tc>
        <w:tc>
          <w:tcPr>
            <w:tcW w:w="459" w:type="dxa"/>
            <w:tcBorders/>
            <w:shd w:fill="CCEEFF" w:val="clear"/>
            <w:vAlign w:val="center"/>
          </w:tcPr>
          <w:p>
            <w:pPr>
              <w:pStyle w:val="TableContents"/>
              <w:bidi w:val="0"/>
              <w:spacing w:before="0" w:after="0"/>
              <w:ind w:left="0" w:right="0" w:hanging="0"/>
              <w:jc w:val="left"/>
              <w:rPr/>
            </w:pPr>
            <w:r>
              <w:rPr/>
              <w:t>  ​ ​ ​</w:t>
            </w:r>
          </w:p>
        </w:tc>
        <w:tc>
          <w:tcPr>
            <w:tcW w:w="280" w:type="dxa"/>
            <w:tcBorders/>
            <w:shd w:fill="CCEEFF" w:val="clear"/>
            <w:vAlign w:val="center"/>
          </w:tcPr>
          <w:p>
            <w:pPr>
              <w:pStyle w:val="TableContents"/>
              <w:bidi w:val="0"/>
              <w:spacing w:before="0" w:after="0"/>
              <w:ind w:left="0" w:right="0" w:hanging="0"/>
              <w:jc w:val="left"/>
              <w:rPr/>
            </w:pPr>
            <w:r>
              <w:rPr/>
              <w:t>​</w:t>
            </w:r>
          </w:p>
        </w:tc>
        <w:tc>
          <w:tcPr>
            <w:tcW w:w="1049" w:type="dxa"/>
            <w:tcBorders/>
            <w:shd w:fill="CCEEFF" w:val="clear"/>
            <w:vAlign w:val="center"/>
          </w:tcPr>
          <w:p>
            <w:pPr>
              <w:pStyle w:val="TableContents"/>
              <w:bidi w:val="0"/>
              <w:spacing w:before="0" w:after="0"/>
              <w:ind w:left="0" w:right="0" w:hanging="0"/>
              <w:jc w:val="right"/>
              <w:rPr/>
            </w:pPr>
            <w:r>
              <w:rPr/>
              <w:t>  ​</w:t>
            </w:r>
          </w:p>
        </w:tc>
      </w:tr>
      <w:tr>
        <w:trPr/>
        <w:tc>
          <w:tcPr>
            <w:tcW w:w="1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34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31,907</w:t>
            </w:r>
          </w:p>
        </w:tc>
        <w:tc>
          <w:tcPr>
            <w:tcW w:w="459"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27,480</w:t>
            </w:r>
          </w:p>
        </w:tc>
      </w:tr>
      <w:tr>
        <w:trPr/>
        <w:tc>
          <w:tcPr>
            <w:tcW w:w="19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 </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6,118</w:t>
            </w:r>
          </w:p>
        </w:tc>
        <w:tc>
          <w:tcPr>
            <w:tcW w:w="459"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 </w:t>
            </w:r>
          </w:p>
        </w:tc>
        <w:tc>
          <w:tcPr>
            <w:tcW w:w="10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5,057</w:t>
            </w:r>
          </w:p>
        </w:tc>
      </w:tr>
      <w:tr>
        <w:trPr/>
        <w:tc>
          <w:tcPr>
            <w:tcW w:w="1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w:t>
            </w:r>
          </w:p>
        </w:tc>
        <w:tc>
          <w:tcPr>
            <w:tcW w:w="346" w:type="dxa"/>
            <w:tcBorders/>
            <w:vAlign w:val="center"/>
          </w:tcPr>
          <w:p>
            <w:pPr>
              <w:pStyle w:val="TableContents"/>
              <w:bidi w:val="0"/>
              <w:spacing w:before="0" w:after="0"/>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(7,146)</w:t>
            </w:r>
          </w:p>
        </w:tc>
        <w:tc>
          <w:tcPr>
            <w:tcW w:w="459" w:type="dxa"/>
            <w:tcBorders/>
            <w:vAlign w:val="center"/>
          </w:tcPr>
          <w:p>
            <w:pPr>
              <w:pStyle w:val="TableContents"/>
              <w:bidi w:val="0"/>
              <w:spacing w:before="0" w:after="0"/>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(5,002)</w:t>
            </w:r>
          </w:p>
        </w:tc>
      </w:tr>
      <w:tr>
        <w:trPr/>
        <w:tc>
          <w:tcPr>
            <w:tcW w:w="19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30,879</w:t>
            </w:r>
          </w:p>
        </w:tc>
        <w:tc>
          <w:tcPr>
            <w:tcW w:w="459" w:type="dxa"/>
            <w:tcBorders/>
            <w:shd w:fill="CCEEFF" w:val="clear"/>
            <w:vAlign w:val="center"/>
          </w:tcPr>
          <w:p>
            <w:pPr>
              <w:pStyle w:val="TableContents"/>
              <w:bidi w:val="0"/>
              <w:spacing w:before="0" w:after="0"/>
              <w:ind w:left="0" w:right="0" w:hanging="0"/>
              <w:jc w:val="left"/>
              <w:rPr/>
            </w:pPr>
            <w:r>
              <w:rPr/>
              <w:t>​</w:t>
            </w:r>
          </w:p>
        </w:tc>
        <w:tc>
          <w:tcPr>
            <w:tcW w:w="2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9"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27,535</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766" w:type="dxa"/>
        <w:jc w:val="left"/>
        <w:tblInd w:w="0" w:type="dxa"/>
        <w:tblLayout w:type="fixed"/>
        <w:tblCellMar>
          <w:top w:w="0" w:type="dxa"/>
          <w:left w:w="0" w:type="dxa"/>
          <w:bottom w:w="0" w:type="dxa"/>
          <w:right w:w="0" w:type="dxa"/>
        </w:tblCellMar>
      </w:tblPr>
      <w:tblGrid>
        <w:gridCol w:w="6766"/>
      </w:tblGrid>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3.    ACQUISITIONS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March 2, 2026 (the “Acquisition Date”), the Company completed its acquisition of 100% of the equity interests of Finta Inc. and its subsidiaries (collectively, “Brinta” or the “Acquisition”). Headquartered in Uruguay, Brinta is a Latin American provider of business-to-business integration services, specializing in indirect tax calculation, tax filing, and e-invoicing. The Company plans to fully integrate Brinta, leveraging its e-invoicing capabilities to immediately expand the Company’s coverage across the Latin American region.</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Purchase Consideration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Total purchase consideration for the Acquisition was $21,968 net of $40 cash acquired, which included $10,089 for the settlement of pre-existing debt/borrowings.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 xml:space="preserve">Additional Consideration </w:t>
      </w:r>
    </w:p>
    <w:p>
      <w:pPr>
        <w:pStyle w:val="TextBody"/>
        <w:bidi w:val="0"/>
        <w:spacing w:before="0" w:after="0"/>
        <w:ind w:left="0" w:right="0" w:firstLine="360"/>
        <w:jc w:val="both"/>
        <w:rPr>
          <w:rFonts w:ascii="Times New Roman;Times;serif" w:hAnsi="Times New Roman;Times;serif"/>
          <w:i/>
          <w:sz w:val="20"/>
        </w:rPr>
      </w:pPr>
      <w:r>
        <w:rPr>
          <w:rFonts w:ascii="Times New Roman;Times;serif" w:hAnsi="Times New Roman;Times;serif"/>
          <w:i/>
          <w:sz w:val="20"/>
        </w:rPr>
        <w:t>Stock Consideration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connection with the Acquisition, the Company granted the sellers 497 shares of its Class A common stock (the “Stock Consideration”) in the form of restricted stock awards (“RSAs”) with an aggregate fair value of $8,000 based on the average closing share price of the Company’s Class A common stock for the 30 consecutive trading days ending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business day prior to the Acquisition Date. The RSAs vest ratably over a </w:t>
      </w:r>
      <w:r>
        <w:rPr>
          <w:rFonts w:ascii="Times New Roman;Times;serif" w:hAnsi="Times New Roman;Times;serif"/>
          <w:b w:val="false"/>
          <w:i w:val="false"/>
          <w:caps w:val="false"/>
          <w:smallCaps w:val="false"/>
          <w:sz w:val="20"/>
        </w:rPr>
        <w:t>four</w:t>
      </w:r>
      <w:r>
        <w:rPr>
          <w:rFonts w:ascii="Times New Roman;Times;serif" w:hAnsi="Times New Roman;Times;serif"/>
          <w:sz w:val="20"/>
        </w:rPr>
        <w:t>-year period (25% vesting annually), conditioned on the continued employment of the sellers during that period. The Stock Consideration is accounted for as post-combination compensation cost and will be recognized as stock-based compensation expense over the applicable service period. For further information on these RSAs, see Note 11, “Stock-Based Award Plans.”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i/>
          <w:sz w:val="20"/>
        </w:rPr>
      </w:pPr>
      <w:r>
        <w:rPr>
          <w:rFonts w:ascii="Times New Roman;Times;serif" w:hAnsi="Times New Roman;Times;serif"/>
          <w:i/>
          <w:sz w:val="20"/>
        </w:rPr>
        <w:t xml:space="preserve">Additional Cash Consideration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connection with the Acquisition, the Company entered into arrangements providing for aggregate additional cash consideration payments of $10,000 to the sellers (the “Additional Cash Consideration”), consisting of two installment payments of $5,000, payable on each of the first and second anniversaries of the Acquisition Date. Continued service to the Company is a requirement for the sellers to receive the additional cash consideration payments; however, in the event a seller is terminated without cause, the remaining payments remain payable on the original scheduled payment dates. These payments are accounted for as post-combination compensation liabilities and will be recognized as compensation expense over the applicable service period.</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 xml:space="preserve">Fair Value of Assets Acquired and Liabilities Assumed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purchase price was allocated to the net assets acquired based on the Company’s determination of their estimated fair values using available information as of the Acquisition Date. The excess of purchase consideration over the net assets acquired is recorded as goodwill, which primarily reflects the existence of intangible assets not recognized under U.S. GAAP such as the value of expected future synergies, the value of the assembled workforce and other market factors. The preliminary values recorded, which are reflected in the table below, will be adjusted during the measurement period as more detailed analyses are performed and further information becomes available regarding the fair values of these amounts on the Acquisition Date.</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766" w:type="dxa"/>
        <w:jc w:val="left"/>
        <w:tblInd w:w="0" w:type="dxa"/>
        <w:tblLayout w:type="fixed"/>
        <w:tblCellMar>
          <w:top w:w="0" w:type="dxa"/>
          <w:left w:w="0" w:type="dxa"/>
          <w:bottom w:w="0" w:type="dxa"/>
          <w:right w:w="0" w:type="dxa"/>
        </w:tblCellMar>
      </w:tblPr>
      <w:tblGrid>
        <w:gridCol w:w="6766"/>
      </w:tblGrid>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028" w:name="Tc_3tpzWFnNN0-15-sY6uGiEw_3_7"/>
      <w:bookmarkStart w:id="1029" w:name="Tc_yfLfUJ9xgEa2eLt8XrwMVw_3_4"/>
      <w:bookmarkStart w:id="1030" w:name="Tc_R14XECRdNUigqk3L7TWW_Q_3_2"/>
      <w:bookmarkStart w:id="1031" w:name="Tc_8y63FV62L0mj6TPmR4ZNuQ_3_0"/>
      <w:bookmarkStart w:id="1032" w:name="Tc_A3rkiE0H9Ea00GJifF7D3A_2_9"/>
      <w:bookmarkStart w:id="1033" w:name="Tc_S_9gc9m0I0-Hi8f1L27z5g_2_7"/>
      <w:bookmarkStart w:id="1034" w:name="Tc_yOrb7IdBt0GJqAd4B5NMkw_2_5"/>
      <w:bookmarkStart w:id="1035" w:name="Tc_A03I7rZAOU2RasxU3zj6QA_2_2"/>
      <w:bookmarkStart w:id="1036" w:name="Tc_IcwHU951GkKEAit4qCTIdQ_2_0"/>
      <w:bookmarkStart w:id="1037" w:name="Tc_hYURBXkaCU6HxBYL0eu4Eg_1_4"/>
      <w:bookmarkStart w:id="1038" w:name="Tc_XLfzZmBPSkK2LdislntCIw_13_0"/>
      <w:bookmarkStart w:id="1039" w:name="Tc_QcdQ1dNYG0qYg8qkdf9zzw_12_0"/>
      <w:bookmarkStart w:id="1040" w:name="Tc_D1kVtbkRPEG__SAihdm-Ow_11_1"/>
      <w:bookmarkStart w:id="1041" w:name="Tc_ezO1PxUZcUmiA05JBqLE7w_11_0"/>
      <w:bookmarkStart w:id="1042" w:name="Tc_bbR692J1HEy6lm9p5dkSRQ_10_0"/>
      <w:bookmarkStart w:id="1043" w:name="Tc_70ONDDacv0en_Y3h5arMUQ_9_0"/>
      <w:bookmarkStart w:id="1044" w:name="Tc_UG9zuuNPhkWnvjAisYgveA_8_0"/>
      <w:bookmarkStart w:id="1045" w:name="Tc_qocS9TpJvE-TzWFSZND80g_7_0"/>
      <w:bookmarkStart w:id="1046" w:name="Tc_ckWK4Ld1HEaBBbSZR42ESw_6_0"/>
      <w:bookmarkStart w:id="1047" w:name="Tc_6t0-ayZGMUqlKli6DAFNeg_5_0"/>
      <w:bookmarkStart w:id="1048" w:name="Tc_FipPPy3VdUC5pvXzSXGbCw_4_0"/>
      <w:bookmarkStart w:id="1049" w:name="Tc_ZWaaZGXMfkmf1VEq9kEjaQ_3_1"/>
      <w:bookmarkStart w:id="1050" w:name="Tc_NYUOVWMf3E-H6-liPoQBGw_3_0"/>
      <w:bookmarkStart w:id="1051" w:name="Tc_INt70_rLfkWI_3gdHwZ1bw_2_1"/>
      <w:bookmarkStart w:id="1052" w:name="Tc_M6RhKGHcWEK6r2FP3pFA_g_1_1"/>
      <w:bookmarkStart w:id="1053" w:name="Tc_3tpzWFnNN0-15-sY6uGiEw_3_7"/>
      <w:bookmarkStart w:id="1054" w:name="Tc_yfLfUJ9xgEa2eLt8XrwMVw_3_4"/>
      <w:bookmarkStart w:id="1055" w:name="Tc_R14XECRdNUigqk3L7TWW_Q_3_2"/>
      <w:bookmarkStart w:id="1056" w:name="Tc_8y63FV62L0mj6TPmR4ZNuQ_3_0"/>
      <w:bookmarkStart w:id="1057" w:name="Tc_A3rkiE0H9Ea00GJifF7D3A_2_9"/>
      <w:bookmarkStart w:id="1058" w:name="Tc_S_9gc9m0I0-Hi8f1L27z5g_2_7"/>
      <w:bookmarkStart w:id="1059" w:name="Tc_yOrb7IdBt0GJqAd4B5NMkw_2_5"/>
      <w:bookmarkStart w:id="1060" w:name="Tc_A03I7rZAOU2RasxU3zj6QA_2_2"/>
      <w:bookmarkStart w:id="1061" w:name="Tc_IcwHU951GkKEAit4qCTIdQ_2_0"/>
      <w:bookmarkStart w:id="1062" w:name="Tc_hYURBXkaCU6HxBYL0eu4Eg_1_4"/>
      <w:bookmarkStart w:id="1063" w:name="Tc_XLfzZmBPSkK2LdislntCIw_13_0"/>
      <w:bookmarkStart w:id="1064" w:name="Tc_QcdQ1dNYG0qYg8qkdf9zzw_12_0"/>
      <w:bookmarkStart w:id="1065" w:name="Tc_D1kVtbkRPEG__SAihdm-Ow_11_1"/>
      <w:bookmarkStart w:id="1066" w:name="Tc_ezO1PxUZcUmiA05JBqLE7w_11_0"/>
      <w:bookmarkStart w:id="1067" w:name="Tc_bbR692J1HEy6lm9p5dkSRQ_10_0"/>
      <w:bookmarkStart w:id="1068" w:name="Tc_70ONDDacv0en_Y3h5arMUQ_9_0"/>
      <w:bookmarkStart w:id="1069" w:name="Tc_UG9zuuNPhkWnvjAisYgveA_8_0"/>
      <w:bookmarkStart w:id="1070" w:name="Tc_qocS9TpJvE-TzWFSZND80g_7_0"/>
      <w:bookmarkStart w:id="1071" w:name="Tc_ckWK4Ld1HEaBBbSZR42ESw_6_0"/>
      <w:bookmarkStart w:id="1072" w:name="Tc_6t0-ayZGMUqlKli6DAFNeg_5_0"/>
      <w:bookmarkStart w:id="1073" w:name="Tc_FipPPy3VdUC5pvXzSXGbCw_4_0"/>
      <w:bookmarkStart w:id="1074" w:name="Tc_ZWaaZGXMfkmf1VEq9kEjaQ_3_1"/>
      <w:bookmarkStart w:id="1075" w:name="Tc_NYUOVWMf3E-H6-liPoQBGw_3_0"/>
      <w:bookmarkStart w:id="1076" w:name="Tc_INt70_rLfkWI_3gdHwZ1bw_2_1"/>
      <w:bookmarkStart w:id="1077" w:name="Tc_M6RhKGHcWEK6r2FP3pFA_g_1_1"/>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p>
    <w:tbl>
      <w:tblPr>
        <w:tblW w:w="6856" w:type="dxa"/>
        <w:jc w:val="left"/>
        <w:tblInd w:w="0" w:type="dxa"/>
        <w:tblLayout w:type="fixed"/>
        <w:tblCellMar>
          <w:top w:w="0" w:type="dxa"/>
          <w:left w:w="0" w:type="dxa"/>
          <w:bottom w:w="0" w:type="dxa"/>
          <w:right w:w="0" w:type="dxa"/>
        </w:tblCellMar>
      </w:tblPr>
      <w:tblGrid>
        <w:gridCol w:w="5641"/>
        <w:gridCol w:w="270"/>
        <w:gridCol w:w="945"/>
      </w:tblGrid>
      <w:tr>
        <w:trPr/>
        <w:tc>
          <w:tcPr>
            <w:tcW w:w="5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3582035" cy="175260"/>
                      <wp:effectExtent l="0" t="0" r="0" b="0"/>
                      <wp:wrapNone/>
                      <wp:docPr id="95" name="Frame95"/>
                      <a:graphic xmlns:a="http://schemas.openxmlformats.org/drawingml/2006/main">
                        <a:graphicData uri="http://schemas.microsoft.com/office/word/2010/wordprocessingShape">
                          <wps:wsp>
                            <wps:cNvSpPr txBox="1"/>
                            <wps:spPr>
                              <a:xfrm>
                                <a:off x="0" y="0"/>
                                <a:ext cx="3582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71450" cy="175260"/>
                      <wp:effectExtent l="0" t="0" r="0" b="0"/>
                      <wp:wrapNone/>
                      <wp:docPr id="96" name="Frame96"/>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00075" cy="175260"/>
                      <wp:effectExtent l="0" t="0" r="0" b="0"/>
                      <wp:wrapNone/>
                      <wp:docPr id="97" name="Frame97"/>
                      <a:graphic xmlns:a="http://schemas.openxmlformats.org/drawingml/2006/main">
                        <a:graphicData uri="http://schemas.microsoft.com/office/word/2010/wordprocessingShape">
                          <wps:wsp>
                            <wps:cNvSpPr txBox="1"/>
                            <wps:spPr>
                              <a:xfrm>
                                <a:off x="0" y="0"/>
                                <a:ext cx="600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41" w:type="dxa"/>
            <w:tcBorders/>
            <w:vAlign w:val="center"/>
          </w:tcPr>
          <w:p>
            <w:pPr>
              <w:pStyle w:val="TableContents"/>
              <w:bidi w:val="0"/>
              <w:spacing w:before="0" w:after="0"/>
              <w:ind w:left="0" w:right="0" w:hanging="0"/>
              <w:jc w:val="center"/>
              <w:rPr/>
            </w:pPr>
            <w:r>
              <w:rPr/>
              <w:t>​</w:t>
            </w:r>
          </w:p>
        </w:tc>
        <w:tc>
          <w:tcPr>
            <w:tcW w:w="12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2, 2026</w:t>
            </w:r>
          </w:p>
        </w:tc>
      </w:tr>
      <w:tr>
        <w:trPr/>
        <w:tc>
          <w:tcPr>
            <w:tcW w:w="5641" w:type="dxa"/>
            <w:tcBorders/>
            <w:vAlign w:val="center"/>
          </w:tcPr>
          <w:p>
            <w:pPr>
              <w:pStyle w:val="TableContents"/>
              <w:bidi w:val="0"/>
              <w:spacing w:before="0" w:after="0"/>
              <w:ind w:left="0" w:right="0" w:hanging="0"/>
              <w:jc w:val="left"/>
              <w:rPr/>
            </w:pPr>
            <w:r>
              <w:rPr/>
              <w:t>​</w:t>
            </w:r>
          </w:p>
        </w:tc>
        <w:tc>
          <w:tcPr>
            <w:tcW w:w="121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564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Cash</w:t>
            </w:r>
          </w:p>
        </w:tc>
        <w:tc>
          <w:tcPr>
            <w:tcW w:w="2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56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Accounts receivable</w:t>
            </w:r>
          </w:p>
        </w:tc>
        <w:tc>
          <w:tcPr>
            <w:tcW w:w="270"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w:t>
            </w:r>
          </w:p>
        </w:tc>
      </w:tr>
      <w:tr>
        <w:trPr/>
        <w:tc>
          <w:tcPr>
            <w:tcW w:w="564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Prepaid expenses and other current assets</w:t>
            </w:r>
          </w:p>
        </w:tc>
        <w:tc>
          <w:tcPr>
            <w:tcW w:w="270" w:type="dxa"/>
            <w:tcBorders/>
            <w:shd w:fill="CCEEFF" w:val="clear"/>
            <w:vAlign w:val="center"/>
          </w:tcPr>
          <w:p>
            <w:pPr>
              <w:pStyle w:val="TableContents"/>
              <w:bidi w:val="0"/>
              <w:spacing w:before="0" w:after="0"/>
              <w:ind w:left="0" w:right="0" w:hanging="0"/>
              <w:jc w:val="left"/>
              <w:rPr/>
            </w:pPr>
            <w:r>
              <w:rPr/>
              <w:t>​</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5641" w:type="dxa"/>
            <w:tcBorders/>
            <w:vAlign w:val="center"/>
          </w:tcPr>
          <w:p>
            <w:pPr>
              <w:pStyle w:val="TableContents"/>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 xml:space="preserve">Property and equipment </w:t>
            </w:r>
            <w:r>
              <w:rPr>
                <w:rFonts w:ascii="Times New Roman;Times;serif" w:hAnsi="Times New Roman;Times;serif"/>
                <w:sz w:val="15"/>
              </w:rPr>
              <w:t>(1)</w:t>
            </w:r>
          </w:p>
        </w:tc>
        <w:tc>
          <w:tcPr>
            <w:tcW w:w="270"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7,932</w:t>
            </w:r>
          </w:p>
        </w:tc>
      </w:tr>
      <w:tr>
        <w:trPr/>
        <w:tc>
          <w:tcPr>
            <w:tcW w:w="5641" w:type="dxa"/>
            <w:tcBorders/>
            <w:shd w:fill="CCEEFF" w:val="clear"/>
            <w:vAlign w:val="center"/>
          </w:tcPr>
          <w:p>
            <w:pPr>
              <w:pStyle w:val="TableContents"/>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 xml:space="preserve">Goodwill </w:t>
            </w:r>
            <w:r>
              <w:rPr>
                <w:rFonts w:ascii="Times New Roman;Times;serif" w:hAnsi="Times New Roman;Times;serif"/>
                <w:sz w:val="15"/>
              </w:rPr>
              <w:t>(2)</w:t>
            </w:r>
          </w:p>
        </w:tc>
        <w:tc>
          <w:tcPr>
            <w:tcW w:w="270" w:type="dxa"/>
            <w:tcBorders/>
            <w:shd w:fill="CCEEFF" w:val="clear"/>
            <w:vAlign w:val="center"/>
          </w:tcPr>
          <w:p>
            <w:pPr>
              <w:pStyle w:val="TableContents"/>
              <w:bidi w:val="0"/>
              <w:spacing w:before="0" w:after="0"/>
              <w:ind w:left="0" w:right="0" w:hanging="0"/>
              <w:jc w:val="left"/>
              <w:rPr/>
            </w:pPr>
            <w:r>
              <w:rPr/>
              <w:t>​</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14,912</w:t>
            </w:r>
          </w:p>
        </w:tc>
      </w:tr>
      <w:tr>
        <w:trPr/>
        <w:tc>
          <w:tcPr>
            <w:tcW w:w="56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Accounts payable</w:t>
            </w:r>
          </w:p>
        </w:tc>
        <w:tc>
          <w:tcPr>
            <w:tcW w:w="270"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564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current liabilities</w:t>
            </w:r>
          </w:p>
        </w:tc>
        <w:tc>
          <w:tcPr>
            <w:tcW w:w="270" w:type="dxa"/>
            <w:tcBorders/>
            <w:shd w:fill="CCEEFF" w:val="clear"/>
            <w:vAlign w:val="center"/>
          </w:tcPr>
          <w:p>
            <w:pPr>
              <w:pStyle w:val="TableContents"/>
              <w:bidi w:val="0"/>
              <w:spacing w:before="0" w:after="0"/>
              <w:ind w:left="0" w:right="0" w:hanging="0"/>
              <w:jc w:val="left"/>
              <w:rPr/>
            </w:pPr>
            <w:r>
              <w:rPr/>
              <w:t>​</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56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Deferred income tax</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(1,487)</w:t>
            </w:r>
          </w:p>
        </w:tc>
      </w:tr>
      <w:tr>
        <w:trPr/>
        <w:tc>
          <w:tcPr>
            <w:tcW w:w="5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2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22,008</w:t>
            </w:r>
          </w:p>
        </w:tc>
      </w:tr>
      <w:tr>
        <w:trPr/>
        <w:tc>
          <w:tcPr>
            <w:tcW w:w="5641"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4"/>
              </w:rPr>
              <w:t>(1)</w:t>
            </w:r>
            <w:r>
              <w:rPr>
                <w:rFonts w:ascii="Times New Roman;Times;serif" w:hAnsi="Times New Roman;Times;serif"/>
                <w:sz w:val="18"/>
              </w:rPr>
              <w:t xml:space="preserve"> Includes $7,848 of acquired developed technology.</w:t>
            </w:r>
          </w:p>
        </w:tc>
        <w:tc>
          <w:tcPr>
            <w:tcW w:w="270"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left"/>
              <w:rPr/>
            </w:pPr>
            <w:r>
              <w:rPr/>
              <w:t>​</w:t>
            </w:r>
          </w:p>
        </w:tc>
      </w:tr>
      <w:tr>
        <w:trPr/>
        <w:tc>
          <w:tcPr>
            <w:tcW w:w="5641"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4"/>
              </w:rPr>
              <w:t>(2)</w:t>
            </w:r>
            <w:r>
              <w:rPr>
                <w:rFonts w:ascii="Times New Roman;Times;serif" w:hAnsi="Times New Roman;Times;serif"/>
                <w:sz w:val="18"/>
              </w:rPr>
              <w:t xml:space="preserve"> Goodwill associated with the acquisition is not deductible for tax purposes.</w:t>
            </w:r>
          </w:p>
        </w:tc>
        <w:tc>
          <w:tcPr>
            <w:tcW w:w="270"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fair value, valuation methodology, estimated useful life, and significant assumptions of the identifiable intangible asset acquired in the Acquisition are summarized in the table below:</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1882"/>
        <w:gridCol w:w="109"/>
        <w:gridCol w:w="1972"/>
        <w:gridCol w:w="109"/>
        <w:gridCol w:w="211"/>
        <w:gridCol w:w="781"/>
        <w:gridCol w:w="109"/>
        <w:gridCol w:w="3499"/>
        <w:gridCol w:w="109"/>
        <w:gridCol w:w="1424"/>
      </w:tblGrid>
      <w:tr>
        <w:trPr/>
        <w:tc>
          <w:tcPr>
            <w:tcW w:w="18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195070" cy="175260"/>
                      <wp:effectExtent l="0" t="0" r="0" b="0"/>
                      <wp:wrapNone/>
                      <wp:docPr id="98" name="Frame98"/>
                      <a:graphic xmlns:a="http://schemas.openxmlformats.org/drawingml/2006/main">
                        <a:graphicData uri="http://schemas.microsoft.com/office/word/2010/wordprocessingShape">
                          <wps:wsp>
                            <wps:cNvSpPr txBox="1"/>
                            <wps:spPr>
                              <a:xfrm>
                                <a:off x="0" y="0"/>
                                <a:ext cx="1195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9215" cy="175260"/>
                      <wp:effectExtent l="0" t="0" r="0" b="0"/>
                      <wp:wrapNone/>
                      <wp:docPr id="99" name="Frame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252220" cy="175260"/>
                      <wp:effectExtent l="0" t="0" r="0" b="0"/>
                      <wp:wrapNone/>
                      <wp:docPr id="100" name="Frame100"/>
                      <a:graphic xmlns:a="http://schemas.openxmlformats.org/drawingml/2006/main">
                        <a:graphicData uri="http://schemas.microsoft.com/office/word/2010/wordprocessingShape">
                          <wps:wsp>
                            <wps:cNvSpPr txBox="1"/>
                            <wps:spPr>
                              <a:xfrm>
                                <a:off x="0" y="0"/>
                                <a:ext cx="1252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9215" cy="175260"/>
                      <wp:effectExtent l="0" t="0" r="0" b="0"/>
                      <wp:wrapNone/>
                      <wp:docPr id="101" name="Frame1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3985" cy="175260"/>
                      <wp:effectExtent l="0" t="0" r="0" b="0"/>
                      <wp:wrapNone/>
                      <wp:docPr id="102" name="Frame1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495935" cy="175260"/>
                      <wp:effectExtent l="0" t="0" r="0" b="0"/>
                      <wp:wrapNone/>
                      <wp:docPr id="103" name="Frame10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9215" cy="175260"/>
                      <wp:effectExtent l="0" t="0" r="0" b="0"/>
                      <wp:wrapNone/>
                      <wp:docPr id="104" name="Frame1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221865" cy="175260"/>
                      <wp:effectExtent l="0" t="0" r="0" b="0"/>
                      <wp:wrapNone/>
                      <wp:docPr id="105" name="Frame105"/>
                      <a:graphic xmlns:a="http://schemas.openxmlformats.org/drawingml/2006/main">
                        <a:graphicData uri="http://schemas.microsoft.com/office/word/2010/wordprocessingShape">
                          <wps:wsp>
                            <wps:cNvSpPr txBox="1"/>
                            <wps:spPr>
                              <a:xfrm>
                                <a:off x="0" y="0"/>
                                <a:ext cx="2221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9215" cy="175260"/>
                      <wp:effectExtent l="0" t="0" r="0" b="0"/>
                      <wp:wrapNone/>
                      <wp:docPr id="106" name="Frame1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904240" cy="175260"/>
                      <wp:effectExtent l="0" t="0" r="0" b="0"/>
                      <wp:wrapNone/>
                      <wp:docPr id="107" name="Frame107"/>
                      <a:graphic xmlns:a="http://schemas.openxmlformats.org/drawingml/2006/main">
                        <a:graphicData uri="http://schemas.microsoft.com/office/word/2010/wordprocessingShape">
                          <wps:wsp>
                            <wps:cNvSpPr txBox="1"/>
                            <wps:spPr>
                              <a:xfrm>
                                <a:off x="0" y="0"/>
                                <a:ext cx="904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8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7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13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2, 2026</w:t>
            </w:r>
          </w:p>
        </w:tc>
      </w:tr>
      <w:tr>
        <w:trPr/>
        <w:tc>
          <w:tcPr>
            <w:tcW w:w="188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Brinta Identifiable Intangibles</w:t>
            </w:r>
          </w:p>
        </w:tc>
        <w:tc>
          <w:tcPr>
            <w:tcW w:w="109" w:type="dxa"/>
            <w:tcBorders/>
            <w:vAlign w:val="center"/>
          </w:tcPr>
          <w:p>
            <w:pPr>
              <w:pStyle w:val="TableContents"/>
              <w:bidi w:val="0"/>
              <w:spacing w:before="0" w:after="0"/>
              <w:ind w:left="0" w:right="0" w:hanging="0"/>
              <w:jc w:val="left"/>
              <w:rPr/>
            </w:pPr>
            <w:r>
              <w:rPr/>
              <w:t>​</w:t>
            </w:r>
          </w:p>
        </w:tc>
        <w:tc>
          <w:tcPr>
            <w:tcW w:w="197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Sheet Location</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09" w:type="dxa"/>
            <w:tcBorders/>
            <w:vAlign w:val="center"/>
          </w:tcPr>
          <w:p>
            <w:pPr>
              <w:pStyle w:val="TableContents"/>
              <w:bidi w:val="0"/>
              <w:spacing w:before="0" w:after="0"/>
              <w:ind w:left="0" w:right="0" w:hanging="0"/>
              <w:jc w:val="left"/>
              <w:rPr/>
            </w:pPr>
            <w:r>
              <w:rPr/>
              <w:t>​</w:t>
            </w:r>
          </w:p>
        </w:tc>
        <w:tc>
          <w:tcPr>
            <w:tcW w:w="349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Valuation Methodology</w:t>
            </w:r>
          </w:p>
        </w:tc>
        <w:tc>
          <w:tcPr>
            <w:tcW w:w="109" w:type="dxa"/>
            <w:tcBorders/>
            <w:vAlign w:val="center"/>
          </w:tcPr>
          <w:p>
            <w:pPr>
              <w:pStyle w:val="TableContents"/>
              <w:bidi w:val="0"/>
              <w:spacing w:before="0" w:after="0"/>
              <w:ind w:left="0" w:right="0" w:hanging="0"/>
              <w:jc w:val="left"/>
              <w:rPr/>
            </w:pPr>
            <w:r>
              <w:rPr/>
              <w:t>​</w:t>
            </w:r>
          </w:p>
        </w:tc>
        <w:tc>
          <w:tcPr>
            <w:tcW w:w="142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 Useful Life</w:t>
            </w:r>
          </w:p>
        </w:tc>
      </w:tr>
      <w:tr>
        <w:trPr/>
        <w:tc>
          <w:tcPr>
            <w:tcW w:w="18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Developed technology</w:t>
            </w:r>
          </w:p>
        </w:tc>
        <w:tc>
          <w:tcPr>
            <w:tcW w:w="109" w:type="dxa"/>
            <w:tcBorders/>
            <w:shd w:fill="CCEEFF" w:val="clear"/>
            <w:vAlign w:val="center"/>
          </w:tcPr>
          <w:p>
            <w:pPr>
              <w:pStyle w:val="TableContents"/>
              <w:bidi w:val="0"/>
              <w:spacing w:before="0" w:after="0"/>
              <w:ind w:left="0" w:right="0" w:hanging="0"/>
              <w:jc w:val="left"/>
              <w:rPr/>
            </w:pPr>
            <w:r>
              <w:rPr/>
              <w:t>​</w:t>
            </w:r>
          </w:p>
        </w:tc>
        <w:tc>
          <w:tcPr>
            <w:tcW w:w="19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Property and equipment, net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7,848</w:t>
            </w:r>
          </w:p>
        </w:tc>
        <w:tc>
          <w:tcPr>
            <w:tcW w:w="109" w:type="dxa"/>
            <w:tcBorders/>
            <w:shd w:fill="CCEEFF" w:val="clear"/>
            <w:vAlign w:val="center"/>
          </w:tcPr>
          <w:p>
            <w:pPr>
              <w:pStyle w:val="TableContents"/>
              <w:bidi w:val="0"/>
              <w:spacing w:before="0" w:after="0"/>
              <w:ind w:left="0" w:right="0" w:hanging="0"/>
              <w:jc w:val="left"/>
              <w:rPr/>
            </w:pPr>
            <w:r>
              <w:rPr/>
              <w:t>​</w:t>
            </w:r>
          </w:p>
        </w:tc>
        <w:tc>
          <w:tcPr>
            <w:tcW w:w="3499"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Multi-period excess earnings method - income approach</w:t>
            </w:r>
          </w:p>
        </w:tc>
        <w:tc>
          <w:tcPr>
            <w:tcW w:w="109" w:type="dxa"/>
            <w:tcBorders/>
            <w:shd w:fill="CCEEFF" w:val="clear"/>
            <w:vAlign w:val="center"/>
          </w:tcPr>
          <w:p>
            <w:pPr>
              <w:pStyle w:val="TableContents"/>
              <w:bidi w:val="0"/>
              <w:spacing w:before="0" w:after="0"/>
              <w:ind w:left="0" w:right="0" w:hanging="0"/>
              <w:jc w:val="left"/>
              <w:rPr/>
            </w:pPr>
            <w:r>
              <w:rPr/>
              <w:t>​</w:t>
            </w:r>
          </w:p>
        </w:tc>
        <w:tc>
          <w:tcPr>
            <w:tcW w:w="1424"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 years</w:t>
            </w:r>
          </w:p>
        </w:tc>
      </w:tr>
    </w:tbl>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Any subsequent adjustments to the preliminary values not associated with determination of their fair values on the Acquisition Date will be recorded in the consolidated statements of comprehensive income (loss) in the period in which the adjustment is identified.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Total transaction costs associated with the Acquisition were $690 for the three months ended March 31, 2026 and are recorded in other operating expense (income), net in the condensed consolidated statements of comprehensive income (loss).</w:t>
      </w:r>
    </w:p>
    <w:p>
      <w:pPr>
        <w:pStyle w:val="TextBody"/>
        <w:bidi w:val="0"/>
        <w:spacing w:before="0" w:after="0"/>
        <w:ind w:left="0" w:right="0" w:hanging="0"/>
        <w:jc w:val="both"/>
        <w:rPr/>
      </w:pPr>
      <w:r>
        <w:rPr/>
        <w:t>​</w:t>
      </w:r>
    </w:p>
    <w:p>
      <w:pPr>
        <w:pStyle w:val="TextBody"/>
        <w:bidi w:val="0"/>
        <w:spacing w:before="0" w:after="0"/>
        <w:ind w:left="0" w:right="0" w:firstLine="36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766" w:type="dxa"/>
        <w:jc w:val="left"/>
        <w:tblInd w:w="0" w:type="dxa"/>
        <w:tblLayout w:type="fixed"/>
        <w:tblCellMar>
          <w:top w:w="0" w:type="dxa"/>
          <w:left w:w="0" w:type="dxa"/>
          <w:bottom w:w="0" w:type="dxa"/>
          <w:right w:w="0" w:type="dxa"/>
        </w:tblCellMar>
      </w:tblPr>
      <w:tblGrid>
        <w:gridCol w:w="6766"/>
      </w:tblGrid>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1078" w:name="Tc_CW3pRVVpF02gBuKV-llniw_13_9"/>
      <w:bookmarkStart w:id="1079" w:name="Tc_GAXFHWmbO0-PgYTqDhl8CQ_13_6"/>
      <w:bookmarkStart w:id="1080" w:name="Tc_RTnMs6ZPtUmf8PyZUz9FLw_13_0"/>
      <w:bookmarkStart w:id="1081" w:name="Tc_-4Xtjt20TUax0tYvbn3qiA_12_9"/>
      <w:bookmarkStart w:id="1082" w:name="Tc_1pfBQmJ5pkeF6XXJ_Dv7QQ_12_6"/>
      <w:bookmarkStart w:id="1083" w:name="Tc_YV8Ahl1ktk-IYQ9G59oL7A_12_0"/>
      <w:bookmarkStart w:id="1084" w:name="Tc_BrZRY76zN0mQ5-XWfdb8pA_11_9"/>
      <w:bookmarkStart w:id="1085" w:name="Tc_Owdt4cbFE0SPtWZFYwocyA_11_6"/>
      <w:bookmarkStart w:id="1086" w:name="Tc__hm1YLYL_EuSrC9RRYm29A_11_0"/>
      <w:bookmarkStart w:id="1087" w:name="Tc_j4vsFvv8pUKI54oahcRfEg_10_12"/>
      <w:bookmarkStart w:id="1088" w:name="Tc_31m7FAvnL0S6hf5tgD7YKA_10_11"/>
      <w:bookmarkStart w:id="1089" w:name="Tc_nZCtETIvek6eWauNPPvhsw_10_9"/>
      <w:bookmarkStart w:id="1090" w:name="Tc_CABNTNU7LEuZU9D88hbDXw_10_8"/>
      <w:bookmarkStart w:id="1091" w:name="Tc_N2nMp00GlUKKlIPaeR6rsA_10_5"/>
      <w:bookmarkStart w:id="1092" w:name="Tc_WImTxXLv0UiraAjUO0Y6dQ_10_2"/>
      <w:bookmarkStart w:id="1093" w:name="Tc_U8FYWjpohESyJROcTrpp9Q_10_0"/>
      <w:bookmarkStart w:id="1094" w:name="Tc_R-IWMvXFZ0-fYk-IrrKOPg_9_11"/>
      <w:bookmarkStart w:id="1095" w:name="Tc_Ifr9Mxhas0md344jX4ph2A_9_8"/>
      <w:bookmarkStart w:id="1096" w:name="Tc_kGg8FI0AnUm3kx4Xkjqv-g_9_5"/>
      <w:bookmarkStart w:id="1097" w:name="Tc_XbkMYzbxAUKw61cR-96dGw_9_2"/>
      <w:bookmarkStart w:id="1098" w:name="Tc_QQnDCyxG10GBbGSjoiuz7g_9_0"/>
      <w:bookmarkStart w:id="1099" w:name="Tc_XxdQQuilz0mpmtvh0YKI3Q_8_2"/>
      <w:bookmarkStart w:id="1100" w:name="Tc_zppXdnHdaUOuA9OCUd6Lmw_6_9"/>
      <w:bookmarkStart w:id="1101" w:name="Tc_KxX4v2gQaUiWUxO0Vwkwtg_6_6"/>
      <w:bookmarkStart w:id="1102" w:name="Tc_wmBYBUI-7kifsQMLtF1vUQ_6_0"/>
      <w:bookmarkStart w:id="1103" w:name="Tc_IsNR8dQIYEu3_ckQ1kV8Mg_5_9"/>
      <w:bookmarkStart w:id="1104" w:name="Tc_R-xQfpNbNE-RTU2fduMIiA_5_6"/>
      <w:bookmarkStart w:id="1105" w:name="Tc_D8pRRi5ItEeSfPaxoDzFQw_5_0"/>
      <w:bookmarkStart w:id="1106" w:name="Tc_W6mhnNdjCk-HCY_63uKH2w_4_9"/>
      <w:bookmarkStart w:id="1107" w:name="Tc_rl7H4cqEGEy9aLRXWuM3Ug_4_6"/>
      <w:bookmarkStart w:id="1108" w:name="Tc_SWqBuycWb0OPXw48fiXEgA_4_0"/>
      <w:bookmarkStart w:id="1109" w:name="Tc_i_HPBcaXi0ahrytYi5OCrQ_3_12"/>
      <w:bookmarkStart w:id="1110" w:name="Tc_zQwoeUDvakSZrXfSlE01cQ_3_11"/>
      <w:bookmarkStart w:id="1111" w:name="Tc_DO0pClK3xEq6JnBWh0i50Q_3_9"/>
      <w:bookmarkStart w:id="1112" w:name="Tc_QxRGIbsqdkqzg5OXH0_ioQ_3_8"/>
      <w:bookmarkStart w:id="1113" w:name="Tc_c6mhkDj2SE2wsWbk7nbAhw_3_5"/>
      <w:bookmarkStart w:id="1114" w:name="Tc_IAF4CbFVk0Sh7_YW3mlXzg_3_2"/>
      <w:bookmarkStart w:id="1115" w:name="Tc_bYvmNCMbR0CPsPQ1dBx4ag_3_0"/>
      <w:bookmarkStart w:id="1116" w:name="Tc_Lm2ODTXBKE6g2CR-2TALTw_2_11"/>
      <w:bookmarkStart w:id="1117" w:name="Tc_EVgt0S5h-UG1pcNiSS2W7g_2_8"/>
      <w:bookmarkStart w:id="1118" w:name="Tc_Xa2y6_Cdu0C1IrX8VGgnHQ_2_5"/>
      <w:bookmarkStart w:id="1119" w:name="Tc_AG3ppush9UmJGIvhnwBUyQ_2_2"/>
      <w:bookmarkStart w:id="1120" w:name="Tc_1rNC8s_Je0-DeLQYnisIkA_2_0"/>
      <w:bookmarkStart w:id="1121" w:name="Tc_kUZy6qfj5ECTe1DmLFQ_1A_1_2"/>
      <w:bookmarkStart w:id="1122" w:name="_Hlk71285014"/>
      <w:bookmarkStart w:id="1123" w:name="_Hlk71703622"/>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r>
        <w:rPr>
          <w:rFonts w:ascii="Times New Roman;Times;serif" w:hAnsi="Times New Roman;Times;serif"/>
          <w:b/>
          <w:sz w:val="20"/>
        </w:rPr>
        <w:t xml:space="preserve">4.      FINANCIAL INSTRUMENTS AND FAIR VALUE MEASUREMENTS </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 xml:space="preserve">Assets and Liabilities Measured at Fair Value on a Recurring Basis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summarizes the Company’s fair value for its financial assets and liabilities measured at fair value on a recurring basis: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868"/>
        <w:gridCol w:w="109"/>
        <w:gridCol w:w="211"/>
        <w:gridCol w:w="781"/>
        <w:gridCol w:w="346"/>
        <w:gridCol w:w="544"/>
        <w:gridCol w:w="2015"/>
        <w:gridCol w:w="346"/>
        <w:gridCol w:w="689"/>
        <w:gridCol w:w="1134"/>
        <w:gridCol w:w="346"/>
        <w:gridCol w:w="380"/>
        <w:gridCol w:w="1436"/>
      </w:tblGrid>
      <w:tr>
        <w:trPr/>
        <w:tc>
          <w:tcPr>
            <w:tcW w:w="18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186180" cy="175260"/>
                      <wp:effectExtent l="0" t="0" r="0" b="0"/>
                      <wp:wrapNone/>
                      <wp:docPr id="108" name="Frame108"/>
                      <a:graphic xmlns:a="http://schemas.openxmlformats.org/drawingml/2006/main">
                        <a:graphicData uri="http://schemas.microsoft.com/office/word/2010/wordprocessingShape">
                          <wps:wsp>
                            <wps:cNvSpPr txBox="1"/>
                            <wps:spPr>
                              <a:xfrm>
                                <a:off x="0" y="0"/>
                                <a:ext cx="1186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9215" cy="175260"/>
                      <wp:effectExtent l="0" t="0" r="0" b="0"/>
                      <wp:wrapNone/>
                      <wp:docPr id="109" name="Frame10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33985" cy="175260"/>
                      <wp:effectExtent l="0" t="0" r="0" b="0"/>
                      <wp:wrapNone/>
                      <wp:docPr id="110" name="Frame1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495935" cy="175260"/>
                      <wp:effectExtent l="0" t="0" r="0" b="0"/>
                      <wp:wrapNone/>
                      <wp:docPr id="111" name="Frame11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19710" cy="175260"/>
                      <wp:effectExtent l="0" t="0" r="0" b="0"/>
                      <wp:wrapNone/>
                      <wp:docPr id="112" name="Frame1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345440" cy="175260"/>
                      <wp:effectExtent l="0" t="0" r="0" b="0"/>
                      <wp:wrapNone/>
                      <wp:docPr id="113" name="Frame113"/>
                      <a:graphic xmlns:a="http://schemas.openxmlformats.org/drawingml/2006/main">
                        <a:graphicData uri="http://schemas.microsoft.com/office/word/2010/wordprocessingShape">
                          <wps:wsp>
                            <wps:cNvSpPr txBox="1"/>
                            <wps:spPr>
                              <a:xfrm>
                                <a:off x="0" y="0"/>
                                <a:ext cx="345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279525" cy="175260"/>
                      <wp:effectExtent l="0" t="0" r="0" b="0"/>
                      <wp:wrapNone/>
                      <wp:docPr id="114" name="Frame114"/>
                      <a:graphic xmlns:a="http://schemas.openxmlformats.org/drawingml/2006/main">
                        <a:graphicData uri="http://schemas.microsoft.com/office/word/2010/wordprocessingShape">
                          <wps:wsp>
                            <wps:cNvSpPr txBox="1"/>
                            <wps:spPr>
                              <a:xfrm>
                                <a:off x="0" y="0"/>
                                <a:ext cx="1279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19710" cy="175260"/>
                      <wp:effectExtent l="0" t="0" r="0" b="0"/>
                      <wp:wrapNone/>
                      <wp:docPr id="115" name="Frame1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437515" cy="175260"/>
                      <wp:effectExtent l="0" t="0" r="0" b="0"/>
                      <wp:wrapNone/>
                      <wp:docPr id="116" name="Frame116"/>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720090" cy="175260"/>
                      <wp:effectExtent l="0" t="0" r="0" b="0"/>
                      <wp:wrapNone/>
                      <wp:docPr id="117" name="Frame117"/>
                      <a:graphic xmlns:a="http://schemas.openxmlformats.org/drawingml/2006/main">
                        <a:graphicData uri="http://schemas.microsoft.com/office/word/2010/wordprocessingShape">
                          <wps:wsp>
                            <wps:cNvSpPr txBox="1"/>
                            <wps:spPr>
                              <a:xfrm>
                                <a:off x="0" y="0"/>
                                <a:ext cx="7200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19710" cy="175260"/>
                      <wp:effectExtent l="0" t="0" r="0" b="0"/>
                      <wp:wrapNone/>
                      <wp:docPr id="118" name="Frame1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41300" cy="175260"/>
                      <wp:effectExtent l="0" t="0" r="0" b="0"/>
                      <wp:wrapNone/>
                      <wp:docPr id="119" name="Frame119"/>
                      <a:graphic xmlns:a="http://schemas.openxmlformats.org/drawingml/2006/main">
                        <a:graphicData uri="http://schemas.microsoft.com/office/word/2010/wordprocessingShape">
                          <wps:wsp>
                            <wps:cNvSpPr txBox="1"/>
                            <wps:spPr>
                              <a:xfrm>
                                <a:off x="0" y="0"/>
                                <a:ext cx="2413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911860" cy="175260"/>
                      <wp:effectExtent l="0" t="0" r="0" b="0"/>
                      <wp:wrapNone/>
                      <wp:docPr id="120" name="Frame120"/>
                      <a:graphic xmlns:a="http://schemas.openxmlformats.org/drawingml/2006/main">
                        <a:graphicData uri="http://schemas.microsoft.com/office/word/2010/wordprocessingShape">
                          <wps:wsp>
                            <wps:cNvSpPr txBox="1"/>
                            <wps:spPr>
                              <a:xfrm>
                                <a:off x="0" y="0"/>
                                <a:ext cx="911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6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228"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Measurements Using</w:t>
            </w:r>
          </w:p>
        </w:tc>
      </w:tr>
      <w:tr>
        <w:trPr/>
        <w:tc>
          <w:tcPr>
            <w:tcW w:w="186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As of March 31, 2026 (unaudited)</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1"/>
              <w:ind w:left="0" w:right="0" w:hanging="0"/>
              <w:jc w:val="left"/>
              <w:rPr/>
            </w:pPr>
            <w:r>
              <w:rPr/>
              <w:t>  ​ ​ ​</w:t>
            </w:r>
          </w:p>
        </w:tc>
        <w:tc>
          <w:tcPr>
            <w:tcW w:w="255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Prices in active markets for identical assets (Level 1)</w:t>
            </w:r>
          </w:p>
        </w:tc>
        <w:tc>
          <w:tcPr>
            <w:tcW w:w="346" w:type="dxa"/>
            <w:tcBorders/>
            <w:vAlign w:val="center"/>
          </w:tcPr>
          <w:p>
            <w:pPr>
              <w:pStyle w:val="TableContents"/>
              <w:bidi w:val="0"/>
              <w:spacing w:before="0" w:after="1"/>
              <w:ind w:left="0" w:right="0" w:hanging="0"/>
              <w:jc w:val="left"/>
              <w:rPr/>
            </w:pPr>
            <w:r>
              <w:rPr/>
              <w:t>  ​ ​ ​</w:t>
            </w:r>
          </w:p>
        </w:tc>
        <w:tc>
          <w:tcPr>
            <w:tcW w:w="182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 other observable inputs</w:t>
              <w:br/>
              <w:t>(Level 2)</w:t>
            </w:r>
          </w:p>
        </w:tc>
        <w:tc>
          <w:tcPr>
            <w:tcW w:w="346" w:type="dxa"/>
            <w:tcBorders/>
            <w:vAlign w:val="center"/>
          </w:tcPr>
          <w:p>
            <w:pPr>
              <w:pStyle w:val="TableContents"/>
              <w:bidi w:val="0"/>
              <w:spacing w:before="0" w:after="1"/>
              <w:ind w:left="0" w:right="0" w:hanging="0"/>
              <w:jc w:val="left"/>
              <w:rPr/>
            </w:pPr>
            <w:r>
              <w:rPr/>
              <w:t>  ​ ​ ​</w:t>
            </w:r>
          </w:p>
        </w:tc>
        <w:tc>
          <w:tcPr>
            <w:tcW w:w="18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 unobservable inputs</w:t>
              <w:br/>
              <w:t xml:space="preserve">(Level 3) </w:t>
            </w:r>
          </w:p>
        </w:tc>
      </w:tr>
      <w:tr>
        <w:trPr/>
        <w:tc>
          <w:tcPr>
            <w:tcW w:w="18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109"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198,605</w:t>
            </w:r>
          </w:p>
        </w:tc>
        <w:tc>
          <w:tcPr>
            <w:tcW w:w="346" w:type="dxa"/>
            <w:tcBorders/>
            <w:shd w:fill="CCEEFF" w:val="clear"/>
            <w:vAlign w:val="center"/>
          </w:tcPr>
          <w:p>
            <w:pPr>
              <w:pStyle w:val="TableContents"/>
              <w:bidi w:val="0"/>
              <w:spacing w:before="0" w:after="1"/>
              <w:ind w:left="0" w:right="0" w:hanging="0"/>
              <w:jc w:val="left"/>
              <w:rPr/>
            </w:pPr>
            <w:r>
              <w:rPr/>
              <w:t>​</w:t>
            </w:r>
          </w:p>
        </w:tc>
        <w:tc>
          <w:tcPr>
            <w:tcW w:w="54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01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198,605</w:t>
            </w:r>
          </w:p>
        </w:tc>
        <w:tc>
          <w:tcPr>
            <w:tcW w:w="346"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3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36" w:type="dxa"/>
            <w:tcBorders/>
            <w:shd w:fill="CCEEFF" w:val="clear"/>
            <w:vAlign w:val="center"/>
          </w:tcPr>
          <w:p>
            <w:pPr>
              <w:pStyle w:val="TableContents"/>
              <w:bidi w:val="0"/>
              <w:spacing w:before="0" w:after="1"/>
              <w:ind w:left="0" w:right="0" w:hanging="0"/>
              <w:jc w:val="right"/>
              <w:rPr/>
            </w:pPr>
            <w:r>
              <w:rPr/>
              <w:t>—</w:t>
            </w:r>
          </w:p>
        </w:tc>
      </w:tr>
      <w:tr>
        <w:trPr/>
        <w:tc>
          <w:tcPr>
            <w:tcW w:w="186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ecosio Cash Earn-outs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66,700</w:t>
            </w:r>
          </w:p>
        </w:tc>
        <w:tc>
          <w:tcPr>
            <w:tcW w:w="346" w:type="dxa"/>
            <w:tcBorders/>
            <w:vAlign w:val="center"/>
          </w:tcPr>
          <w:p>
            <w:pPr>
              <w:pStyle w:val="TableContents"/>
              <w:bidi w:val="0"/>
              <w:spacing w:before="0" w:after="1"/>
              <w:ind w:left="0" w:right="0" w:hanging="0"/>
              <w:jc w:val="left"/>
              <w:rPr/>
            </w:pPr>
            <w:r>
              <w:rPr/>
              <w:t>​</w:t>
            </w:r>
          </w:p>
        </w:tc>
        <w:tc>
          <w:tcPr>
            <w:tcW w:w="544" w:type="dxa"/>
            <w:tcBorders/>
            <w:vAlign w:val="center"/>
          </w:tcPr>
          <w:p>
            <w:pPr>
              <w:pStyle w:val="TableContents"/>
              <w:bidi w:val="0"/>
              <w:spacing w:before="0" w:after="1"/>
              <w:ind w:left="0" w:right="0" w:hanging="0"/>
              <w:jc w:val="left"/>
              <w:rPr/>
            </w:pPr>
            <w:r>
              <w:rPr/>
              <w:t>​</w:t>
            </w:r>
          </w:p>
        </w:tc>
        <w:tc>
          <w:tcPr>
            <w:tcW w:w="201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89" w:type="dxa"/>
            <w:tcBorders/>
            <w:vAlign w:val="center"/>
          </w:tcPr>
          <w:p>
            <w:pPr>
              <w:pStyle w:val="TableContents"/>
              <w:bidi w:val="0"/>
              <w:spacing w:before="0" w:after="1"/>
              <w:ind w:left="0" w:right="0" w:hanging="0"/>
              <w:jc w:val="left"/>
              <w:rPr/>
            </w:pPr>
            <w:r>
              <w:rPr/>
              <w:t>​</w:t>
            </w:r>
          </w:p>
        </w:tc>
        <w:tc>
          <w:tcPr>
            <w:tcW w:w="113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80" w:type="dxa"/>
            <w:tcBorders/>
            <w:vAlign w:val="center"/>
          </w:tcPr>
          <w:p>
            <w:pPr>
              <w:pStyle w:val="TableContents"/>
              <w:bidi w:val="0"/>
              <w:spacing w:before="0" w:after="1"/>
              <w:ind w:left="0" w:right="0" w:hanging="0"/>
              <w:jc w:val="left"/>
              <w:rPr/>
            </w:pPr>
            <w:r>
              <w:rPr/>
              <w:t>​</w:t>
            </w:r>
          </w:p>
        </w:tc>
        <w:tc>
          <w:tcPr>
            <w:tcW w:w="14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66,700</w:t>
            </w:r>
          </w:p>
        </w:tc>
      </w:tr>
      <w:tr>
        <w:trPr/>
        <w:tc>
          <w:tcPr>
            <w:tcW w:w="18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ecosio Stock Earn-outs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7,400</w:t>
            </w:r>
          </w:p>
        </w:tc>
        <w:tc>
          <w:tcPr>
            <w:tcW w:w="346" w:type="dxa"/>
            <w:tcBorders/>
            <w:shd w:fill="CCEEFF" w:val="clear"/>
            <w:vAlign w:val="center"/>
          </w:tcPr>
          <w:p>
            <w:pPr>
              <w:pStyle w:val="TableContents"/>
              <w:bidi w:val="0"/>
              <w:spacing w:before="0" w:after="1"/>
              <w:ind w:left="0" w:right="0" w:hanging="0"/>
              <w:jc w:val="left"/>
              <w:rPr/>
            </w:pPr>
            <w:r>
              <w:rPr/>
              <w:t>​</w:t>
            </w:r>
          </w:p>
        </w:tc>
        <w:tc>
          <w:tcPr>
            <w:tcW w:w="544" w:type="dxa"/>
            <w:tcBorders/>
            <w:shd w:fill="CCEEFF" w:val="clear"/>
            <w:vAlign w:val="center"/>
          </w:tcPr>
          <w:p>
            <w:pPr>
              <w:pStyle w:val="TableContents"/>
              <w:bidi w:val="0"/>
              <w:spacing w:before="0" w:after="1"/>
              <w:ind w:left="0" w:right="0" w:hanging="0"/>
              <w:jc w:val="left"/>
              <w:rPr/>
            </w:pPr>
            <w:r>
              <w:rPr/>
              <w:t>​</w:t>
            </w:r>
          </w:p>
        </w:tc>
        <w:tc>
          <w:tcPr>
            <w:tcW w:w="201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left"/>
              <w:rPr/>
            </w:pPr>
            <w:r>
              <w:rPr/>
              <w:t>​</w:t>
            </w:r>
          </w:p>
        </w:tc>
        <w:tc>
          <w:tcPr>
            <w:tcW w:w="113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80" w:type="dxa"/>
            <w:tcBorders/>
            <w:shd w:fill="CCEEFF" w:val="clear"/>
            <w:vAlign w:val="center"/>
          </w:tcPr>
          <w:p>
            <w:pPr>
              <w:pStyle w:val="TableContents"/>
              <w:bidi w:val="0"/>
              <w:spacing w:before="0" w:after="1"/>
              <w:ind w:left="0" w:right="0" w:hanging="0"/>
              <w:jc w:val="left"/>
              <w:rPr/>
            </w:pPr>
            <w:r>
              <w:rPr/>
              <w:t>​</w:t>
            </w:r>
          </w:p>
        </w:tc>
        <w:tc>
          <w:tcPr>
            <w:tcW w:w="14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7,400</w:t>
            </w:r>
          </w:p>
        </w:tc>
      </w:tr>
      <w:tr>
        <w:trPr/>
        <w:tc>
          <w:tcPr>
            <w:tcW w:w="186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Long-Term Investment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15,000</w:t>
            </w:r>
          </w:p>
        </w:tc>
        <w:tc>
          <w:tcPr>
            <w:tcW w:w="346" w:type="dxa"/>
            <w:tcBorders/>
            <w:vAlign w:val="center"/>
          </w:tcPr>
          <w:p>
            <w:pPr>
              <w:pStyle w:val="TableContents"/>
              <w:bidi w:val="0"/>
              <w:spacing w:before="0" w:after="1"/>
              <w:ind w:left="0" w:right="0" w:hanging="0"/>
              <w:jc w:val="left"/>
              <w:rPr/>
            </w:pPr>
            <w:r>
              <w:rPr/>
              <w:t>​</w:t>
            </w:r>
          </w:p>
        </w:tc>
        <w:tc>
          <w:tcPr>
            <w:tcW w:w="544" w:type="dxa"/>
            <w:tcBorders/>
            <w:vAlign w:val="center"/>
          </w:tcPr>
          <w:p>
            <w:pPr>
              <w:pStyle w:val="TableContents"/>
              <w:bidi w:val="0"/>
              <w:spacing w:before="0" w:after="1"/>
              <w:ind w:left="0" w:right="0" w:hanging="0"/>
              <w:jc w:val="left"/>
              <w:rPr/>
            </w:pPr>
            <w:r>
              <w:rPr/>
              <w:t>​</w:t>
            </w:r>
          </w:p>
        </w:tc>
        <w:tc>
          <w:tcPr>
            <w:tcW w:w="201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89" w:type="dxa"/>
            <w:tcBorders/>
            <w:vAlign w:val="center"/>
          </w:tcPr>
          <w:p>
            <w:pPr>
              <w:pStyle w:val="TableContents"/>
              <w:bidi w:val="0"/>
              <w:spacing w:before="0" w:after="1"/>
              <w:ind w:left="0" w:right="0" w:hanging="0"/>
              <w:jc w:val="left"/>
              <w:rPr/>
            </w:pPr>
            <w:r>
              <w:rPr/>
              <w:t>​</w:t>
            </w:r>
          </w:p>
        </w:tc>
        <w:tc>
          <w:tcPr>
            <w:tcW w:w="113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80" w:type="dxa"/>
            <w:tcBorders/>
            <w:vAlign w:val="center"/>
          </w:tcPr>
          <w:p>
            <w:pPr>
              <w:pStyle w:val="TableContents"/>
              <w:bidi w:val="0"/>
              <w:spacing w:before="0" w:after="1"/>
              <w:ind w:left="0" w:right="0" w:hanging="0"/>
              <w:jc w:val="left"/>
              <w:rPr/>
            </w:pPr>
            <w:r>
              <w:rPr/>
              <w:t>​</w:t>
            </w:r>
          </w:p>
        </w:tc>
        <w:tc>
          <w:tcPr>
            <w:tcW w:w="14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15,000</w:t>
            </w:r>
          </w:p>
        </w:tc>
      </w:tr>
      <w:tr>
        <w:trPr/>
        <w:tc>
          <w:tcPr>
            <w:tcW w:w="1868" w:type="dxa"/>
            <w:tcBorders/>
            <w:vAlign w:val="center"/>
          </w:tcPr>
          <w:p>
            <w:pPr>
              <w:pStyle w:val="TableContents"/>
              <w:bidi w:val="0"/>
              <w:spacing w:before="0" w:after="1"/>
              <w:ind w:left="0" w:right="0" w:hanging="0"/>
              <w:jc w:val="both"/>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44" w:type="dxa"/>
            <w:tcBorders/>
            <w:vAlign w:val="center"/>
          </w:tcPr>
          <w:p>
            <w:pPr>
              <w:pStyle w:val="TableContents"/>
              <w:bidi w:val="0"/>
              <w:spacing w:before="0" w:after="1"/>
              <w:ind w:left="0" w:right="0" w:hanging="0"/>
              <w:jc w:val="left"/>
              <w:rPr/>
            </w:pPr>
            <w:r>
              <w:rPr/>
              <w:t>​</w:t>
            </w:r>
          </w:p>
        </w:tc>
        <w:tc>
          <w:tcPr>
            <w:tcW w:w="201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89" w:type="dxa"/>
            <w:tcBorders/>
            <w:vAlign w:val="center"/>
          </w:tcPr>
          <w:p>
            <w:pPr>
              <w:pStyle w:val="TableContents"/>
              <w:bidi w:val="0"/>
              <w:spacing w:before="0" w:after="1"/>
              <w:ind w:left="0" w:right="0" w:hanging="0"/>
              <w:jc w:val="left"/>
              <w:rPr/>
            </w:pPr>
            <w:r>
              <w:rPr/>
              <w:t>​</w:t>
            </w:r>
          </w:p>
        </w:tc>
        <w:tc>
          <w:tcPr>
            <w:tcW w:w="113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80" w:type="dxa"/>
            <w:tcBorders/>
            <w:vAlign w:val="center"/>
          </w:tcPr>
          <w:p>
            <w:pPr>
              <w:pStyle w:val="TableContents"/>
              <w:bidi w:val="0"/>
              <w:spacing w:before="0" w:after="1"/>
              <w:ind w:left="0" w:right="0" w:hanging="0"/>
              <w:jc w:val="left"/>
              <w:rPr/>
            </w:pPr>
            <w:r>
              <w:rPr/>
              <w:t>​</w:t>
            </w:r>
          </w:p>
        </w:tc>
        <w:tc>
          <w:tcPr>
            <w:tcW w:w="1436" w:type="dxa"/>
            <w:tcBorders/>
            <w:vAlign w:val="center"/>
          </w:tcPr>
          <w:p>
            <w:pPr>
              <w:pStyle w:val="TableContents"/>
              <w:bidi w:val="0"/>
              <w:spacing w:before="0" w:after="1"/>
              <w:ind w:left="0" w:right="0" w:hanging="0"/>
              <w:jc w:val="left"/>
              <w:rPr/>
            </w:pPr>
            <w:r>
              <w:rPr/>
              <w:t>​</w:t>
            </w:r>
          </w:p>
        </w:tc>
      </w:tr>
      <w:tr>
        <w:trPr/>
        <w:tc>
          <w:tcPr>
            <w:tcW w:w="186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228"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Measurements Using</w:t>
            </w:r>
          </w:p>
        </w:tc>
      </w:tr>
      <w:tr>
        <w:trPr/>
        <w:tc>
          <w:tcPr>
            <w:tcW w:w="186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As of December 31, 2025</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1"/>
              <w:ind w:left="0" w:right="0" w:hanging="0"/>
              <w:jc w:val="left"/>
              <w:rPr/>
            </w:pPr>
            <w:r>
              <w:rPr/>
              <w:t>  ​ ​ ​</w:t>
            </w:r>
          </w:p>
        </w:tc>
        <w:tc>
          <w:tcPr>
            <w:tcW w:w="255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Prices in active markets for identical assets (Level 1)</w:t>
            </w:r>
          </w:p>
        </w:tc>
        <w:tc>
          <w:tcPr>
            <w:tcW w:w="346" w:type="dxa"/>
            <w:tcBorders/>
            <w:vAlign w:val="center"/>
          </w:tcPr>
          <w:p>
            <w:pPr>
              <w:pStyle w:val="TableContents"/>
              <w:bidi w:val="0"/>
              <w:spacing w:before="0" w:after="1"/>
              <w:ind w:left="0" w:right="0" w:hanging="0"/>
              <w:jc w:val="left"/>
              <w:rPr/>
            </w:pPr>
            <w:r>
              <w:rPr/>
              <w:t>  ​ ​ ​</w:t>
            </w:r>
          </w:p>
        </w:tc>
        <w:tc>
          <w:tcPr>
            <w:tcW w:w="182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 other observable inputs</w:t>
              <w:br/>
              <w:t>(Level 2)</w:t>
            </w:r>
          </w:p>
        </w:tc>
        <w:tc>
          <w:tcPr>
            <w:tcW w:w="346" w:type="dxa"/>
            <w:tcBorders/>
            <w:vAlign w:val="center"/>
          </w:tcPr>
          <w:p>
            <w:pPr>
              <w:pStyle w:val="TableContents"/>
              <w:bidi w:val="0"/>
              <w:spacing w:before="0" w:after="1"/>
              <w:ind w:left="0" w:right="0" w:hanging="0"/>
              <w:jc w:val="left"/>
              <w:rPr/>
            </w:pPr>
            <w:r>
              <w:rPr/>
              <w:t>  ​ ​ ​</w:t>
            </w:r>
          </w:p>
        </w:tc>
        <w:tc>
          <w:tcPr>
            <w:tcW w:w="18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 unobservable inputs</w:t>
              <w:br/>
              <w:t xml:space="preserve">(Level 3) </w:t>
            </w:r>
          </w:p>
        </w:tc>
      </w:tr>
      <w:tr>
        <w:trPr/>
        <w:tc>
          <w:tcPr>
            <w:tcW w:w="18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266,892</w:t>
            </w:r>
          </w:p>
        </w:tc>
        <w:tc>
          <w:tcPr>
            <w:tcW w:w="346" w:type="dxa"/>
            <w:tcBorders/>
            <w:shd w:fill="CCEEFF" w:val="clear"/>
            <w:vAlign w:val="center"/>
          </w:tcPr>
          <w:p>
            <w:pPr>
              <w:pStyle w:val="TableContents"/>
              <w:bidi w:val="0"/>
              <w:spacing w:before="0" w:after="1"/>
              <w:ind w:left="0" w:right="0" w:hanging="0"/>
              <w:jc w:val="left"/>
              <w:rPr/>
            </w:pPr>
            <w:r>
              <w:rPr/>
              <w:t>​</w:t>
            </w:r>
          </w:p>
        </w:tc>
        <w:tc>
          <w:tcPr>
            <w:tcW w:w="54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01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266,892</w:t>
            </w:r>
          </w:p>
        </w:tc>
        <w:tc>
          <w:tcPr>
            <w:tcW w:w="346"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3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36" w:type="dxa"/>
            <w:tcBorders/>
            <w:shd w:fill="CCEEFF" w:val="clear"/>
            <w:vAlign w:val="center"/>
          </w:tcPr>
          <w:p>
            <w:pPr>
              <w:pStyle w:val="TableContents"/>
              <w:bidi w:val="0"/>
              <w:spacing w:before="0" w:after="1"/>
              <w:ind w:left="0" w:right="0" w:hanging="0"/>
              <w:jc w:val="right"/>
              <w:rPr/>
            </w:pPr>
            <w:r>
              <w:rPr/>
              <w:t>—</w:t>
            </w:r>
          </w:p>
        </w:tc>
      </w:tr>
      <w:tr>
        <w:trPr/>
        <w:tc>
          <w:tcPr>
            <w:tcW w:w="186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ecosio Cash Earn-outs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86,600</w:t>
            </w:r>
          </w:p>
        </w:tc>
        <w:tc>
          <w:tcPr>
            <w:tcW w:w="346" w:type="dxa"/>
            <w:tcBorders/>
            <w:vAlign w:val="center"/>
          </w:tcPr>
          <w:p>
            <w:pPr>
              <w:pStyle w:val="TableContents"/>
              <w:bidi w:val="0"/>
              <w:spacing w:before="0" w:after="1"/>
              <w:ind w:left="0" w:right="0" w:hanging="0"/>
              <w:jc w:val="left"/>
              <w:rPr/>
            </w:pPr>
            <w:r>
              <w:rPr/>
              <w:t>​</w:t>
            </w:r>
          </w:p>
        </w:tc>
        <w:tc>
          <w:tcPr>
            <w:tcW w:w="544" w:type="dxa"/>
            <w:tcBorders/>
            <w:vAlign w:val="center"/>
          </w:tcPr>
          <w:p>
            <w:pPr>
              <w:pStyle w:val="TableContents"/>
              <w:bidi w:val="0"/>
              <w:spacing w:before="0" w:after="1"/>
              <w:ind w:left="0" w:right="0" w:hanging="0"/>
              <w:jc w:val="left"/>
              <w:rPr/>
            </w:pPr>
            <w:r>
              <w:rPr/>
              <w:t>​</w:t>
            </w:r>
          </w:p>
        </w:tc>
        <w:tc>
          <w:tcPr>
            <w:tcW w:w="201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89" w:type="dxa"/>
            <w:tcBorders/>
            <w:vAlign w:val="center"/>
          </w:tcPr>
          <w:p>
            <w:pPr>
              <w:pStyle w:val="TableContents"/>
              <w:bidi w:val="0"/>
              <w:spacing w:before="0" w:after="1"/>
              <w:ind w:left="0" w:right="0" w:hanging="0"/>
              <w:jc w:val="left"/>
              <w:rPr/>
            </w:pPr>
            <w:r>
              <w:rPr/>
              <w:t>​</w:t>
            </w:r>
          </w:p>
        </w:tc>
        <w:tc>
          <w:tcPr>
            <w:tcW w:w="113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80" w:type="dxa"/>
            <w:tcBorders/>
            <w:vAlign w:val="center"/>
          </w:tcPr>
          <w:p>
            <w:pPr>
              <w:pStyle w:val="TableContents"/>
              <w:bidi w:val="0"/>
              <w:spacing w:before="0" w:after="1"/>
              <w:ind w:left="0" w:right="0" w:hanging="0"/>
              <w:jc w:val="left"/>
              <w:rPr/>
            </w:pPr>
            <w:r>
              <w:rPr/>
              <w:t>​</w:t>
            </w:r>
          </w:p>
        </w:tc>
        <w:tc>
          <w:tcPr>
            <w:tcW w:w="14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86,600</w:t>
            </w:r>
          </w:p>
        </w:tc>
      </w:tr>
      <w:tr>
        <w:trPr/>
        <w:tc>
          <w:tcPr>
            <w:tcW w:w="18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ecosio Stock Earn-outs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18,900</w:t>
            </w:r>
          </w:p>
        </w:tc>
        <w:tc>
          <w:tcPr>
            <w:tcW w:w="346" w:type="dxa"/>
            <w:tcBorders/>
            <w:shd w:fill="CCEEFF" w:val="clear"/>
            <w:vAlign w:val="center"/>
          </w:tcPr>
          <w:p>
            <w:pPr>
              <w:pStyle w:val="TableContents"/>
              <w:bidi w:val="0"/>
              <w:spacing w:before="0" w:after="1"/>
              <w:ind w:left="0" w:right="0" w:hanging="0"/>
              <w:jc w:val="left"/>
              <w:rPr/>
            </w:pPr>
            <w:r>
              <w:rPr/>
              <w:t>​</w:t>
            </w:r>
          </w:p>
        </w:tc>
        <w:tc>
          <w:tcPr>
            <w:tcW w:w="544" w:type="dxa"/>
            <w:tcBorders/>
            <w:shd w:fill="CCEEFF" w:val="clear"/>
            <w:vAlign w:val="center"/>
          </w:tcPr>
          <w:p>
            <w:pPr>
              <w:pStyle w:val="TableContents"/>
              <w:bidi w:val="0"/>
              <w:spacing w:before="0" w:after="1"/>
              <w:ind w:left="0" w:right="0" w:hanging="0"/>
              <w:jc w:val="left"/>
              <w:rPr/>
            </w:pPr>
            <w:r>
              <w:rPr/>
              <w:t>​</w:t>
            </w:r>
          </w:p>
        </w:tc>
        <w:tc>
          <w:tcPr>
            <w:tcW w:w="201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left"/>
              <w:rPr/>
            </w:pPr>
            <w:r>
              <w:rPr/>
              <w:t>​</w:t>
            </w:r>
          </w:p>
        </w:tc>
        <w:tc>
          <w:tcPr>
            <w:tcW w:w="113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80" w:type="dxa"/>
            <w:tcBorders/>
            <w:shd w:fill="CCEEFF" w:val="clear"/>
            <w:vAlign w:val="center"/>
          </w:tcPr>
          <w:p>
            <w:pPr>
              <w:pStyle w:val="TableContents"/>
              <w:bidi w:val="0"/>
              <w:spacing w:before="0" w:after="1"/>
              <w:ind w:left="0" w:right="0" w:hanging="0"/>
              <w:jc w:val="left"/>
              <w:rPr/>
            </w:pPr>
            <w:r>
              <w:rPr/>
              <w:t>​</w:t>
            </w:r>
          </w:p>
        </w:tc>
        <w:tc>
          <w:tcPr>
            <w:tcW w:w="14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18,900</w:t>
            </w:r>
          </w:p>
        </w:tc>
      </w:tr>
      <w:tr>
        <w:trPr/>
        <w:tc>
          <w:tcPr>
            <w:tcW w:w="186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Long-Term Investment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15,000</w:t>
            </w:r>
          </w:p>
        </w:tc>
        <w:tc>
          <w:tcPr>
            <w:tcW w:w="346" w:type="dxa"/>
            <w:tcBorders/>
            <w:vAlign w:val="center"/>
          </w:tcPr>
          <w:p>
            <w:pPr>
              <w:pStyle w:val="TableContents"/>
              <w:bidi w:val="0"/>
              <w:spacing w:before="0" w:after="1"/>
              <w:ind w:left="0" w:right="0" w:hanging="0"/>
              <w:jc w:val="left"/>
              <w:rPr/>
            </w:pPr>
            <w:r>
              <w:rPr/>
              <w:t>​</w:t>
            </w:r>
          </w:p>
        </w:tc>
        <w:tc>
          <w:tcPr>
            <w:tcW w:w="544" w:type="dxa"/>
            <w:tcBorders/>
            <w:vAlign w:val="center"/>
          </w:tcPr>
          <w:p>
            <w:pPr>
              <w:pStyle w:val="TableContents"/>
              <w:bidi w:val="0"/>
              <w:spacing w:before="0" w:after="1"/>
              <w:ind w:left="0" w:right="0" w:hanging="0"/>
              <w:jc w:val="left"/>
              <w:rPr/>
            </w:pPr>
            <w:r>
              <w:rPr/>
              <w:t>​</w:t>
            </w:r>
          </w:p>
        </w:tc>
        <w:tc>
          <w:tcPr>
            <w:tcW w:w="201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89" w:type="dxa"/>
            <w:tcBorders/>
            <w:vAlign w:val="center"/>
          </w:tcPr>
          <w:p>
            <w:pPr>
              <w:pStyle w:val="TableContents"/>
              <w:bidi w:val="0"/>
              <w:spacing w:before="0" w:after="1"/>
              <w:ind w:left="0" w:right="0" w:hanging="0"/>
              <w:jc w:val="left"/>
              <w:rPr/>
            </w:pPr>
            <w:r>
              <w:rPr/>
              <w:t>​</w:t>
            </w:r>
          </w:p>
        </w:tc>
        <w:tc>
          <w:tcPr>
            <w:tcW w:w="113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80" w:type="dxa"/>
            <w:tcBorders/>
            <w:vAlign w:val="center"/>
          </w:tcPr>
          <w:p>
            <w:pPr>
              <w:pStyle w:val="TableContents"/>
              <w:bidi w:val="0"/>
              <w:spacing w:before="0" w:after="1"/>
              <w:ind w:left="0" w:right="0" w:hanging="0"/>
              <w:jc w:val="left"/>
              <w:rPr/>
            </w:pPr>
            <w:r>
              <w:rPr/>
              <w:t>​</w:t>
            </w:r>
          </w:p>
        </w:tc>
        <w:tc>
          <w:tcPr>
            <w:tcW w:w="1436" w:type="dxa"/>
            <w:tcBorders/>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15,000</w:t>
            </w:r>
          </w:p>
        </w:tc>
      </w:tr>
    </w:tbl>
    <w:p>
      <w:pPr>
        <w:pStyle w:val="TextBody"/>
        <w:bidi w:val="0"/>
        <w:spacing w:before="0" w:after="240"/>
        <w:ind w:left="0" w:right="0" w:firstLine="360"/>
        <w:jc w:val="both"/>
        <w:rPr/>
      </w:pPr>
      <w:r>
        <w:rPr/>
        <w:t>​</w:t>
      </w:r>
    </w:p>
    <w:p>
      <w:pPr>
        <w:pStyle w:val="TextBody"/>
        <w:bidi w:val="0"/>
        <w:spacing w:before="0" w:after="120"/>
        <w:ind w:left="0" w:right="0" w:firstLine="360"/>
        <w:jc w:val="both"/>
        <w:rPr>
          <w:rFonts w:ascii="Times New Roman;Times;serif" w:hAnsi="Times New Roman;Times;serif"/>
          <w:b/>
          <w:sz w:val="20"/>
        </w:rPr>
      </w:pPr>
      <w:r>
        <w:rPr>
          <w:rFonts w:ascii="Times New Roman;Times;serif" w:hAnsi="Times New Roman;Times;serif"/>
          <w:b/>
          <w:sz w:val="20"/>
        </w:rPr>
        <w:t>Money Market Funds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has investments in high quality, short-term money market instruments, which are issued and payable in U.S. dollars (“Money Market Funds”) and included in cash and cash equivalents on the condensed consolidated balance sheets. Fair value inputs for these investments are considered Level 1 measurements within the fair value hierarchy since Money Market Fund fair values are known and observable through daily published floating net asset values.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766" w:type="dxa"/>
        <w:jc w:val="left"/>
        <w:tblInd w:w="0" w:type="dxa"/>
        <w:tblLayout w:type="fixed"/>
        <w:tblCellMar>
          <w:top w:w="0" w:type="dxa"/>
          <w:left w:w="0" w:type="dxa"/>
          <w:bottom w:w="0" w:type="dxa"/>
          <w:right w:w="0" w:type="dxa"/>
        </w:tblCellMar>
      </w:tblPr>
      <w:tblGrid>
        <w:gridCol w:w="6766"/>
      </w:tblGrid>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b/>
          <w:sz w:val="20"/>
        </w:rPr>
      </w:pPr>
      <w:bookmarkStart w:id="1124" w:name="Tc_mrWw4zPEuEGh-x60pZC7iA_9_0"/>
      <w:bookmarkStart w:id="1125" w:name="Tc_LX4TB9xTO0q54aCm5EzTAw_8_0"/>
      <w:bookmarkStart w:id="1126" w:name="Tc_XeLRLvX2OUODfxiowL8kBw_6_10"/>
      <w:bookmarkStart w:id="1127" w:name="Tc_PvTexq9L00aFIndOQkpTKw_6_7"/>
      <w:bookmarkStart w:id="1128" w:name="Tc_obUpmiZ0GkWW-nkALYpsLA_6_4"/>
      <w:bookmarkStart w:id="1129" w:name="Tc_FD5LE37KZk-q9uLBMKOgrw_6_1"/>
      <w:bookmarkStart w:id="1130" w:name="Tc_qXVP9PdQeEmJCuqxjieqjw_6_0"/>
      <w:bookmarkStart w:id="1131" w:name="Tc_mmr6N2qrAkq4qeGi5m2MIQ_5_0"/>
      <w:bookmarkStart w:id="1132" w:name="Tc_YPKhObkBD0iyDocDxzcgJw_4_10"/>
      <w:bookmarkStart w:id="1133" w:name="Tc_9AmzXFds20uS8pH0khMhnA_4_7"/>
      <w:bookmarkStart w:id="1134" w:name="Tc_FjphJWmfO0K22N4XKN9cBA_4_4"/>
      <w:bookmarkStart w:id="1135" w:name="Tc_H0FeYxpCSkmc3FA1oXgjiw_4_1"/>
      <w:bookmarkStart w:id="1136" w:name="Tc_29p81kmN0Uqwv_U5JA-U0Q_4_0"/>
      <w:bookmarkStart w:id="1137" w:name="Tc_VCM6d-vDo0aLZdHGuVkpDw_3_10"/>
      <w:bookmarkStart w:id="1138" w:name="Tc_bwC0j-TzUUC9rSJ65zQ8jg_3_7"/>
      <w:bookmarkStart w:id="1139" w:name="Tc_oBGCckhEDk-L12ZRbijzQQ_3_4"/>
      <w:bookmarkStart w:id="1140" w:name="Tc_E9xlcSzgAUCixqN5ltpK2g_3_1"/>
      <w:bookmarkStart w:id="1141" w:name="Tc_9hzh0u-OTEyKR4ZDXzSKow_2_1"/>
      <w:bookmarkStart w:id="1142" w:name="Tc_4CWK5w0uPE6NoA5v4sEf3Q_1_7"/>
      <w:bookmarkStart w:id="1143" w:name="Tc_hw8D5nT2RU2rrlOfHaoBzg_1_1"/>
      <w:bookmarkStart w:id="1144" w:name="Tc_ZE5HrfMUW06pHT6GirKFiw_13_0"/>
      <w:bookmarkStart w:id="1145" w:name="Tc_jhbbptVZuEiK_qoKOCdaMw_12_8"/>
      <w:bookmarkStart w:id="1146" w:name="Tc_l51ddLhxtU666bkKGsLxYg_12_5"/>
      <w:bookmarkStart w:id="1147" w:name="Tc_VL1u6_I_-EC4h7OLC5ptWw_12_2"/>
      <w:bookmarkStart w:id="1148" w:name="Tc_MQIaZjzbZkymXwKSXYOglA_12_0"/>
      <w:bookmarkStart w:id="1149" w:name="Tc_Tdh2_bsEg0aCHiarVNQeYg_11_0"/>
      <w:bookmarkStart w:id="1150" w:name="Tc_n5aVDPB0Yk6cF6OU4BU5Vg_10_0"/>
      <w:bookmarkStart w:id="1151" w:name="Tc_EcgjKiaGQ0CXYqHAYwe6vA_9_8"/>
      <w:bookmarkStart w:id="1152" w:name="Tc_hO7XRs4dZkeysW1FP0LscQ_9_6"/>
      <w:bookmarkStart w:id="1153" w:name="Tc_lU-EA8gdCEyCp4H43mnABA_9_5"/>
      <w:bookmarkStart w:id="1154" w:name="Tc_BrrAJCO3H06sxOvAgJbkQQ_9_2"/>
      <w:bookmarkStart w:id="1155" w:name="Tc_yV0LBGhV1EuOxpRvUj87dw_9_0"/>
      <w:bookmarkStart w:id="1156" w:name="Tc_2Wk-PbDJhEu1FYXEPecZCA_8_8"/>
      <w:bookmarkStart w:id="1157" w:name="Tc_chzoA_rclEG4I3dOKX8jFg_8_5"/>
      <w:bookmarkStart w:id="1158" w:name="Tc_rYLsHXmXUUu-KTjlZGsXBw_8_2"/>
      <w:bookmarkStart w:id="1159" w:name="Tc_BvqPHCyJ00ahV8flvMKQDg_8_0"/>
      <w:bookmarkStart w:id="1160" w:name="Tc_GEYfji619EOzow6QgKOP5w_7_8"/>
      <w:bookmarkStart w:id="1161" w:name="Tc_zMMazr2gIEecUz8yYt_i0g_7_5"/>
      <w:bookmarkStart w:id="1162" w:name="Tc_Yd5mWX0-2Uip0yb2_qaSnQ_7_2"/>
      <w:bookmarkStart w:id="1163" w:name="Tc_X_GJjge5IUyppAG2NrLU7Q_6_8"/>
      <w:bookmarkStart w:id="1164" w:name="Tc_WPnPpIV6MUKqFZeAFkZIDA_6_5"/>
      <w:bookmarkStart w:id="1165" w:name="Tc_OmYv978VSECSIPGWwUilQQ_6_2"/>
      <w:bookmarkStart w:id="1166" w:name="Tc_s8kMfb1Wl0iW06ayp1x7dA_6_0"/>
      <w:bookmarkStart w:id="1167" w:name="Tc_f49JyNX6IEqQDR3YuoJyLA_5_0"/>
      <w:bookmarkStart w:id="1168" w:name="Tc_F3AgOdNQMEarK4FU6T87mA_4_0"/>
      <w:bookmarkStart w:id="1169" w:name="Tc_-zwDp3zhLUummPEG9u4-DA_3_8"/>
      <w:bookmarkStart w:id="1170" w:name="Tc_tNCUbkSezU271xw-u8c7Mw_3_6"/>
      <w:bookmarkStart w:id="1171" w:name="Tc_uH282PZGDUmLGV8cRC-MnA_3_5"/>
      <w:bookmarkStart w:id="1172" w:name="Tc_cPBTAtE3G0mlVcju0IkALg_3_2"/>
      <w:bookmarkStart w:id="1173" w:name="Tc_u7SGIFMNck-1594OE0F3Fg_3_0"/>
      <w:bookmarkStart w:id="1174" w:name="Tc_rhpLRbLVP0q21jU0IfSOAQ_2_8"/>
      <w:bookmarkStart w:id="1175" w:name="Tc_bVM8HgLPIEGKvvQeecjDug_2_5"/>
      <w:bookmarkStart w:id="1176" w:name="Tc_SQ2SeS4lykep2pMAW7A43Q_2_2"/>
      <w:bookmarkStart w:id="1177" w:name="Tc_l3_JqAn1HkG4SQ2s0qPmIw_2_0"/>
      <w:bookmarkStart w:id="1178" w:name="Tc_qPtYECJyREyemeKtCuiNbQ_1_8"/>
      <w:bookmarkStart w:id="1179" w:name="Tc_XoGyhSl8VkmVTEfE22q_BA_1_5"/>
      <w:bookmarkStart w:id="1180" w:name="Tc_kcyvvqzSwkORxbQomAcj7g_1_2"/>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r>
        <w:rPr>
          <w:rFonts w:ascii="Times New Roman;Times;serif" w:hAnsi="Times New Roman;Times;serif"/>
          <w:b/>
          <w:sz w:val="20"/>
        </w:rPr>
        <w:t>ecosio Earn-outs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connection with the August 2024 acquisition of ecosio GmbH (“ecosio”), the sellers are entitled to three annual earn-outs in the form of cash, with an aggregate of up to $94,355 (the “Cash Earn-outs”), and stock, with an aggregate value of up to $35,000 (the “Stock Earn-outs,” and together with the Cash Earn-outs, the “Earn-outs”), assuming maximum payouts. The Earn-outs are based on ecosio’s achievement of certain monthly software revenue targets over a three-year period, measured over an aggregate of 12 months and paid within 90 days after the relevant measurement period. At the acquisition date, the fair value of the Cash Earn-outs and Stock Earn-outs were $71,000 and $34,000, respectively. The fair value of the Cash Earn-out and the Stock Earn-out were measured on the acquisition date using a Monte Carlo simulation in a risk-neutral framework, calibrated to management’s revenue forecasts. Additional information on the Cash Earn-outs and the Stock Earn-outs is presented in the following table:</w:t>
      </w:r>
    </w:p>
    <w:p>
      <w:pPr>
        <w:pStyle w:val="TextBody"/>
        <w:bidi w:val="0"/>
        <w:spacing w:before="0" w:after="0"/>
        <w:ind w:left="0" w:right="0" w:firstLine="360"/>
        <w:jc w:val="both"/>
        <w:rPr/>
      </w:pPr>
      <w:r>
        <w:rPr/>
        <w:t>​</w:t>
      </w:r>
    </w:p>
    <w:tbl>
      <w:tblPr>
        <w:tblW w:w="9237" w:type="dxa"/>
        <w:jc w:val="left"/>
        <w:tblInd w:w="0" w:type="dxa"/>
        <w:tblLayout w:type="fixed"/>
        <w:tblCellMar>
          <w:top w:w="0" w:type="dxa"/>
          <w:left w:w="0" w:type="dxa"/>
          <w:bottom w:w="0" w:type="dxa"/>
          <w:right w:w="0" w:type="dxa"/>
        </w:tblCellMar>
      </w:tblPr>
      <w:tblGrid>
        <w:gridCol w:w="4620"/>
        <w:gridCol w:w="125"/>
        <w:gridCol w:w="242"/>
        <w:gridCol w:w="776"/>
        <w:gridCol w:w="125"/>
        <w:gridCol w:w="343"/>
        <w:gridCol w:w="1105"/>
        <w:gridCol w:w="125"/>
        <w:gridCol w:w="402"/>
        <w:gridCol w:w="1374"/>
      </w:tblGrid>
      <w:tr>
        <w:trPr/>
        <w:tc>
          <w:tcPr>
            <w:tcW w:w="46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933700" cy="175260"/>
                      <wp:effectExtent l="0" t="0" r="0" b="0"/>
                      <wp:wrapNone/>
                      <wp:docPr id="121" name="Frame121"/>
                      <a:graphic xmlns:a="http://schemas.openxmlformats.org/drawingml/2006/main">
                        <a:graphicData uri="http://schemas.microsoft.com/office/word/2010/wordprocessingShape">
                          <wps:wsp>
                            <wps:cNvSpPr txBox="1"/>
                            <wps:spPr>
                              <a:xfrm>
                                <a:off x="0" y="0"/>
                                <a:ext cx="2933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79375" cy="175260"/>
                      <wp:effectExtent l="0" t="0" r="0" b="0"/>
                      <wp:wrapNone/>
                      <wp:docPr id="122" name="Frame122"/>
                      <a:graphic xmlns:a="http://schemas.openxmlformats.org/drawingml/2006/main">
                        <a:graphicData uri="http://schemas.microsoft.com/office/word/2010/wordprocessingShape">
                          <wps:wsp>
                            <wps:cNvSpPr txBox="1"/>
                            <wps:spPr>
                              <a:xfrm>
                                <a:off x="0" y="0"/>
                                <a:ext cx="79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53670" cy="175260"/>
                      <wp:effectExtent l="0" t="0" r="0" b="0"/>
                      <wp:wrapNone/>
                      <wp:docPr id="123" name="Frame123"/>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492760" cy="175260"/>
                      <wp:effectExtent l="0" t="0" r="0" b="0"/>
                      <wp:wrapNone/>
                      <wp:docPr id="124" name="Frame124"/>
                      <a:graphic xmlns:a="http://schemas.openxmlformats.org/drawingml/2006/main">
                        <a:graphicData uri="http://schemas.microsoft.com/office/word/2010/wordprocessingShape">
                          <wps:wsp>
                            <wps:cNvSpPr txBox="1"/>
                            <wps:spPr>
                              <a:xfrm>
                                <a:off x="0" y="0"/>
                                <a:ext cx="492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79375" cy="175260"/>
                      <wp:effectExtent l="0" t="0" r="0" b="0"/>
                      <wp:wrapNone/>
                      <wp:docPr id="125" name="Frame125"/>
                      <a:graphic xmlns:a="http://schemas.openxmlformats.org/drawingml/2006/main">
                        <a:graphicData uri="http://schemas.microsoft.com/office/word/2010/wordprocessingShape">
                          <wps:wsp>
                            <wps:cNvSpPr txBox="1"/>
                            <wps:spPr>
                              <a:xfrm>
                                <a:off x="0" y="0"/>
                                <a:ext cx="79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17805" cy="175260"/>
                      <wp:effectExtent l="0" t="0" r="0" b="0"/>
                      <wp:wrapNone/>
                      <wp:docPr id="126" name="Frame126"/>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701675" cy="175260"/>
                      <wp:effectExtent l="0" t="0" r="0" b="0"/>
                      <wp:wrapNone/>
                      <wp:docPr id="127" name="Frame127"/>
                      <a:graphic xmlns:a="http://schemas.openxmlformats.org/drawingml/2006/main">
                        <a:graphicData uri="http://schemas.microsoft.com/office/word/2010/wordprocessingShape">
                          <wps:wsp>
                            <wps:cNvSpPr txBox="1"/>
                            <wps:spPr>
                              <a:xfrm>
                                <a:off x="0" y="0"/>
                                <a:ext cx="701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79375" cy="175260"/>
                      <wp:effectExtent l="0" t="0" r="0" b="0"/>
                      <wp:wrapNone/>
                      <wp:docPr id="128" name="Frame128"/>
                      <a:graphic xmlns:a="http://schemas.openxmlformats.org/drawingml/2006/main">
                        <a:graphicData uri="http://schemas.microsoft.com/office/word/2010/wordprocessingShape">
                          <wps:wsp>
                            <wps:cNvSpPr txBox="1"/>
                            <wps:spPr>
                              <a:xfrm>
                                <a:off x="0" y="0"/>
                                <a:ext cx="79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55270" cy="175260"/>
                      <wp:effectExtent l="0" t="0" r="0" b="0"/>
                      <wp:wrapNone/>
                      <wp:docPr id="129" name="Frame129"/>
                      <a:graphic xmlns:a="http://schemas.openxmlformats.org/drawingml/2006/main">
                        <a:graphicData uri="http://schemas.microsoft.com/office/word/2010/wordprocessingShape">
                          <wps:wsp>
                            <wps:cNvSpPr txBox="1"/>
                            <wps:spPr>
                              <a:xfrm>
                                <a:off x="0" y="0"/>
                                <a:ext cx="255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872490" cy="175260"/>
                      <wp:effectExtent l="0" t="0" r="0" b="0"/>
                      <wp:wrapNone/>
                      <wp:docPr id="130" name="Frame130"/>
                      <a:graphic xmlns:a="http://schemas.openxmlformats.org/drawingml/2006/main">
                        <a:graphicData uri="http://schemas.microsoft.com/office/word/2010/wordprocessingShape">
                          <wps:wsp>
                            <wps:cNvSpPr txBox="1"/>
                            <wps:spPr>
                              <a:xfrm>
                                <a:off x="0" y="0"/>
                                <a:ext cx="872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20" w:type="dxa"/>
            <w:tcBorders/>
            <w:shd w:fill="FFFFFF" w:val="clear"/>
            <w:vAlign w:val="center"/>
          </w:tcPr>
          <w:p>
            <w:pPr>
              <w:pStyle w:val="TableContents"/>
              <w:bidi w:val="0"/>
              <w:spacing w:before="0" w:after="0"/>
              <w:ind w:left="0" w:right="0" w:hanging="0"/>
              <w:jc w:val="center"/>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1018"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Maximum </w:t>
            </w:r>
          </w:p>
        </w:tc>
        <w:tc>
          <w:tcPr>
            <w:tcW w:w="125" w:type="dxa"/>
            <w:tcBorders/>
            <w:shd w:fill="FFFFFF" w:val="clear"/>
            <w:vAlign w:val="center"/>
          </w:tcPr>
          <w:p>
            <w:pPr>
              <w:pStyle w:val="TableContents"/>
              <w:bidi w:val="0"/>
              <w:spacing w:before="0" w:after="0"/>
              <w:ind w:left="0" w:right="0" w:hanging="0"/>
              <w:jc w:val="left"/>
              <w:rPr/>
            </w:pPr>
            <w:r>
              <w:rPr/>
              <w:t>​</w:t>
            </w:r>
          </w:p>
        </w:tc>
        <w:tc>
          <w:tcPr>
            <w:tcW w:w="1448"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25" w:type="dxa"/>
            <w:tcBorders/>
            <w:shd w:fill="FFFFFF" w:val="clear"/>
            <w:vAlign w:val="center"/>
          </w:tcPr>
          <w:p>
            <w:pPr>
              <w:pStyle w:val="TableContents"/>
              <w:bidi w:val="0"/>
              <w:spacing w:before="0" w:after="0"/>
              <w:ind w:left="0" w:right="0" w:hanging="0"/>
              <w:jc w:val="center"/>
              <w:rPr/>
            </w:pPr>
            <w:r>
              <w:rPr/>
              <w:t>​</w:t>
            </w:r>
          </w:p>
        </w:tc>
        <w:tc>
          <w:tcPr>
            <w:tcW w:w="1776"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Fair Value </w:t>
            </w:r>
          </w:p>
        </w:tc>
      </w:tr>
      <w:tr>
        <w:trPr/>
        <w:tc>
          <w:tcPr>
            <w:tcW w:w="462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Cash Earn-outs/ Period (unaudited)</w:t>
            </w:r>
          </w:p>
        </w:tc>
        <w:tc>
          <w:tcPr>
            <w:tcW w:w="125" w:type="dxa"/>
            <w:tcBorders/>
            <w:shd w:fill="FFFFFF" w:val="clear"/>
            <w:vAlign w:val="center"/>
          </w:tcPr>
          <w:p>
            <w:pPr>
              <w:pStyle w:val="TableContents"/>
              <w:bidi w:val="0"/>
              <w:spacing w:before="0" w:after="0"/>
              <w:ind w:left="0" w:right="0" w:hanging="0"/>
              <w:jc w:val="left"/>
              <w:rPr/>
            </w:pPr>
            <w:r>
              <w:rPr/>
              <w:t>​</w:t>
            </w:r>
          </w:p>
        </w:tc>
        <w:tc>
          <w:tcPr>
            <w:tcW w:w="101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Payout </w:t>
            </w:r>
          </w:p>
        </w:tc>
        <w:tc>
          <w:tcPr>
            <w:tcW w:w="125" w:type="dxa"/>
            <w:tcBorders/>
            <w:shd w:fill="FFFFFF" w:val="clear"/>
            <w:vAlign w:val="center"/>
          </w:tcPr>
          <w:p>
            <w:pPr>
              <w:pStyle w:val="TableContents"/>
              <w:bidi w:val="0"/>
              <w:spacing w:before="0" w:after="0"/>
              <w:ind w:left="0" w:right="0" w:hanging="0"/>
              <w:jc w:val="left"/>
              <w:rPr/>
            </w:pPr>
            <w:r>
              <w:rPr/>
              <w:t>​</w:t>
            </w:r>
          </w:p>
        </w:tc>
        <w:tc>
          <w:tcPr>
            <w:tcW w:w="144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125" w:type="dxa"/>
            <w:tcBorders/>
            <w:shd w:fill="FFFFFF" w:val="clear"/>
            <w:vAlign w:val="center"/>
          </w:tcPr>
          <w:p>
            <w:pPr>
              <w:pStyle w:val="TableContents"/>
              <w:bidi w:val="0"/>
              <w:spacing w:before="0" w:after="0"/>
              <w:ind w:left="0" w:right="0" w:hanging="0"/>
              <w:jc w:val="center"/>
              <w:rPr/>
            </w:pPr>
            <w:r>
              <w:rPr/>
              <w:t>​</w:t>
            </w:r>
          </w:p>
        </w:tc>
        <w:tc>
          <w:tcPr>
            <w:tcW w:w="177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46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1 - December 1, 2024 - November 30, 2025</w:t>
            </w:r>
          </w:p>
        </w:tc>
        <w:tc>
          <w:tcPr>
            <w:tcW w:w="125"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19,600</w:t>
            </w:r>
          </w:p>
        </w:tc>
        <w:tc>
          <w:tcPr>
            <w:tcW w:w="125"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5" w:type="dxa"/>
            <w:tcBorders/>
            <w:shd w:fill="CCEEFF" w:val="clear"/>
            <w:vAlign w:val="center"/>
          </w:tcPr>
          <w:p>
            <w:pPr>
              <w:pStyle w:val="TableContents"/>
              <w:bidi w:val="0"/>
              <w:spacing w:before="0" w:after="0"/>
              <w:ind w:left="0" w:right="0" w:hanging="0"/>
              <w:jc w:val="right"/>
              <w:rPr/>
            </w:pPr>
            <w:r>
              <w:rPr/>
              <w:t>—</w:t>
            </w:r>
          </w:p>
        </w:tc>
        <w:tc>
          <w:tcPr>
            <w:tcW w:w="125" w:type="dxa"/>
            <w:tcBorders/>
            <w:shd w:fill="CCEEFF" w:val="clear"/>
            <w:vAlign w:val="center"/>
          </w:tcPr>
          <w:p>
            <w:pPr>
              <w:pStyle w:val="TableContents"/>
              <w:bidi w:val="0"/>
              <w:spacing w:before="0" w:after="0"/>
              <w:ind w:left="0" w:right="0" w:hanging="0"/>
              <w:jc w:val="center"/>
              <w:rPr/>
            </w:pPr>
            <w:r>
              <w:rPr/>
              <w:t>​</w:t>
            </w:r>
          </w:p>
        </w:tc>
        <w:tc>
          <w:tcPr>
            <w:tcW w:w="4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19,400</w:t>
            </w:r>
          </w:p>
        </w:tc>
      </w:tr>
      <w:tr>
        <w:trPr/>
        <w:tc>
          <w:tcPr>
            <w:tcW w:w="46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2 - December 1, 2025 - November 30, 2026</w:t>
            </w:r>
          </w:p>
        </w:tc>
        <w:tc>
          <w:tcPr>
            <w:tcW w:w="125"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center"/>
              <w:rPr/>
            </w:pPr>
            <w:r>
              <w:rPr/>
              <w:t>​</w:t>
            </w:r>
          </w:p>
        </w:tc>
        <w:tc>
          <w:tcPr>
            <w:tcW w:w="7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30,625</w:t>
            </w:r>
          </w:p>
        </w:tc>
        <w:tc>
          <w:tcPr>
            <w:tcW w:w="125"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center"/>
              <w:rPr/>
            </w:pPr>
            <w:r>
              <w:rPr/>
              <w:t>​</w:t>
            </w:r>
          </w:p>
        </w:tc>
        <w:tc>
          <w:tcPr>
            <w:tcW w:w="11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28,900</w:t>
            </w:r>
          </w:p>
        </w:tc>
        <w:tc>
          <w:tcPr>
            <w:tcW w:w="125" w:type="dxa"/>
            <w:tcBorders/>
            <w:vAlign w:val="center"/>
          </w:tcPr>
          <w:p>
            <w:pPr>
              <w:pStyle w:val="TableContents"/>
              <w:bidi w:val="0"/>
              <w:spacing w:before="0" w:after="0"/>
              <w:ind w:left="0" w:right="0" w:hanging="0"/>
              <w:jc w:val="center"/>
              <w:rPr/>
            </w:pPr>
            <w:r>
              <w:rPr/>
              <w:t>​</w:t>
            </w:r>
          </w:p>
        </w:tc>
        <w:tc>
          <w:tcPr>
            <w:tcW w:w="402" w:type="dxa"/>
            <w:tcBorders/>
            <w:vAlign w:val="center"/>
          </w:tcPr>
          <w:p>
            <w:pPr>
              <w:pStyle w:val="TableContents"/>
              <w:bidi w:val="0"/>
              <w:spacing w:before="0" w:after="0"/>
              <w:ind w:left="0" w:right="0" w:hanging="0"/>
              <w:jc w:val="left"/>
              <w:rPr/>
            </w:pPr>
            <w:r>
              <w:rPr/>
              <w:t>​</w:t>
            </w:r>
          </w:p>
        </w:tc>
        <w:tc>
          <w:tcPr>
            <w:tcW w:w="13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28,600</w:t>
            </w:r>
          </w:p>
        </w:tc>
      </w:tr>
      <w:tr>
        <w:trPr/>
        <w:tc>
          <w:tcPr>
            <w:tcW w:w="46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3 - December 1, 2026 - November 30, 2027</w:t>
            </w:r>
          </w:p>
        </w:tc>
        <w:tc>
          <w:tcPr>
            <w:tcW w:w="125"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7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44,130</w:t>
            </w:r>
          </w:p>
        </w:tc>
        <w:tc>
          <w:tcPr>
            <w:tcW w:w="125" w:type="dxa"/>
            <w:tcBorders/>
            <w:shd w:fill="CCEEFF" w:val="clear"/>
            <w:vAlign w:val="center"/>
          </w:tcPr>
          <w:p>
            <w:pPr>
              <w:pStyle w:val="TableContents"/>
              <w:bidi w:val="0"/>
              <w:spacing w:before="0" w:after="0"/>
              <w:ind w:left="0" w:right="0" w:hanging="0"/>
              <w:jc w:val="left"/>
              <w:rPr/>
            </w:pPr>
            <w:r>
              <w:rPr/>
              <w:t>​</w:t>
            </w:r>
          </w:p>
        </w:tc>
        <w:tc>
          <w:tcPr>
            <w:tcW w:w="343"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1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37,800</w:t>
            </w:r>
          </w:p>
        </w:tc>
        <w:tc>
          <w:tcPr>
            <w:tcW w:w="125" w:type="dxa"/>
            <w:tcBorders/>
            <w:shd w:fill="CCEEFF" w:val="clear"/>
            <w:vAlign w:val="center"/>
          </w:tcPr>
          <w:p>
            <w:pPr>
              <w:pStyle w:val="TableContents"/>
              <w:bidi w:val="0"/>
              <w:spacing w:before="0" w:after="0"/>
              <w:ind w:left="0" w:right="0" w:hanging="0"/>
              <w:jc w:val="center"/>
              <w:rPr/>
            </w:pPr>
            <w:r>
              <w:rPr/>
              <w:t>​</w:t>
            </w:r>
          </w:p>
        </w:tc>
        <w:tc>
          <w:tcPr>
            <w:tcW w:w="4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38,600</w:t>
            </w:r>
          </w:p>
        </w:tc>
      </w:tr>
      <w:tr>
        <w:trPr/>
        <w:tc>
          <w:tcPr>
            <w:tcW w:w="46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Cash Earn-outs</w:t>
            </w:r>
          </w:p>
        </w:tc>
        <w:tc>
          <w:tcPr>
            <w:tcW w:w="125"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94,355</w:t>
            </w:r>
          </w:p>
        </w:tc>
        <w:tc>
          <w:tcPr>
            <w:tcW w:w="125" w:type="dxa"/>
            <w:tcBorders/>
            <w:vAlign w:val="center"/>
          </w:tcPr>
          <w:p>
            <w:pPr>
              <w:pStyle w:val="TableContents"/>
              <w:bidi w:val="0"/>
              <w:spacing w:before="0" w:after="0"/>
              <w:ind w:left="0" w:right="0" w:hanging="0"/>
              <w:jc w:val="left"/>
              <w:rPr/>
            </w:pPr>
            <w:r>
              <w:rPr/>
              <w:t>​</w:t>
            </w:r>
          </w:p>
        </w:tc>
        <w:tc>
          <w:tcPr>
            <w:tcW w:w="34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66,700</w:t>
            </w:r>
          </w:p>
        </w:tc>
        <w:tc>
          <w:tcPr>
            <w:tcW w:w="125" w:type="dxa"/>
            <w:tcBorders/>
            <w:vAlign w:val="center"/>
          </w:tcPr>
          <w:p>
            <w:pPr>
              <w:pStyle w:val="TableContents"/>
              <w:bidi w:val="0"/>
              <w:spacing w:before="0" w:after="0"/>
              <w:ind w:left="0" w:right="0" w:hanging="0"/>
              <w:jc w:val="center"/>
              <w:rPr/>
            </w:pPr>
            <w:r>
              <w:rPr/>
              <w:t>​</w:t>
            </w:r>
          </w:p>
        </w:tc>
        <w:tc>
          <w:tcPr>
            <w:tcW w:w="40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86,600</w:t>
            </w:r>
          </w:p>
        </w:tc>
      </w:tr>
      <w:tr>
        <w:trPr/>
        <w:tc>
          <w:tcPr>
            <w:tcW w:w="4620" w:type="dxa"/>
            <w:tcBorders/>
            <w:vAlign w:val="center"/>
          </w:tcPr>
          <w:p>
            <w:pPr>
              <w:pStyle w:val="TableContents"/>
              <w:bidi w:val="0"/>
              <w:spacing w:before="0" w:after="0"/>
              <w:ind w:left="0" w:right="0" w:hanging="0"/>
              <w:jc w:val="center"/>
              <w:rPr/>
            </w:pPr>
            <w:r>
              <w:rPr/>
              <w:t>​</w:t>
            </w:r>
          </w:p>
        </w:tc>
        <w:tc>
          <w:tcPr>
            <w:tcW w:w="125" w:type="dxa"/>
            <w:tcBorders/>
            <w:vAlign w:val="center"/>
          </w:tcPr>
          <w:p>
            <w:pPr>
              <w:pStyle w:val="TableContents"/>
              <w:bidi w:val="0"/>
              <w:spacing w:before="0" w:after="0"/>
              <w:ind w:left="0" w:right="0" w:hanging="0"/>
              <w:jc w:val="left"/>
              <w:rPr/>
            </w:pPr>
            <w:r>
              <w:rPr/>
              <w:t>​</w:t>
            </w:r>
          </w:p>
        </w:tc>
        <w:tc>
          <w:tcPr>
            <w:tcW w:w="101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Maximum </w:t>
            </w:r>
          </w:p>
        </w:tc>
        <w:tc>
          <w:tcPr>
            <w:tcW w:w="125" w:type="dxa"/>
            <w:tcBorders/>
            <w:vAlign w:val="center"/>
          </w:tcPr>
          <w:p>
            <w:pPr>
              <w:pStyle w:val="TableContents"/>
              <w:bidi w:val="0"/>
              <w:spacing w:before="0" w:after="0"/>
              <w:ind w:left="0" w:right="0" w:hanging="0"/>
              <w:jc w:val="left"/>
              <w:rPr/>
            </w:pPr>
            <w:r>
              <w:rPr/>
              <w:t>​</w:t>
            </w:r>
          </w:p>
        </w:tc>
        <w:tc>
          <w:tcPr>
            <w:tcW w:w="144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25" w:type="dxa"/>
            <w:tcBorders/>
            <w:vAlign w:val="center"/>
          </w:tcPr>
          <w:p>
            <w:pPr>
              <w:pStyle w:val="TableContents"/>
              <w:bidi w:val="0"/>
              <w:spacing w:before="0" w:after="0"/>
              <w:ind w:left="0" w:right="0" w:hanging="0"/>
              <w:jc w:val="center"/>
              <w:rPr/>
            </w:pPr>
            <w:r>
              <w:rPr/>
              <w:t>​</w:t>
            </w:r>
          </w:p>
        </w:tc>
        <w:tc>
          <w:tcPr>
            <w:tcW w:w="177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Fair Value </w:t>
            </w:r>
          </w:p>
        </w:tc>
      </w:tr>
      <w:tr>
        <w:trPr/>
        <w:tc>
          <w:tcPr>
            <w:tcW w:w="462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 Earn-outs/ Period (unaudited)</w:t>
            </w:r>
          </w:p>
        </w:tc>
        <w:tc>
          <w:tcPr>
            <w:tcW w:w="125" w:type="dxa"/>
            <w:tcBorders/>
            <w:vAlign w:val="center"/>
          </w:tcPr>
          <w:p>
            <w:pPr>
              <w:pStyle w:val="TableContents"/>
              <w:bidi w:val="0"/>
              <w:spacing w:before="0" w:after="0"/>
              <w:ind w:left="0" w:right="0" w:hanging="0"/>
              <w:jc w:val="left"/>
              <w:rPr/>
            </w:pPr>
            <w:r>
              <w:rPr/>
              <w:t>​</w:t>
            </w:r>
          </w:p>
        </w:tc>
        <w:tc>
          <w:tcPr>
            <w:tcW w:w="1018"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Payout </w:t>
            </w:r>
            <w:r>
              <w:rPr>
                <w:rFonts w:ascii="Times New Roman;Times;serif" w:hAnsi="Times New Roman;Times;serif"/>
                <w:b/>
                <w:sz w:val="12"/>
              </w:rPr>
              <w:t>(1)</w:t>
            </w:r>
          </w:p>
        </w:tc>
        <w:tc>
          <w:tcPr>
            <w:tcW w:w="125" w:type="dxa"/>
            <w:tcBorders/>
            <w:vAlign w:val="center"/>
          </w:tcPr>
          <w:p>
            <w:pPr>
              <w:pStyle w:val="TableContents"/>
              <w:bidi w:val="0"/>
              <w:spacing w:before="0" w:after="0"/>
              <w:ind w:left="0" w:right="0" w:hanging="0"/>
              <w:jc w:val="left"/>
              <w:rPr/>
            </w:pPr>
            <w:r>
              <w:rPr/>
              <w:t>​</w:t>
            </w:r>
          </w:p>
        </w:tc>
        <w:tc>
          <w:tcPr>
            <w:tcW w:w="14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125" w:type="dxa"/>
            <w:tcBorders/>
            <w:vAlign w:val="center"/>
          </w:tcPr>
          <w:p>
            <w:pPr>
              <w:pStyle w:val="TableContents"/>
              <w:bidi w:val="0"/>
              <w:spacing w:before="0" w:after="0"/>
              <w:ind w:left="0" w:right="0" w:hanging="0"/>
              <w:jc w:val="center"/>
              <w:rPr/>
            </w:pPr>
            <w:r>
              <w:rPr/>
              <w:t>​</w:t>
            </w:r>
          </w:p>
        </w:tc>
        <w:tc>
          <w:tcPr>
            <w:tcW w:w="17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46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1 - December 1, 2024 - November 30, 2025</w:t>
            </w:r>
          </w:p>
        </w:tc>
        <w:tc>
          <w:tcPr>
            <w:tcW w:w="125"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12,000</w:t>
            </w:r>
          </w:p>
        </w:tc>
        <w:tc>
          <w:tcPr>
            <w:tcW w:w="125"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5" w:type="dxa"/>
            <w:tcBorders/>
            <w:shd w:fill="CCEEFF" w:val="clear"/>
            <w:vAlign w:val="center"/>
          </w:tcPr>
          <w:p>
            <w:pPr>
              <w:pStyle w:val="TableContents"/>
              <w:bidi w:val="0"/>
              <w:spacing w:before="0" w:after="0"/>
              <w:ind w:left="0" w:right="0" w:hanging="0"/>
              <w:jc w:val="right"/>
              <w:rPr/>
            </w:pPr>
            <w:r>
              <w:rPr/>
              <w:t>—</w:t>
            </w:r>
          </w:p>
        </w:tc>
        <w:tc>
          <w:tcPr>
            <w:tcW w:w="125" w:type="dxa"/>
            <w:tcBorders/>
            <w:shd w:fill="CCEEFF" w:val="clear"/>
            <w:vAlign w:val="center"/>
          </w:tcPr>
          <w:p>
            <w:pPr>
              <w:pStyle w:val="TableContents"/>
              <w:bidi w:val="0"/>
              <w:spacing w:before="0" w:after="0"/>
              <w:ind w:left="0" w:right="0" w:hanging="0"/>
              <w:jc w:val="center"/>
              <w:rPr/>
            </w:pPr>
            <w:r>
              <w:rPr/>
              <w:t>​</w:t>
            </w:r>
          </w:p>
        </w:tc>
        <w:tc>
          <w:tcPr>
            <w:tcW w:w="4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6,500</w:t>
            </w:r>
          </w:p>
        </w:tc>
      </w:tr>
      <w:tr>
        <w:trPr/>
        <w:tc>
          <w:tcPr>
            <w:tcW w:w="46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2 - December 1, 2025 - November 30, 2026</w:t>
            </w:r>
          </w:p>
        </w:tc>
        <w:tc>
          <w:tcPr>
            <w:tcW w:w="125"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center"/>
              <w:rPr/>
            </w:pPr>
            <w:r>
              <w:rPr/>
              <w:t>​</w:t>
            </w:r>
          </w:p>
        </w:tc>
        <w:tc>
          <w:tcPr>
            <w:tcW w:w="7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12,000</w:t>
            </w:r>
          </w:p>
        </w:tc>
        <w:tc>
          <w:tcPr>
            <w:tcW w:w="125"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center"/>
              <w:rPr/>
            </w:pPr>
            <w:r>
              <w:rPr/>
              <w:t>​</w:t>
            </w:r>
          </w:p>
        </w:tc>
        <w:tc>
          <w:tcPr>
            <w:tcW w:w="11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3,900</w:t>
            </w:r>
          </w:p>
        </w:tc>
        <w:tc>
          <w:tcPr>
            <w:tcW w:w="125" w:type="dxa"/>
            <w:tcBorders/>
            <w:vAlign w:val="center"/>
          </w:tcPr>
          <w:p>
            <w:pPr>
              <w:pStyle w:val="TableContents"/>
              <w:bidi w:val="0"/>
              <w:spacing w:before="0" w:after="0"/>
              <w:ind w:left="0" w:right="0" w:hanging="0"/>
              <w:jc w:val="center"/>
              <w:rPr/>
            </w:pPr>
            <w:r>
              <w:rPr/>
              <w:t>​</w:t>
            </w:r>
          </w:p>
        </w:tc>
        <w:tc>
          <w:tcPr>
            <w:tcW w:w="402" w:type="dxa"/>
            <w:tcBorders/>
            <w:vAlign w:val="center"/>
          </w:tcPr>
          <w:p>
            <w:pPr>
              <w:pStyle w:val="TableContents"/>
              <w:bidi w:val="0"/>
              <w:spacing w:before="0" w:after="0"/>
              <w:ind w:left="0" w:right="0" w:hanging="0"/>
              <w:jc w:val="left"/>
              <w:rPr/>
            </w:pPr>
            <w:r>
              <w:rPr/>
              <w:t>​</w:t>
            </w:r>
          </w:p>
        </w:tc>
        <w:tc>
          <w:tcPr>
            <w:tcW w:w="13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6,500</w:t>
            </w:r>
          </w:p>
        </w:tc>
      </w:tr>
      <w:tr>
        <w:trPr/>
        <w:tc>
          <w:tcPr>
            <w:tcW w:w="46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3 - December 1, 2026 - November 30, 2027</w:t>
            </w:r>
          </w:p>
        </w:tc>
        <w:tc>
          <w:tcPr>
            <w:tcW w:w="125"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7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11,000</w:t>
            </w:r>
          </w:p>
        </w:tc>
        <w:tc>
          <w:tcPr>
            <w:tcW w:w="125" w:type="dxa"/>
            <w:tcBorders/>
            <w:shd w:fill="CCEEFF" w:val="clear"/>
            <w:vAlign w:val="center"/>
          </w:tcPr>
          <w:p>
            <w:pPr>
              <w:pStyle w:val="TableContents"/>
              <w:bidi w:val="0"/>
              <w:spacing w:before="0" w:after="0"/>
              <w:ind w:left="0" w:right="0" w:hanging="0"/>
              <w:jc w:val="left"/>
              <w:rPr/>
            </w:pPr>
            <w:r>
              <w:rPr/>
              <w:t>​</w:t>
            </w:r>
          </w:p>
        </w:tc>
        <w:tc>
          <w:tcPr>
            <w:tcW w:w="343"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1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3,500</w:t>
            </w:r>
          </w:p>
        </w:tc>
        <w:tc>
          <w:tcPr>
            <w:tcW w:w="125" w:type="dxa"/>
            <w:tcBorders/>
            <w:shd w:fill="CCEEFF" w:val="clear"/>
            <w:vAlign w:val="center"/>
          </w:tcPr>
          <w:p>
            <w:pPr>
              <w:pStyle w:val="TableContents"/>
              <w:bidi w:val="0"/>
              <w:spacing w:before="0" w:after="0"/>
              <w:ind w:left="0" w:right="0" w:hanging="0"/>
              <w:jc w:val="center"/>
              <w:rPr/>
            </w:pPr>
            <w:r>
              <w:rPr/>
              <w:t>​</w:t>
            </w:r>
          </w:p>
        </w:tc>
        <w:tc>
          <w:tcPr>
            <w:tcW w:w="4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5,900</w:t>
            </w:r>
          </w:p>
        </w:tc>
      </w:tr>
      <w:tr>
        <w:trPr/>
        <w:tc>
          <w:tcPr>
            <w:tcW w:w="46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Stock Earn-outs</w:t>
            </w:r>
          </w:p>
        </w:tc>
        <w:tc>
          <w:tcPr>
            <w:tcW w:w="125"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35,000</w:t>
            </w:r>
          </w:p>
        </w:tc>
        <w:tc>
          <w:tcPr>
            <w:tcW w:w="125" w:type="dxa"/>
            <w:tcBorders/>
            <w:vAlign w:val="center"/>
          </w:tcPr>
          <w:p>
            <w:pPr>
              <w:pStyle w:val="TableContents"/>
              <w:bidi w:val="0"/>
              <w:spacing w:before="0" w:after="0"/>
              <w:ind w:left="0" w:right="0" w:hanging="0"/>
              <w:jc w:val="left"/>
              <w:rPr/>
            </w:pPr>
            <w:r>
              <w:rPr/>
              <w:t>​</w:t>
            </w:r>
          </w:p>
        </w:tc>
        <w:tc>
          <w:tcPr>
            <w:tcW w:w="34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7,400</w:t>
            </w:r>
          </w:p>
        </w:tc>
        <w:tc>
          <w:tcPr>
            <w:tcW w:w="125" w:type="dxa"/>
            <w:tcBorders/>
            <w:vAlign w:val="center"/>
          </w:tcPr>
          <w:p>
            <w:pPr>
              <w:pStyle w:val="TableContents"/>
              <w:bidi w:val="0"/>
              <w:spacing w:before="0" w:after="0"/>
              <w:ind w:left="0" w:right="0" w:hanging="0"/>
              <w:jc w:val="center"/>
              <w:rPr/>
            </w:pPr>
            <w:r>
              <w:rPr/>
              <w:t>​</w:t>
            </w:r>
          </w:p>
        </w:tc>
        <w:tc>
          <w:tcPr>
            <w:tcW w:w="40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18,900</w:t>
            </w:r>
          </w:p>
        </w:tc>
      </w:tr>
      <w:tr>
        <w:trPr/>
        <w:tc>
          <w:tcPr>
            <w:tcW w:w="9237" w:type="dxa"/>
            <w:gridSpan w:val="10"/>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4"/>
              </w:rPr>
              <w:t>(1)</w:t>
            </w:r>
            <w:r>
              <w:rPr>
                <w:rFonts w:ascii="Times New Roman;Times;serif" w:hAnsi="Times New Roman;Times;serif"/>
                <w:sz w:val="18"/>
              </w:rPr>
              <w:t xml:space="preserve"> Maximum payout based on Vertex's August 6, 2024 opening share price of $37.02, as referenced in the purchase agreement. </w:t>
            </w:r>
          </w:p>
        </w:tc>
      </w:tr>
      <w:tr>
        <w:trPr/>
        <w:tc>
          <w:tcPr>
            <w:tcW w:w="4620" w:type="dxa"/>
            <w:tcBorders/>
            <w:vAlign w:val="center"/>
          </w:tcPr>
          <w:p>
            <w:pPr>
              <w:pStyle w:val="TableContents"/>
              <w:bidi w:val="0"/>
              <w:spacing w:before="0" w:after="0"/>
              <w:ind w:left="0" w:right="0" w:hanging="0"/>
              <w:jc w:val="left"/>
              <w:rPr/>
            </w:pPr>
            <w:r>
              <w:rPr/>
              <w:t>​</w:t>
            </w:r>
          </w:p>
        </w:tc>
        <w:tc>
          <w:tcPr>
            <w:tcW w:w="125"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center"/>
              <w:rPr/>
            </w:pPr>
            <w:r>
              <w:rPr/>
              <w:t>​</w:t>
            </w:r>
          </w:p>
        </w:tc>
        <w:tc>
          <w:tcPr>
            <w:tcW w:w="776" w:type="dxa"/>
            <w:tcBorders/>
            <w:vAlign w:val="center"/>
          </w:tcPr>
          <w:p>
            <w:pPr>
              <w:pStyle w:val="TableContents"/>
              <w:bidi w:val="0"/>
              <w:spacing w:before="0" w:after="0"/>
              <w:ind w:left="0" w:right="0" w:hanging="0"/>
              <w:jc w:val="left"/>
              <w:rPr/>
            </w:pPr>
            <w:r>
              <w:rPr/>
              <w:t>​</w:t>
            </w:r>
          </w:p>
        </w:tc>
        <w:tc>
          <w:tcPr>
            <w:tcW w:w="125"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center"/>
              <w:rPr/>
            </w:pPr>
            <w:r>
              <w:rPr/>
              <w:t>​</w:t>
            </w:r>
          </w:p>
        </w:tc>
        <w:tc>
          <w:tcPr>
            <w:tcW w:w="1105" w:type="dxa"/>
            <w:tcBorders/>
            <w:vAlign w:val="center"/>
          </w:tcPr>
          <w:p>
            <w:pPr>
              <w:pStyle w:val="TableContents"/>
              <w:bidi w:val="0"/>
              <w:spacing w:before="0" w:after="0"/>
              <w:ind w:left="0" w:right="0" w:hanging="0"/>
              <w:jc w:val="center"/>
              <w:rPr/>
            </w:pPr>
            <w:r>
              <w:rPr/>
              <w:t>​</w:t>
            </w:r>
          </w:p>
        </w:tc>
        <w:tc>
          <w:tcPr>
            <w:tcW w:w="125" w:type="dxa"/>
            <w:tcBorders/>
            <w:vAlign w:val="center"/>
          </w:tcPr>
          <w:p>
            <w:pPr>
              <w:pStyle w:val="TableContents"/>
              <w:bidi w:val="0"/>
              <w:spacing w:before="0" w:after="0"/>
              <w:ind w:left="0" w:right="0" w:hanging="0"/>
              <w:jc w:val="center"/>
              <w:rPr/>
            </w:pPr>
            <w:r>
              <w:rPr/>
              <w:t>​</w:t>
            </w:r>
          </w:p>
        </w:tc>
        <w:tc>
          <w:tcPr>
            <w:tcW w:w="402" w:type="dxa"/>
            <w:tcBorders/>
            <w:vAlign w:val="center"/>
          </w:tcPr>
          <w:p>
            <w:pPr>
              <w:pStyle w:val="TableContents"/>
              <w:bidi w:val="0"/>
              <w:spacing w:before="0" w:after="0"/>
              <w:ind w:left="0" w:right="0" w:hanging="0"/>
              <w:jc w:val="left"/>
              <w:rPr/>
            </w:pPr>
            <w:r>
              <w:rPr/>
              <w:t>​</w:t>
            </w:r>
          </w:p>
        </w:tc>
        <w:tc>
          <w:tcPr>
            <w:tcW w:w="137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Actual payouts are further adjusted depending on ecosio’s software revenue attainment for each of the measurement periods. In the event that actual software revenues exceed 100% of the target, additional payments may be made up to a maximum of 122.5% of the annual target. If actual software revenues are below 85% of the target, no payouts are made for that measurement period. The Stock Earn-outs are paid in shares of the Company’s Class A common stock.</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Cash Earn-outs and Stock Earn-outs are recorded at fair value in the condensed consolidated balance sheets as follows: </w:t>
      </w:r>
    </w:p>
    <w:p>
      <w:pPr>
        <w:pStyle w:val="TextBody"/>
        <w:bidi w:val="0"/>
        <w:spacing w:before="0" w:after="0"/>
        <w:ind w:left="0" w:right="0" w:hanging="0"/>
        <w:jc w:val="left"/>
        <w:rPr/>
      </w:pPr>
      <w:r>
        <w:rPr/>
        <w:t>​</w:t>
      </w:r>
    </w:p>
    <w:tbl>
      <w:tblPr>
        <w:tblW w:w="7136" w:type="dxa"/>
        <w:jc w:val="left"/>
        <w:tblInd w:w="0" w:type="dxa"/>
        <w:tblLayout w:type="fixed"/>
        <w:tblCellMar>
          <w:top w:w="0" w:type="dxa"/>
          <w:left w:w="0" w:type="dxa"/>
          <w:bottom w:w="0" w:type="dxa"/>
          <w:right w:w="0" w:type="dxa"/>
        </w:tblCellMar>
      </w:tblPr>
      <w:tblGrid>
        <w:gridCol w:w="1662"/>
        <w:gridCol w:w="247"/>
        <w:gridCol w:w="796"/>
        <w:gridCol w:w="127"/>
        <w:gridCol w:w="348"/>
        <w:gridCol w:w="1117"/>
        <w:gridCol w:w="127"/>
        <w:gridCol w:w="252"/>
        <w:gridCol w:w="811"/>
        <w:gridCol w:w="130"/>
        <w:gridCol w:w="343"/>
        <w:gridCol w:w="1176"/>
      </w:tblGrid>
      <w:tr>
        <w:trPr/>
        <w:tc>
          <w:tcPr>
            <w:tcW w:w="16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055370" cy="175260"/>
                      <wp:effectExtent l="0" t="0" r="0" b="0"/>
                      <wp:wrapNone/>
                      <wp:docPr id="131" name="Frame131"/>
                      <a:graphic xmlns:a="http://schemas.openxmlformats.org/drawingml/2006/main">
                        <a:graphicData uri="http://schemas.microsoft.com/office/word/2010/wordprocessingShape">
                          <wps:wsp>
                            <wps:cNvSpPr txBox="1"/>
                            <wps:spPr>
                              <a:xfrm>
                                <a:off x="0" y="0"/>
                                <a:ext cx="1055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56845" cy="175260"/>
                      <wp:effectExtent l="0" t="0" r="0" b="0"/>
                      <wp:wrapNone/>
                      <wp:docPr id="132" name="Frame132"/>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505460" cy="175260"/>
                      <wp:effectExtent l="0" t="0" r="0" b="0"/>
                      <wp:wrapNone/>
                      <wp:docPr id="133" name="Frame13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80645" cy="175260"/>
                      <wp:effectExtent l="0" t="0" r="0" b="0"/>
                      <wp:wrapNone/>
                      <wp:docPr id="134" name="Frame134"/>
                      <a:graphic xmlns:a="http://schemas.openxmlformats.org/drawingml/2006/main">
                        <a:graphicData uri="http://schemas.microsoft.com/office/word/2010/wordprocessingShape">
                          <wps:wsp>
                            <wps:cNvSpPr txBox="1"/>
                            <wps:spPr>
                              <a:xfrm>
                                <a:off x="0" y="0"/>
                                <a:ext cx="80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20980" cy="175260"/>
                      <wp:effectExtent l="0" t="0" r="0" b="0"/>
                      <wp:wrapNone/>
                      <wp:docPr id="135" name="Frame135"/>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709295" cy="175260"/>
                      <wp:effectExtent l="0" t="0" r="0" b="0"/>
                      <wp:wrapNone/>
                      <wp:docPr id="136" name="Frame136"/>
                      <a:graphic xmlns:a="http://schemas.openxmlformats.org/drawingml/2006/main">
                        <a:graphicData uri="http://schemas.microsoft.com/office/word/2010/wordprocessingShape">
                          <wps:wsp>
                            <wps:cNvSpPr txBox="1"/>
                            <wps:spPr>
                              <a:xfrm>
                                <a:off x="0" y="0"/>
                                <a:ext cx="709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80645" cy="175260"/>
                      <wp:effectExtent l="0" t="0" r="0" b="0"/>
                      <wp:wrapNone/>
                      <wp:docPr id="137" name="Frame137"/>
                      <a:graphic xmlns:a="http://schemas.openxmlformats.org/drawingml/2006/main">
                        <a:graphicData uri="http://schemas.microsoft.com/office/word/2010/wordprocessingShape">
                          <wps:wsp>
                            <wps:cNvSpPr txBox="1"/>
                            <wps:spPr>
                              <a:xfrm>
                                <a:off x="0" y="0"/>
                                <a:ext cx="80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60020" cy="175260"/>
                      <wp:effectExtent l="0" t="0" r="0" b="0"/>
                      <wp:wrapNone/>
                      <wp:docPr id="138" name="Frame138"/>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514985" cy="175260"/>
                      <wp:effectExtent l="0" t="0" r="0" b="0"/>
                      <wp:wrapNone/>
                      <wp:docPr id="139" name="Frame139"/>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82550" cy="175260"/>
                      <wp:effectExtent l="0" t="0" r="0" b="0"/>
                      <wp:wrapNone/>
                      <wp:docPr id="140" name="Frame140"/>
                      <a:graphic xmlns:a="http://schemas.openxmlformats.org/drawingml/2006/main">
                        <a:graphicData uri="http://schemas.microsoft.com/office/word/2010/wordprocessingShape">
                          <wps:wsp>
                            <wps:cNvSpPr txBox="1"/>
                            <wps:spPr>
                              <a:xfrm>
                                <a:off x="0" y="0"/>
                                <a:ext cx="82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17805" cy="175260"/>
                      <wp:effectExtent l="0" t="0" r="0" b="0"/>
                      <wp:wrapNone/>
                      <wp:docPr id="141" name="Frame141"/>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746760" cy="175260"/>
                      <wp:effectExtent l="0" t="0" r="0" b="0"/>
                      <wp:wrapNone/>
                      <wp:docPr id="142" name="Frame142"/>
                      <a:graphic xmlns:a="http://schemas.openxmlformats.org/drawingml/2006/main">
                        <a:graphicData uri="http://schemas.microsoft.com/office/word/2010/wordprocessingShape">
                          <wps:wsp>
                            <wps:cNvSpPr txBox="1"/>
                            <wps:spPr>
                              <a:xfrm>
                                <a:off x="0" y="0"/>
                                <a:ext cx="746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62" w:type="dxa"/>
            <w:tcBorders/>
            <w:vAlign w:val="center"/>
          </w:tcPr>
          <w:p>
            <w:pPr>
              <w:pStyle w:val="TableContents"/>
              <w:bidi w:val="0"/>
              <w:spacing w:before="0" w:after="0"/>
              <w:ind w:left="0" w:right="0" w:hanging="0"/>
              <w:jc w:val="left"/>
              <w:rPr/>
            </w:pPr>
            <w:r>
              <w:rPr/>
              <w:t>​</w:t>
            </w:r>
          </w:p>
        </w:tc>
        <w:tc>
          <w:tcPr>
            <w:tcW w:w="26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March 31, 2026</w:t>
            </w:r>
          </w:p>
        </w:tc>
        <w:tc>
          <w:tcPr>
            <w:tcW w:w="127" w:type="dxa"/>
            <w:tcBorders/>
            <w:vAlign w:val="center"/>
          </w:tcPr>
          <w:p>
            <w:pPr>
              <w:pStyle w:val="TableContents"/>
              <w:bidi w:val="0"/>
              <w:spacing w:before="0" w:after="0"/>
              <w:ind w:left="0" w:right="0" w:hanging="0"/>
              <w:jc w:val="center"/>
              <w:rPr/>
            </w:pPr>
            <w:r>
              <w:rPr/>
              <w:t>​</w:t>
            </w:r>
          </w:p>
        </w:tc>
        <w:tc>
          <w:tcPr>
            <w:tcW w:w="271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2025</w:t>
            </w:r>
          </w:p>
        </w:tc>
      </w:tr>
      <w:tr>
        <w:trPr/>
        <w:tc>
          <w:tcPr>
            <w:tcW w:w="1662" w:type="dxa"/>
            <w:tcBorders/>
            <w:vAlign w:val="center"/>
          </w:tcPr>
          <w:p>
            <w:pPr>
              <w:pStyle w:val="TableContents"/>
              <w:bidi w:val="0"/>
              <w:spacing w:before="0" w:after="0"/>
              <w:ind w:left="0" w:right="0" w:hanging="0"/>
              <w:jc w:val="left"/>
              <w:rPr/>
            </w:pPr>
            <w:r>
              <w:rPr/>
              <w:t>​</w:t>
            </w:r>
          </w:p>
        </w:tc>
        <w:tc>
          <w:tcPr>
            <w:tcW w:w="263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27"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center"/>
              <w:rPr/>
            </w:pPr>
            <w:r>
              <w:rPr/>
              <w:t>​</w:t>
            </w:r>
          </w:p>
        </w:tc>
        <w:tc>
          <w:tcPr>
            <w:tcW w:w="130" w:type="dxa"/>
            <w:tcBorders/>
            <w:vAlign w:val="center"/>
          </w:tcPr>
          <w:p>
            <w:pPr>
              <w:pStyle w:val="TableContents"/>
              <w:bidi w:val="0"/>
              <w:spacing w:before="0" w:after="0"/>
              <w:ind w:left="0" w:right="0" w:hanging="0"/>
              <w:jc w:val="center"/>
              <w:rPr/>
            </w:pPr>
            <w:r>
              <w:rPr/>
              <w:t>​</w:t>
            </w:r>
          </w:p>
        </w:tc>
        <w:tc>
          <w:tcPr>
            <w:tcW w:w="343" w:type="dxa"/>
            <w:tcBorders/>
            <w:vAlign w:val="center"/>
          </w:tcPr>
          <w:p>
            <w:pPr>
              <w:pStyle w:val="TableContents"/>
              <w:bidi w:val="0"/>
              <w:spacing w:before="0" w:after="0"/>
              <w:ind w:left="0" w:right="0" w:hanging="0"/>
              <w:jc w:val="center"/>
              <w:rPr/>
            </w:pPr>
            <w:r>
              <w:rPr/>
              <w:t>​</w:t>
            </w:r>
          </w:p>
        </w:tc>
        <w:tc>
          <w:tcPr>
            <w:tcW w:w="1176" w:type="dxa"/>
            <w:tcBorders/>
            <w:vAlign w:val="center"/>
          </w:tcPr>
          <w:p>
            <w:pPr>
              <w:pStyle w:val="TableContents"/>
              <w:bidi w:val="0"/>
              <w:spacing w:before="0" w:after="0"/>
              <w:ind w:left="0" w:right="0" w:hanging="0"/>
              <w:jc w:val="center"/>
              <w:rPr/>
            </w:pPr>
            <w:r>
              <w:rPr/>
              <w:t>​</w:t>
            </w:r>
          </w:p>
        </w:tc>
      </w:tr>
      <w:tr>
        <w:trPr/>
        <w:tc>
          <w:tcPr>
            <w:tcW w:w="1662" w:type="dxa"/>
            <w:tcBorders/>
            <w:vAlign w:val="center"/>
          </w:tcPr>
          <w:p>
            <w:pPr>
              <w:pStyle w:val="TableContents"/>
              <w:bidi w:val="0"/>
              <w:spacing w:before="0" w:after="0"/>
              <w:ind w:left="0" w:right="0" w:hanging="0"/>
              <w:jc w:val="left"/>
              <w:rPr/>
            </w:pPr>
            <w:r>
              <w:rPr/>
              <w:t>​</w:t>
            </w:r>
          </w:p>
        </w:tc>
        <w:tc>
          <w:tcPr>
            <w:tcW w:w="1043"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Current </w:t>
            </w:r>
            <w:r>
              <w:rPr>
                <w:rFonts w:ascii="Times New Roman;Times;serif" w:hAnsi="Times New Roman;Times;serif"/>
                <w:b/>
                <w:sz w:val="12"/>
              </w:rPr>
              <w:t>(1)</w:t>
            </w:r>
          </w:p>
        </w:tc>
        <w:tc>
          <w:tcPr>
            <w:tcW w:w="127" w:type="dxa"/>
            <w:tcBorders/>
            <w:vAlign w:val="center"/>
          </w:tcPr>
          <w:p>
            <w:pPr>
              <w:pStyle w:val="TableContents"/>
              <w:bidi w:val="0"/>
              <w:spacing w:before="0" w:after="0"/>
              <w:ind w:left="0" w:right="0" w:hanging="0"/>
              <w:jc w:val="center"/>
              <w:rPr/>
            </w:pPr>
            <w:r>
              <w:rPr/>
              <w:t>​</w:t>
            </w:r>
          </w:p>
        </w:tc>
        <w:tc>
          <w:tcPr>
            <w:tcW w:w="1465"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Non-Current </w:t>
            </w:r>
            <w:r>
              <w:rPr>
                <w:rFonts w:ascii="Times New Roman;Times;serif" w:hAnsi="Times New Roman;Times;serif"/>
                <w:b/>
                <w:sz w:val="12"/>
              </w:rPr>
              <w:t>(2)</w:t>
            </w:r>
          </w:p>
        </w:tc>
        <w:tc>
          <w:tcPr>
            <w:tcW w:w="127" w:type="dxa"/>
            <w:tcBorders/>
            <w:vAlign w:val="center"/>
          </w:tcPr>
          <w:p>
            <w:pPr>
              <w:pStyle w:val="TableContents"/>
              <w:bidi w:val="0"/>
              <w:spacing w:before="0" w:after="0"/>
              <w:ind w:left="0" w:right="0" w:hanging="0"/>
              <w:jc w:val="center"/>
              <w:rPr/>
            </w:pPr>
            <w:r>
              <w:rPr/>
              <w:t>​</w:t>
            </w:r>
          </w:p>
        </w:tc>
        <w:tc>
          <w:tcPr>
            <w:tcW w:w="1063"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Current </w:t>
            </w:r>
            <w:r>
              <w:rPr>
                <w:rFonts w:ascii="Times New Roman;Times;serif" w:hAnsi="Times New Roman;Times;serif"/>
                <w:b/>
                <w:sz w:val="12"/>
              </w:rPr>
              <w:t>(1)</w:t>
            </w:r>
          </w:p>
        </w:tc>
        <w:tc>
          <w:tcPr>
            <w:tcW w:w="130" w:type="dxa"/>
            <w:tcBorders/>
            <w:vAlign w:val="center"/>
          </w:tcPr>
          <w:p>
            <w:pPr>
              <w:pStyle w:val="TableContents"/>
              <w:bidi w:val="0"/>
              <w:spacing w:before="0" w:after="0"/>
              <w:ind w:left="0" w:right="0" w:hanging="0"/>
              <w:jc w:val="center"/>
              <w:rPr/>
            </w:pPr>
            <w:r>
              <w:rPr/>
              <w:t>​</w:t>
            </w:r>
          </w:p>
        </w:tc>
        <w:tc>
          <w:tcPr>
            <w:tcW w:w="1519"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Non-Current</w:t>
            </w:r>
            <w:r>
              <w:rPr>
                <w:rFonts w:ascii="Times New Roman;Times;serif" w:hAnsi="Times New Roman;Times;serif"/>
                <w:sz w:val="16"/>
              </w:rPr>
              <w:t xml:space="preserve"> </w:t>
            </w:r>
            <w:r>
              <w:rPr>
                <w:rFonts w:ascii="Times New Roman;Times;serif" w:hAnsi="Times New Roman;Times;serif"/>
                <w:b/>
                <w:sz w:val="12"/>
              </w:rPr>
              <w:t>(2)</w:t>
            </w:r>
          </w:p>
        </w:tc>
      </w:tr>
      <w:tr>
        <w:trPr/>
        <w:tc>
          <w:tcPr>
            <w:tcW w:w="16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Earn-outs</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28,900</w:t>
            </w:r>
          </w:p>
        </w:tc>
        <w:tc>
          <w:tcPr>
            <w:tcW w:w="127" w:type="dxa"/>
            <w:tcBorders/>
            <w:shd w:fill="CCEEFF" w:val="clear"/>
            <w:vAlign w:val="center"/>
          </w:tcPr>
          <w:p>
            <w:pPr>
              <w:pStyle w:val="TableContents"/>
              <w:bidi w:val="0"/>
              <w:spacing w:before="0" w:after="0"/>
              <w:ind w:left="0" w:right="0" w:hanging="0"/>
              <w:jc w:val="left"/>
              <w:rPr/>
            </w:pPr>
            <w:r>
              <w:rPr/>
              <w:t>​</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37,800</w:t>
            </w:r>
          </w:p>
        </w:tc>
        <w:tc>
          <w:tcPr>
            <w:tcW w:w="127"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19,400</w:t>
            </w:r>
          </w:p>
        </w:tc>
        <w:tc>
          <w:tcPr>
            <w:tcW w:w="130"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67,200</w:t>
            </w:r>
          </w:p>
        </w:tc>
      </w:tr>
      <w:tr>
        <w:trPr/>
        <w:tc>
          <w:tcPr>
            <w:tcW w:w="16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Earn-outs</w:t>
            </w:r>
          </w:p>
        </w:tc>
        <w:tc>
          <w:tcPr>
            <w:tcW w:w="24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3,900</w:t>
            </w:r>
          </w:p>
        </w:tc>
        <w:tc>
          <w:tcPr>
            <w:tcW w:w="127" w:type="dxa"/>
            <w:tcBorders/>
            <w:vAlign w:val="center"/>
          </w:tcPr>
          <w:p>
            <w:pPr>
              <w:pStyle w:val="TableContents"/>
              <w:bidi w:val="0"/>
              <w:spacing w:before="0" w:after="0"/>
              <w:ind w:left="0" w:right="0" w:hanging="0"/>
              <w:jc w:val="left"/>
              <w:rPr/>
            </w:pPr>
            <w:r>
              <w:rPr/>
              <w:t>​</w:t>
            </w:r>
          </w:p>
        </w:tc>
        <w:tc>
          <w:tcPr>
            <w:tcW w:w="34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3,500</w:t>
            </w:r>
          </w:p>
        </w:tc>
        <w:tc>
          <w:tcPr>
            <w:tcW w:w="127"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6,500</w:t>
            </w:r>
          </w:p>
        </w:tc>
        <w:tc>
          <w:tcPr>
            <w:tcW w:w="130" w:type="dxa"/>
            <w:tcBorders/>
            <w:vAlign w:val="center"/>
          </w:tcPr>
          <w:p>
            <w:pPr>
              <w:pStyle w:val="TableContents"/>
              <w:bidi w:val="0"/>
              <w:spacing w:before="0" w:after="0"/>
              <w:ind w:left="0" w:right="0" w:hanging="0"/>
              <w:jc w:val="left"/>
              <w:rPr/>
            </w:pPr>
            <w:r>
              <w:rPr/>
              <w:t>​</w:t>
            </w:r>
          </w:p>
        </w:tc>
        <w:tc>
          <w:tcPr>
            <w:tcW w:w="34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12,400</w:t>
            </w:r>
          </w:p>
        </w:tc>
      </w:tr>
      <w:tr>
        <w:trPr/>
        <w:tc>
          <w:tcPr>
            <w:tcW w:w="16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24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32,800</w:t>
            </w:r>
          </w:p>
        </w:tc>
        <w:tc>
          <w:tcPr>
            <w:tcW w:w="127" w:type="dxa"/>
            <w:tcBorders/>
            <w:shd w:fill="CCEEFF" w:val="clear"/>
            <w:vAlign w:val="center"/>
          </w:tcPr>
          <w:p>
            <w:pPr>
              <w:pStyle w:val="TableContents"/>
              <w:bidi w:val="0"/>
              <w:spacing w:before="0" w:after="0"/>
              <w:ind w:left="0" w:right="0" w:hanging="0"/>
              <w:jc w:val="left"/>
              <w:rPr/>
            </w:pPr>
            <w:r>
              <w:rPr/>
              <w:t>​</w:t>
            </w:r>
          </w:p>
        </w:tc>
        <w:tc>
          <w:tcPr>
            <w:tcW w:w="3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41,300</w:t>
            </w:r>
          </w:p>
        </w:tc>
        <w:tc>
          <w:tcPr>
            <w:tcW w:w="127"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25,900</w:t>
            </w:r>
          </w:p>
        </w:tc>
        <w:tc>
          <w:tcPr>
            <w:tcW w:w="130" w:type="dxa"/>
            <w:tcBorders/>
            <w:shd w:fill="CCEEFF" w:val="clear"/>
            <w:vAlign w:val="center"/>
          </w:tcPr>
          <w:p>
            <w:pPr>
              <w:pStyle w:val="TableContents"/>
              <w:bidi w:val="0"/>
              <w:spacing w:before="0" w:after="0"/>
              <w:ind w:left="0" w:right="0" w:hanging="0"/>
              <w:jc w:val="left"/>
              <w:rPr/>
            </w:pPr>
            <w:r>
              <w:rPr/>
              <w:t>​</w:t>
            </w:r>
          </w:p>
        </w:tc>
        <w:tc>
          <w:tcPr>
            <w:tcW w:w="34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79,600</w:t>
            </w:r>
          </w:p>
        </w:tc>
      </w:tr>
      <w:tr>
        <w:trPr/>
        <w:tc>
          <w:tcPr>
            <w:tcW w:w="7136" w:type="dxa"/>
            <w:gridSpan w:val="12"/>
            <w:tcBorders/>
            <w:vAlign w:val="center"/>
          </w:tcPr>
          <w:p>
            <w:pPr>
              <w:pStyle w:val="TableContents"/>
              <w:bidi w:val="0"/>
              <w:spacing w:before="0" w:after="0"/>
              <w:ind w:left="0" w:right="0" w:hanging="0"/>
              <w:jc w:val="left"/>
              <w:rPr/>
            </w:pPr>
            <w:r>
              <w:rPr/>
              <w:t>​</w:t>
            </w:r>
          </w:p>
        </w:tc>
      </w:tr>
      <w:tr>
        <w:trPr/>
        <w:tc>
          <w:tcPr>
            <w:tcW w:w="7136" w:type="dxa"/>
            <w:gridSpan w:val="12"/>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4"/>
              </w:rPr>
              <w:t xml:space="preserve">(1) </w:t>
            </w:r>
            <w:r>
              <w:rPr>
                <w:rFonts w:ascii="Times New Roman;Times;serif" w:hAnsi="Times New Roman;Times;serif"/>
                <w:sz w:val="18"/>
              </w:rPr>
              <w:t>Included in purchase commitment and contingent consideration liabilities, current.</w:t>
            </w:r>
          </w:p>
        </w:tc>
      </w:tr>
      <w:tr>
        <w:trPr/>
        <w:tc>
          <w:tcPr>
            <w:tcW w:w="7136" w:type="dxa"/>
            <w:gridSpan w:val="12"/>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4"/>
              </w:rPr>
              <w:t>(2)</w:t>
            </w:r>
            <w:r>
              <w:rPr>
                <w:rFonts w:ascii="Times New Roman;Times;serif" w:hAnsi="Times New Roman;Times;serif"/>
                <w:sz w:val="18"/>
              </w:rPr>
              <w:t xml:space="preserve"> Included in purchase commitment and contingent consideration liabilities, net of current portion.</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These Earn-outs represent recurring fair value measurements with significant unobservable inputs, which management considers to be Level 3 measurements under the fair value hierarchy. The final payments may be adjusted depending on the actual amount, above or below the target. The Earn-outs will be revalued and adjusted quarterly until the end of the Earn-out period, and any fair value adjustments will be recorded in the other operating expense (income), net line of the condensed consolidated statement of income (loss).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766" w:type="dxa"/>
        <w:jc w:val="left"/>
        <w:tblInd w:w="0" w:type="dxa"/>
        <w:tblLayout w:type="fixed"/>
        <w:tblCellMar>
          <w:top w:w="0" w:type="dxa"/>
          <w:left w:w="0" w:type="dxa"/>
          <w:bottom w:w="0" w:type="dxa"/>
          <w:right w:w="0" w:type="dxa"/>
        </w:tblCellMar>
      </w:tblPr>
      <w:tblGrid>
        <w:gridCol w:w="6766"/>
      </w:tblGrid>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bookmarkStart w:id="1181" w:name="Tc_TkGMXZKfL0ii7jngSFsK2g_9_7"/>
      <w:bookmarkStart w:id="1182" w:name="Tc_KOxoJDwnSEepDqUuxLEQgA_9_4"/>
      <w:bookmarkStart w:id="1183" w:name="Tc_FUQvMhrXGUGFaDdSDOERDA_9_1"/>
      <w:bookmarkStart w:id="1184" w:name="Tc_7Ch590LXf0Gwp1vrjgUR8g_9_0"/>
      <w:bookmarkStart w:id="1185" w:name="Tc_Ow7h_jBmeEWIht3r_HGbwg_8_8"/>
      <w:bookmarkStart w:id="1186" w:name="Tc_Ec7OHfOsaEq_hu8lWFGstQ_8_2"/>
      <w:bookmarkStart w:id="1187" w:name="Tc_WsOpqO4UpUaG-ccIf-jzgA_8_0"/>
      <w:bookmarkStart w:id="1188" w:name="Tc_tTwosp8bV0Cbyro39qqiKg_7_8"/>
      <w:bookmarkStart w:id="1189" w:name="Tc_Qtc12DslwE-XzwnArMkNkQ_7_5"/>
      <w:bookmarkStart w:id="1190" w:name="Tc_6Xcn3Xlr_U-ysFiJO4IFuQ_7_0"/>
      <w:bookmarkStart w:id="1191" w:name="Tc_w-yUa7bExEmBC-33rPk_Kg_6_8"/>
      <w:bookmarkStart w:id="1192" w:name="Tc_ybaRNj7Y60CNNU3K6hxPjQ_5_7"/>
      <w:bookmarkStart w:id="1193" w:name="Tc_43TBXlo06EWxMgyfilg_rA_5_4"/>
      <w:bookmarkStart w:id="1194" w:name="Tc_XK57hwXBck-3ZD0raBnLrg_5_1"/>
      <w:bookmarkStart w:id="1195" w:name="Tc_HkbkT9BZZUWYoTGfRtD7tw_5_0"/>
      <w:bookmarkStart w:id="1196" w:name="Tc_KrvdviMJoEaWFDEjuNG1tA_4_8"/>
      <w:bookmarkStart w:id="1197" w:name="Tc_JwYbbOyRxUK9wUkgWYTeTw_4_1"/>
      <w:bookmarkStart w:id="1198" w:name="Tc_cCg0_nUZTUW6hpVcwZCmJg_3_8"/>
      <w:bookmarkStart w:id="1199" w:name="Tc_HXOAuMe1q0mwW2QYYbLXWQ_3_4"/>
      <w:bookmarkStart w:id="1200" w:name="Tc_blqAnp8POEe848tf0YSzTQ_3_1"/>
      <w:bookmarkStart w:id="1201" w:name="Tc_LCZZ2R-Makil1rHuo2Bchw_2_8"/>
      <w:bookmarkStart w:id="1202" w:name="Tc_VlPH1EiQBUCJu9423N0M6Q_2_1"/>
      <w:bookmarkStart w:id="1203" w:name="Tc_FnklW_Z6BkeDcdP2qHHLOQ_1_8"/>
      <w:bookmarkStart w:id="1204" w:name="Tc_AZjjH-PXtUOmMbD5duLOYQ_1_1"/>
      <w:bookmarkStart w:id="1205" w:name="Tc_c23zT3lOmUK1FvnKX5vwJA_19_9"/>
      <w:bookmarkStart w:id="1206" w:name="Tc_vMuJZh3ZH0m20QYWuyejCg_18_13"/>
      <w:bookmarkStart w:id="1207" w:name="Tc_op_B9cdG0EyjuHRak5nFMQ_18_9"/>
      <w:bookmarkStart w:id="1208" w:name="Tc_ULKHBxRq1kyc_R4rcIlBhA_17_13"/>
      <w:bookmarkStart w:id="1209" w:name="Tc_W7Ch5rHqE0mrY_dxkHneNA_17_9"/>
      <w:bookmarkStart w:id="1210" w:name="Tc_UX5ssa-rDkCBbYuH-4jDXA_17_6"/>
      <w:bookmarkStart w:id="1211" w:name="Tc_RSXUcqepDESv_-cXxBpUtA_17_2"/>
      <w:bookmarkStart w:id="1212" w:name="Tc_wGmfy69kakaw9NUU7tb0kA_17_0"/>
      <w:bookmarkStart w:id="1213" w:name="Tc_P1B3SW65XkyeKKSBWR5xxQ_15_9"/>
      <w:bookmarkStart w:id="1214" w:name="Tc_F8XrrdghYEmEI9jxaiEXzw_14_13"/>
      <w:bookmarkStart w:id="1215" w:name="Tc_hEiA-m5ASUq3StMSFH0YJQ_14_9"/>
      <w:bookmarkStart w:id="1216" w:name="Tc_Z7bTtC_AjEWeiE8aHE396g_13_13"/>
      <w:bookmarkStart w:id="1217" w:name="Tc_2qcnsWc_TE2LYm_cCAjF4w_13_9"/>
      <w:bookmarkStart w:id="1218" w:name="Tc_Y09-VNs0NkO7NazzjfyJwQ_13_6"/>
      <w:bookmarkStart w:id="1219" w:name="Tc_wZAI11BzEkuXbI33uTDy8A_13_2"/>
      <w:bookmarkStart w:id="1220" w:name="Tc_1Qz9lLSErUGSpQYV_k2lBg_13_0"/>
      <w:bookmarkStart w:id="1221" w:name="Tc_yZiygbiB_USyjI6SFfC2XA_12_9"/>
      <w:bookmarkStart w:id="1222" w:name="Tc_uD8WnTILm06fFLc8h2Wq5Q_12_6"/>
      <w:bookmarkStart w:id="1223" w:name="Tc_44-MIH7oNU-6C7j9eOsGsg_12_2"/>
      <w:bookmarkStart w:id="1224" w:name="Tc_0Y8symANVUysy0lTeY_PTw_12_0"/>
      <w:bookmarkStart w:id="1225" w:name="Tc_x_ctszgvhUugRpmk5Zza-g_11_2"/>
      <w:bookmarkStart w:id="1226" w:name="Tc_OpcLQOx4RkKuUdTO9goQaw_9_9"/>
      <w:bookmarkStart w:id="1227" w:name="Tc_OwFNLxbtf0u2kstS7mUkHA_8_13"/>
      <w:bookmarkStart w:id="1228" w:name="Tc_d_4aewA4ME-dwNiDiG3W1Q_8_9"/>
      <w:bookmarkStart w:id="1229" w:name="Tc_E3NZTL6jwEaX4l1w8_AqkA_7_13"/>
      <w:bookmarkStart w:id="1230" w:name="Tc_3_lS9cv39UOEsH08HkS65g_7_9"/>
      <w:bookmarkStart w:id="1231" w:name="Tc_YlF8la6-yECw8qKcKDQotg_7_6"/>
      <w:bookmarkStart w:id="1232" w:name="Tc_hvgwqhNfJ0O65YxCUIr-Mg_7_2"/>
      <w:bookmarkStart w:id="1233" w:name="Tc_luB_R_Z9hkKFHkurChuI5A_7_0"/>
      <w:bookmarkStart w:id="1234" w:name="Tc_RIvDUK9dBkiK973Vt_DmUQ_5_9"/>
      <w:bookmarkStart w:id="1235" w:name="Tc_BAP8hHcIPUWW2nRJxza3IA_4_13"/>
      <w:bookmarkStart w:id="1236" w:name="Tc_296auq3XW0e9skbmBEAfDQ_4_9"/>
      <w:bookmarkStart w:id="1237" w:name="Tc_NpVWUR21REOLlo4HrtDCXQ_3_13"/>
      <w:bookmarkStart w:id="1238" w:name="Tc_kqdHmcieNUunrcoDAhXmxQ_3_9"/>
      <w:bookmarkStart w:id="1239" w:name="Tc_6AZ1FKuj-UuGkgqlfelhFg_3_6"/>
      <w:bookmarkStart w:id="1240" w:name="Tc_79qAE1OM50aUX6Q-_YGYAA_3_2"/>
      <w:bookmarkStart w:id="1241" w:name="Tc_29DkVdoxWUyKGJ0eGLTJPw_3_0"/>
      <w:bookmarkStart w:id="1242" w:name="Tc_sUiNxcUH0kOKW7a2epnphg_2_9"/>
      <w:bookmarkStart w:id="1243" w:name="Tc_DNPhIoZhtkaj3JCNRgtgBw_2_6"/>
      <w:bookmarkStart w:id="1244" w:name="Tc_PQ_JCZEztUCs_UAOpBcjXg_2_2"/>
      <w:bookmarkStart w:id="1245" w:name="Tc__jvRWR-deEChO5afOUfjYw_2_0"/>
      <w:bookmarkStart w:id="1246" w:name="Tc_mq5wTwAKPUC53dnbUxGzUQ_1_2"/>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r>
        <w:rPr>
          <w:rFonts w:ascii="Times New Roman;Times;serif" w:hAnsi="Times New Roman;Times;serif"/>
          <w:sz w:val="20"/>
        </w:rPr>
        <w:t>During the three months ended March 31, 2026, the Company paid Cash Earn-out of $19,600 for the annual payout period ended November 30, 2025. During the three months ended March 31, 2026, the Company issued 324 shares of its Class A common stock valued at $6,062, for the Stock Earn-out period ended November 30, 2025.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During the three months ended March 31, 2026, the Company recorded fair value adjustments of $(300) and $(5,438) to the Cash Earn-outs and Stock Earn-outs, respectively. During the three months ended March 31, 2025, the Company recorded fair value adjustments of $1,700 and $(16,400) to the Cash Earn-outs and Stock Earn-outs, respectively.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fair values of the Cash Earn-outs and the Stock Earn-outs and unobservable inputs used for the Monte Carlo Simulation valuation are shown in the table below.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842"/>
        <w:gridCol w:w="346"/>
        <w:gridCol w:w="211"/>
        <w:gridCol w:w="676"/>
        <w:gridCol w:w="346"/>
        <w:gridCol w:w="109"/>
        <w:gridCol w:w="1683"/>
        <w:gridCol w:w="109"/>
        <w:gridCol w:w="109"/>
        <w:gridCol w:w="1773"/>
        <w:gridCol w:w="109"/>
        <w:gridCol w:w="109"/>
        <w:gridCol w:w="466"/>
        <w:gridCol w:w="317"/>
      </w:tblGrid>
      <w:tr>
        <w:trPr/>
        <w:tc>
          <w:tcPr>
            <w:tcW w:w="38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439670" cy="175260"/>
                      <wp:effectExtent l="0" t="0" r="0" b="0"/>
                      <wp:wrapNone/>
                      <wp:docPr id="143" name="Frame143"/>
                      <a:graphic xmlns:a="http://schemas.openxmlformats.org/drawingml/2006/main">
                        <a:graphicData uri="http://schemas.microsoft.com/office/word/2010/wordprocessingShape">
                          <wps:wsp>
                            <wps:cNvSpPr txBox="1"/>
                            <wps:spPr>
                              <a:xfrm>
                                <a:off x="0" y="0"/>
                                <a:ext cx="2439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19710" cy="175260"/>
                      <wp:effectExtent l="0" t="0" r="0" b="0"/>
                      <wp:wrapNone/>
                      <wp:docPr id="144" name="Frame1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33985" cy="175260"/>
                      <wp:effectExtent l="0" t="0" r="0" b="0"/>
                      <wp:wrapNone/>
                      <wp:docPr id="145" name="Frame1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429260" cy="175260"/>
                      <wp:effectExtent l="0" t="0" r="0" b="0"/>
                      <wp:wrapNone/>
                      <wp:docPr id="146" name="Frame14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9710" cy="175260"/>
                      <wp:effectExtent l="0" t="0" r="0" b="0"/>
                      <wp:wrapNone/>
                      <wp:docPr id="147" name="Frame1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9215" cy="175260"/>
                      <wp:effectExtent l="0" t="0" r="0" b="0"/>
                      <wp:wrapNone/>
                      <wp:docPr id="148" name="Frame1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068705" cy="175260"/>
                      <wp:effectExtent l="0" t="0" r="0" b="0"/>
                      <wp:wrapNone/>
                      <wp:docPr id="149" name="Frame149"/>
                      <a:graphic xmlns:a="http://schemas.openxmlformats.org/drawingml/2006/main">
                        <a:graphicData uri="http://schemas.microsoft.com/office/word/2010/wordprocessingShape">
                          <wps:wsp>
                            <wps:cNvSpPr txBox="1"/>
                            <wps:spPr>
                              <a:xfrm>
                                <a:off x="0" y="0"/>
                                <a:ext cx="10687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9215" cy="175260"/>
                      <wp:effectExtent l="0" t="0" r="0" b="0"/>
                      <wp:wrapNone/>
                      <wp:docPr id="150" name="Frame1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9215" cy="175260"/>
                      <wp:effectExtent l="0" t="0" r="0" b="0"/>
                      <wp:wrapNone/>
                      <wp:docPr id="151" name="Frame1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125855" cy="175260"/>
                      <wp:effectExtent l="0" t="0" r="0" b="0"/>
                      <wp:wrapNone/>
                      <wp:docPr id="152" name="Frame152"/>
                      <a:graphic xmlns:a="http://schemas.openxmlformats.org/drawingml/2006/main">
                        <a:graphicData uri="http://schemas.microsoft.com/office/word/2010/wordprocessingShape">
                          <wps:wsp>
                            <wps:cNvSpPr txBox="1"/>
                            <wps:spPr>
                              <a:xfrm>
                                <a:off x="0" y="0"/>
                                <a:ext cx="1125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9215" cy="175260"/>
                      <wp:effectExtent l="0" t="0" r="0" b="0"/>
                      <wp:wrapNone/>
                      <wp:docPr id="153" name="Frame1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9215" cy="175260"/>
                      <wp:effectExtent l="0" t="0" r="0" b="0"/>
                      <wp:wrapNone/>
                      <wp:docPr id="154" name="Frame1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95910" cy="175260"/>
                      <wp:effectExtent l="0" t="0" r="0" b="0"/>
                      <wp:wrapNone/>
                      <wp:docPr id="155" name="Frame155"/>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01295" cy="175260"/>
                      <wp:effectExtent l="0" t="0" r="0" b="0"/>
                      <wp:wrapNone/>
                      <wp:docPr id="156" name="Frame156"/>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4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017" w:type="dxa"/>
            <w:gridSpan w:val="1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2026 (unaudited)</w:t>
            </w:r>
          </w:p>
        </w:tc>
      </w:tr>
      <w:tr>
        <w:trPr/>
        <w:tc>
          <w:tcPr>
            <w:tcW w:w="3842"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Liabilities</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1"/>
              <w:ind w:left="0" w:right="0" w:hanging="0"/>
              <w:jc w:val="left"/>
              <w:rPr/>
            </w:pPr>
            <w:r>
              <w:rPr/>
              <w:t>  ​ ​ ​</w:t>
            </w:r>
          </w:p>
        </w:tc>
        <w:tc>
          <w:tcPr>
            <w:tcW w:w="109" w:type="dxa"/>
            <w:tcBorders/>
            <w:vAlign w:val="center"/>
          </w:tcPr>
          <w:p>
            <w:pPr>
              <w:pStyle w:val="TableContents"/>
              <w:bidi w:val="0"/>
              <w:spacing w:before="0" w:after="1"/>
              <w:ind w:left="0" w:right="0" w:hanging="0"/>
              <w:jc w:val="left"/>
              <w:rPr/>
            </w:pPr>
            <w:r>
              <w:rPr/>
              <w:t>​</w:t>
            </w:r>
          </w:p>
        </w:tc>
        <w:tc>
          <w:tcPr>
            <w:tcW w:w="168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Valuation Technique</w:t>
            </w:r>
          </w:p>
        </w:tc>
        <w:tc>
          <w:tcPr>
            <w:tcW w:w="109"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277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Unobservable Inputs</w:t>
            </w:r>
          </w:p>
        </w:tc>
      </w:tr>
      <w:tr>
        <w:trPr/>
        <w:tc>
          <w:tcPr>
            <w:tcW w:w="38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ecosio Contingent Consideration - Cash Earn-outs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66,700</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68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Monte Carlo Simulation</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77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volatility</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w:t>
            </w:r>
          </w:p>
        </w:tc>
        <w:tc>
          <w:tcPr>
            <w:tcW w:w="3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4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8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77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discount rate</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w:t>
            </w:r>
          </w:p>
        </w:tc>
        <w:tc>
          <w:tcPr>
            <w:tcW w:w="3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4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683"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77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Term (in years)</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17" w:type="dxa"/>
            <w:tcBorders/>
            <w:shd w:fill="CCEEFF" w:val="clear"/>
            <w:vAlign w:val="center"/>
          </w:tcPr>
          <w:p>
            <w:pPr>
              <w:pStyle w:val="TableContents"/>
              <w:bidi w:val="0"/>
              <w:spacing w:before="0" w:after="1"/>
              <w:ind w:left="0" w:right="0" w:hanging="0"/>
              <w:jc w:val="left"/>
              <w:rPr/>
            </w:pPr>
            <w:r>
              <w:rPr/>
              <w:t>​</w:t>
            </w:r>
          </w:p>
        </w:tc>
      </w:tr>
      <w:tr>
        <w:trPr/>
        <w:tc>
          <w:tcPr>
            <w:tcW w:w="384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8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77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left"/>
              <w:rPr/>
            </w:pPr>
            <w:r>
              <w:rPr/>
              <w:t>​</w:t>
            </w:r>
          </w:p>
        </w:tc>
        <w:tc>
          <w:tcPr>
            <w:tcW w:w="317" w:type="dxa"/>
            <w:tcBorders/>
            <w:vAlign w:val="center"/>
          </w:tcPr>
          <w:p>
            <w:pPr>
              <w:pStyle w:val="TableContents"/>
              <w:bidi w:val="0"/>
              <w:spacing w:before="0" w:after="1"/>
              <w:ind w:left="0" w:right="0" w:hanging="0"/>
              <w:jc w:val="left"/>
              <w:rPr/>
            </w:pPr>
            <w:r>
              <w:rPr/>
              <w:t>​</w:t>
            </w:r>
          </w:p>
        </w:tc>
      </w:tr>
      <w:tr>
        <w:trPr/>
        <w:tc>
          <w:tcPr>
            <w:tcW w:w="38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ecosio Contingent Consideration - Stock Earn-outs</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7,400</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68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Monte Carlo Simulation</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77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volatility</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w:t>
            </w:r>
          </w:p>
        </w:tc>
        <w:tc>
          <w:tcPr>
            <w:tcW w:w="3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4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8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77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discount rate</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w:t>
            </w:r>
          </w:p>
        </w:tc>
        <w:tc>
          <w:tcPr>
            <w:tcW w:w="3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4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683"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77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Term (in years)</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17" w:type="dxa"/>
            <w:tcBorders/>
            <w:shd w:fill="CCEEFF" w:val="clear"/>
            <w:vAlign w:val="center"/>
          </w:tcPr>
          <w:p>
            <w:pPr>
              <w:pStyle w:val="TableContents"/>
              <w:bidi w:val="0"/>
              <w:spacing w:before="0" w:after="1"/>
              <w:ind w:left="0" w:right="0" w:hanging="0"/>
              <w:jc w:val="left"/>
              <w:rPr/>
            </w:pPr>
            <w:r>
              <w:rPr/>
              <w:t>​</w:t>
            </w:r>
          </w:p>
        </w:tc>
      </w:tr>
      <w:tr>
        <w:trPr/>
        <w:tc>
          <w:tcPr>
            <w:tcW w:w="384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8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77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left"/>
              <w:rPr/>
            </w:pPr>
            <w:r>
              <w:rPr/>
              <w:t>​</w:t>
            </w:r>
          </w:p>
        </w:tc>
        <w:tc>
          <w:tcPr>
            <w:tcW w:w="317" w:type="dxa"/>
            <w:tcBorders/>
            <w:vAlign w:val="center"/>
          </w:tcPr>
          <w:p>
            <w:pPr>
              <w:pStyle w:val="TableContents"/>
              <w:bidi w:val="0"/>
              <w:spacing w:before="0" w:after="1"/>
              <w:ind w:left="0" w:right="0" w:hanging="0"/>
              <w:jc w:val="left"/>
              <w:rPr/>
            </w:pPr>
            <w:r>
              <w:rPr/>
              <w:t>​</w:t>
            </w:r>
          </w:p>
        </w:tc>
      </w:tr>
      <w:tr>
        <w:trPr/>
        <w:tc>
          <w:tcPr>
            <w:tcW w:w="384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017" w:type="dxa"/>
            <w:gridSpan w:val="1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842"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Liabilities</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1"/>
              <w:ind w:left="0" w:right="0" w:hanging="0"/>
              <w:jc w:val="left"/>
              <w:rPr/>
            </w:pPr>
            <w:r>
              <w:rPr/>
              <w:t>  ​ ​ ​</w:t>
            </w:r>
          </w:p>
        </w:tc>
        <w:tc>
          <w:tcPr>
            <w:tcW w:w="109" w:type="dxa"/>
            <w:tcBorders/>
            <w:vAlign w:val="center"/>
          </w:tcPr>
          <w:p>
            <w:pPr>
              <w:pStyle w:val="TableContents"/>
              <w:bidi w:val="0"/>
              <w:spacing w:before="0" w:after="1"/>
              <w:ind w:left="0" w:right="0" w:hanging="0"/>
              <w:jc w:val="left"/>
              <w:rPr/>
            </w:pPr>
            <w:r>
              <w:rPr/>
              <w:t>​</w:t>
            </w:r>
          </w:p>
        </w:tc>
        <w:tc>
          <w:tcPr>
            <w:tcW w:w="168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Valuation Technique</w:t>
            </w:r>
          </w:p>
        </w:tc>
        <w:tc>
          <w:tcPr>
            <w:tcW w:w="109"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277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Unobservable Inputs</w:t>
            </w:r>
          </w:p>
        </w:tc>
      </w:tr>
      <w:tr>
        <w:trPr/>
        <w:tc>
          <w:tcPr>
            <w:tcW w:w="38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ecosio Contingent Consideration - Cash Earn-outs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86,600</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68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Monte Carlo Simulation</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77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volatility</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w:t>
            </w:r>
          </w:p>
        </w:tc>
        <w:tc>
          <w:tcPr>
            <w:tcW w:w="3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4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8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77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discount rate</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4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683"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77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Term (in years)</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17" w:type="dxa"/>
            <w:tcBorders/>
            <w:shd w:fill="CCEEFF" w:val="clear"/>
            <w:vAlign w:val="center"/>
          </w:tcPr>
          <w:p>
            <w:pPr>
              <w:pStyle w:val="TableContents"/>
              <w:bidi w:val="0"/>
              <w:spacing w:before="0" w:after="1"/>
              <w:ind w:left="0" w:right="0" w:hanging="0"/>
              <w:jc w:val="left"/>
              <w:rPr/>
            </w:pPr>
            <w:r>
              <w:rPr/>
              <w:t>​</w:t>
            </w:r>
          </w:p>
        </w:tc>
      </w:tr>
      <w:tr>
        <w:trPr/>
        <w:tc>
          <w:tcPr>
            <w:tcW w:w="384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8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77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left"/>
              <w:rPr/>
            </w:pPr>
            <w:r>
              <w:rPr/>
              <w:t>​</w:t>
            </w:r>
          </w:p>
        </w:tc>
        <w:tc>
          <w:tcPr>
            <w:tcW w:w="317" w:type="dxa"/>
            <w:tcBorders/>
            <w:vAlign w:val="center"/>
          </w:tcPr>
          <w:p>
            <w:pPr>
              <w:pStyle w:val="TableContents"/>
              <w:bidi w:val="0"/>
              <w:spacing w:before="0" w:after="1"/>
              <w:ind w:left="0" w:right="0" w:hanging="0"/>
              <w:jc w:val="left"/>
              <w:rPr/>
            </w:pPr>
            <w:r>
              <w:rPr/>
              <w:t>​</w:t>
            </w:r>
          </w:p>
        </w:tc>
      </w:tr>
      <w:tr>
        <w:trPr/>
        <w:tc>
          <w:tcPr>
            <w:tcW w:w="38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ecosio Contingent Consideration - Stock Earn-outs</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18,900</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68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Monte Carlo Simulation</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77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volatility</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w:t>
            </w:r>
          </w:p>
        </w:tc>
        <w:tc>
          <w:tcPr>
            <w:tcW w:w="3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4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8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77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discount rate</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4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683"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77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Term (in years)</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17"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Changes in the fair value of the Company’s Level 3 liabilities during the three months ended March 31, 2026 were as follows: </w:t>
      </w:r>
    </w:p>
    <w:p>
      <w:pPr>
        <w:pStyle w:val="TextBody"/>
        <w:bidi w:val="0"/>
        <w:spacing w:before="0" w:after="0"/>
        <w:ind w:left="0" w:right="0" w:hanging="0"/>
        <w:jc w:val="left"/>
        <w:rPr/>
      </w:pPr>
      <w:r>
        <w:rPr/>
        <w:t>​</w:t>
      </w:r>
    </w:p>
    <w:tbl>
      <w:tblPr>
        <w:tblW w:w="6086" w:type="dxa"/>
        <w:jc w:val="left"/>
        <w:tblInd w:w="0" w:type="dxa"/>
        <w:tblLayout w:type="fixed"/>
        <w:tblCellMar>
          <w:top w:w="0" w:type="dxa"/>
          <w:left w:w="0" w:type="dxa"/>
          <w:bottom w:w="0" w:type="dxa"/>
          <w:right w:w="0" w:type="dxa"/>
        </w:tblCellMar>
      </w:tblPr>
      <w:tblGrid>
        <w:gridCol w:w="2161"/>
        <w:gridCol w:w="257"/>
        <w:gridCol w:w="973"/>
        <w:gridCol w:w="109"/>
        <w:gridCol w:w="298"/>
        <w:gridCol w:w="977"/>
        <w:gridCol w:w="109"/>
        <w:gridCol w:w="211"/>
        <w:gridCol w:w="991"/>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372235" cy="175260"/>
                      <wp:effectExtent l="0" t="0" r="0" b="0"/>
                      <wp:wrapNone/>
                      <wp:docPr id="157" name="Frame157"/>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63195" cy="175260"/>
                      <wp:effectExtent l="0" t="0" r="0" b="0"/>
                      <wp:wrapNone/>
                      <wp:docPr id="158" name="Frame158"/>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17855" cy="175260"/>
                      <wp:effectExtent l="0" t="0" r="0" b="0"/>
                      <wp:wrapNone/>
                      <wp:docPr id="159" name="Frame159"/>
                      <a:graphic xmlns:a="http://schemas.openxmlformats.org/drawingml/2006/main">
                        <a:graphicData uri="http://schemas.microsoft.com/office/word/2010/wordprocessingShape">
                          <wps:wsp>
                            <wps:cNvSpPr txBox="1"/>
                            <wps:spPr>
                              <a:xfrm>
                                <a:off x="0" y="0"/>
                                <a:ext cx="617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9215" cy="175260"/>
                      <wp:effectExtent l="0" t="0" r="0" b="0"/>
                      <wp:wrapNone/>
                      <wp:docPr id="160" name="Frame1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89230" cy="175260"/>
                      <wp:effectExtent l="0" t="0" r="0" b="0"/>
                      <wp:wrapNone/>
                      <wp:docPr id="161" name="Frame161"/>
                      <a:graphic xmlns:a="http://schemas.openxmlformats.org/drawingml/2006/main">
                        <a:graphicData uri="http://schemas.microsoft.com/office/word/2010/wordprocessingShape">
                          <wps:wsp>
                            <wps:cNvSpPr txBox="1"/>
                            <wps:spPr>
                              <a:xfrm>
                                <a:off x="0" y="0"/>
                                <a:ext cx="189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20395" cy="175260"/>
                      <wp:effectExtent l="0" t="0" r="0" b="0"/>
                      <wp:wrapNone/>
                      <wp:docPr id="162" name="Frame162"/>
                      <a:graphic xmlns:a="http://schemas.openxmlformats.org/drawingml/2006/main">
                        <a:graphicData uri="http://schemas.microsoft.com/office/word/2010/wordprocessingShape">
                          <wps:wsp>
                            <wps:cNvSpPr txBox="1"/>
                            <wps:spPr>
                              <a:xfrm>
                                <a:off x="0" y="0"/>
                                <a:ext cx="620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9215" cy="175260"/>
                      <wp:effectExtent l="0" t="0" r="0" b="0"/>
                      <wp:wrapNone/>
                      <wp:docPr id="163" name="Frame1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33985" cy="175260"/>
                      <wp:effectExtent l="0" t="0" r="0" b="0"/>
                      <wp:wrapNone/>
                      <wp:docPr id="164" name="Frame1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29285" cy="175260"/>
                      <wp:effectExtent l="0" t="0" r="0" b="0"/>
                      <wp:wrapNone/>
                      <wp:docPr id="165" name="Frame165"/>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1"/>
              <w:ind w:left="0" w:right="0" w:hanging="0"/>
              <w:jc w:val="center"/>
              <w:rPr/>
            </w:pPr>
            <w:r>
              <w:rPr/>
              <w:t>​</w:t>
            </w:r>
          </w:p>
        </w:tc>
        <w:tc>
          <w:tcPr>
            <w:tcW w:w="2614"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ecosio </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Kintsugi</w:t>
            </w:r>
          </w:p>
        </w:tc>
      </w:tr>
      <w:tr>
        <w:trPr/>
        <w:tc>
          <w:tcPr>
            <w:tcW w:w="2161" w:type="dxa"/>
            <w:tcBorders/>
            <w:vAlign w:val="center"/>
          </w:tcPr>
          <w:p>
            <w:pPr>
              <w:pStyle w:val="TableContents"/>
              <w:bidi w:val="0"/>
              <w:spacing w:before="0" w:after="1"/>
              <w:ind w:left="0" w:right="0" w:hanging="0"/>
              <w:jc w:val="center"/>
              <w:rPr/>
            </w:pPr>
            <w:r>
              <w:rPr/>
              <w:t>​</w:t>
            </w:r>
          </w:p>
        </w:tc>
        <w:tc>
          <w:tcPr>
            <w:tcW w:w="261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Contingent Consideration</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Long-Term</w:t>
            </w:r>
          </w:p>
        </w:tc>
      </w:tr>
      <w:tr>
        <w:trPr/>
        <w:tc>
          <w:tcPr>
            <w:tcW w:w="2161" w:type="dxa"/>
            <w:tcBorders/>
            <w:vAlign w:val="center"/>
          </w:tcPr>
          <w:p>
            <w:pPr>
              <w:pStyle w:val="TableContents"/>
              <w:bidi w:val="0"/>
              <w:spacing w:before="0" w:after="1"/>
              <w:ind w:left="0" w:right="0" w:hanging="0"/>
              <w:jc w:val="center"/>
              <w:rPr/>
            </w:pPr>
            <w:r>
              <w:rPr/>
              <w:t>​</w:t>
            </w:r>
          </w:p>
        </w:tc>
        <w:tc>
          <w:tcPr>
            <w:tcW w:w="12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Cash Earn-outs</w:t>
            </w:r>
          </w:p>
        </w:tc>
        <w:tc>
          <w:tcPr>
            <w:tcW w:w="109" w:type="dxa"/>
            <w:tcBorders/>
            <w:vAlign w:val="center"/>
          </w:tcPr>
          <w:p>
            <w:pPr>
              <w:pStyle w:val="TableContents"/>
              <w:bidi w:val="0"/>
              <w:spacing w:before="0" w:after="1"/>
              <w:ind w:left="0" w:right="0" w:hanging="0"/>
              <w:jc w:val="left"/>
              <w:rPr/>
            </w:pPr>
            <w:r>
              <w:rPr/>
              <w:t>​</w:t>
            </w:r>
          </w:p>
        </w:tc>
        <w:tc>
          <w:tcPr>
            <w:tcW w:w="12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 Earn-outs</w:t>
            </w:r>
          </w:p>
        </w:tc>
        <w:tc>
          <w:tcPr>
            <w:tcW w:w="109"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Investment</w:t>
            </w:r>
          </w:p>
        </w:tc>
      </w:tr>
      <w:tr>
        <w:trPr/>
        <w:tc>
          <w:tcPr>
            <w:tcW w:w="6086" w:type="dxa"/>
            <w:gridSpan w:val="9"/>
            <w:tcBorders/>
            <w:vAlign w:val="center"/>
          </w:tcPr>
          <w:p>
            <w:pPr>
              <w:pStyle w:val="TableContents"/>
              <w:bidi w:val="0"/>
              <w:spacing w:before="0" w:after="283"/>
              <w:ind w:left="0" w:right="0" w:hanging="0"/>
              <w:jc w:val="left"/>
              <w:rPr>
                <w:sz w:val="4"/>
                <w:szCs w:val="4"/>
              </w:rPr>
            </w:pPr>
            <w:r>
              <w:rPr>
                <w:sz w:val="4"/>
                <w:szCs w:val="4"/>
              </w:rPr>
            </w:r>
          </w:p>
        </w:tc>
      </w:tr>
      <w:tr>
        <w:trPr/>
        <w:tc>
          <w:tcPr>
            <w:tcW w:w="2161" w:type="dxa"/>
            <w:tcBorders/>
            <w:vAlign w:val="center"/>
          </w:tcPr>
          <w:p>
            <w:pPr>
              <w:pStyle w:val="TableContents"/>
              <w:bidi w:val="0"/>
              <w:spacing w:before="0" w:after="1"/>
              <w:ind w:left="0" w:right="0" w:hanging="0"/>
              <w:jc w:val="left"/>
              <w:rPr/>
            </w:pPr>
            <w:r>
              <w:rPr/>
              <w:t>​</w:t>
            </w:r>
          </w:p>
        </w:tc>
        <w:tc>
          <w:tcPr>
            <w:tcW w:w="2614"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21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January 1, 2026</w:t>
            </w:r>
          </w:p>
        </w:tc>
        <w:tc>
          <w:tcPr>
            <w:tcW w:w="2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86,600</w:t>
            </w:r>
          </w:p>
        </w:tc>
        <w:tc>
          <w:tcPr>
            <w:tcW w:w="109" w:type="dxa"/>
            <w:tcBorders/>
            <w:shd w:fill="CCEEFF" w:val="clear"/>
            <w:vAlign w:val="center"/>
          </w:tcPr>
          <w:p>
            <w:pPr>
              <w:pStyle w:val="TableContents"/>
              <w:bidi w:val="0"/>
              <w:spacing w:before="0" w:after="1"/>
              <w:ind w:left="0" w:right="0" w:hanging="0"/>
              <w:jc w:val="center"/>
              <w:rPr/>
            </w:pPr>
            <w:r>
              <w:rPr/>
              <w:t>​</w:t>
            </w:r>
          </w:p>
        </w:tc>
        <w:tc>
          <w:tcPr>
            <w:tcW w:w="2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18,900</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15,000</w:t>
            </w:r>
          </w:p>
        </w:tc>
      </w:tr>
      <w:tr>
        <w:trPr/>
        <w:tc>
          <w:tcPr>
            <w:tcW w:w="216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adjustments</w:t>
            </w:r>
          </w:p>
        </w:tc>
        <w:tc>
          <w:tcPr>
            <w:tcW w:w="257" w:type="dxa"/>
            <w:tcBorders/>
            <w:vAlign w:val="center"/>
          </w:tcPr>
          <w:p>
            <w:pPr>
              <w:pStyle w:val="TableContents"/>
              <w:bidi w:val="0"/>
              <w:spacing w:before="0" w:after="1"/>
              <w:ind w:left="0" w:right="0" w:hanging="0"/>
              <w:jc w:val="center"/>
              <w:rPr/>
            </w:pPr>
            <w:r>
              <w:rPr/>
              <w:t>​</w:t>
            </w:r>
          </w:p>
        </w:tc>
        <w:tc>
          <w:tcPr>
            <w:tcW w:w="9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w:t>
            </w:r>
          </w:p>
        </w:tc>
        <w:tc>
          <w:tcPr>
            <w:tcW w:w="109" w:type="dxa"/>
            <w:tcBorders/>
            <w:vAlign w:val="center"/>
          </w:tcPr>
          <w:p>
            <w:pPr>
              <w:pStyle w:val="TableContents"/>
              <w:bidi w:val="0"/>
              <w:spacing w:before="0" w:after="1"/>
              <w:ind w:left="0" w:right="0" w:hanging="0"/>
              <w:jc w:val="center"/>
              <w:rPr/>
            </w:pPr>
            <w:r>
              <w:rPr/>
              <w:t>​</w:t>
            </w:r>
          </w:p>
        </w:tc>
        <w:tc>
          <w:tcPr>
            <w:tcW w:w="298" w:type="dxa"/>
            <w:tcBorders/>
            <w:vAlign w:val="center"/>
          </w:tcPr>
          <w:p>
            <w:pPr>
              <w:pStyle w:val="TableContents"/>
              <w:bidi w:val="0"/>
              <w:spacing w:before="0" w:after="1"/>
              <w:ind w:left="0" w:right="0" w:hanging="0"/>
              <w:jc w:val="center"/>
              <w:rPr/>
            </w:pPr>
            <w:r>
              <w:rPr/>
              <w:t>​</w:t>
            </w:r>
          </w:p>
        </w:tc>
        <w:tc>
          <w:tcPr>
            <w:tcW w:w="9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(5,438)</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right"/>
              <w:rPr/>
            </w:pPr>
            <w:r>
              <w:rPr/>
              <w:t>—</w:t>
            </w:r>
          </w:p>
        </w:tc>
      </w:tr>
      <w:tr>
        <w:trPr/>
        <w:tc>
          <w:tcPr>
            <w:tcW w:w="21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Payments - Cash</w:t>
            </w:r>
          </w:p>
        </w:tc>
        <w:tc>
          <w:tcPr>
            <w:tcW w:w="257" w:type="dxa"/>
            <w:tcBorders/>
            <w:shd w:fill="CCEEFF" w:val="clear"/>
            <w:vAlign w:val="center"/>
          </w:tcPr>
          <w:p>
            <w:pPr>
              <w:pStyle w:val="TableContents"/>
              <w:bidi w:val="0"/>
              <w:spacing w:before="0" w:after="1"/>
              <w:ind w:left="0" w:right="0" w:hanging="0"/>
              <w:jc w:val="center"/>
              <w:rPr/>
            </w:pPr>
            <w:r>
              <w:rPr/>
              <w:t>​</w:t>
            </w:r>
          </w:p>
        </w:tc>
        <w:tc>
          <w:tcPr>
            <w:tcW w:w="9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(19,600)</w:t>
            </w:r>
          </w:p>
        </w:tc>
        <w:tc>
          <w:tcPr>
            <w:tcW w:w="109" w:type="dxa"/>
            <w:tcBorders/>
            <w:shd w:fill="CCEEFF" w:val="clear"/>
            <w:vAlign w:val="center"/>
          </w:tcPr>
          <w:p>
            <w:pPr>
              <w:pStyle w:val="TableContents"/>
              <w:bidi w:val="0"/>
              <w:spacing w:before="0" w:after="1"/>
              <w:ind w:left="0" w:right="0" w:hanging="0"/>
              <w:jc w:val="center"/>
              <w:rPr/>
            </w:pPr>
            <w:r>
              <w:rPr/>
              <w:t>​</w:t>
            </w:r>
          </w:p>
        </w:tc>
        <w:tc>
          <w:tcPr>
            <w:tcW w:w="298" w:type="dxa"/>
            <w:tcBorders/>
            <w:shd w:fill="CCEEFF" w:val="clear"/>
            <w:vAlign w:val="center"/>
          </w:tcPr>
          <w:p>
            <w:pPr>
              <w:pStyle w:val="TableContents"/>
              <w:bidi w:val="0"/>
              <w:spacing w:before="0" w:after="1"/>
              <w:ind w:left="0" w:right="0" w:hanging="0"/>
              <w:jc w:val="center"/>
              <w:rPr/>
            </w:pPr>
            <w:r>
              <w:rPr/>
              <w:t>​</w:t>
            </w:r>
          </w:p>
        </w:tc>
        <w:tc>
          <w:tcPr>
            <w:tcW w:w="97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991" w:type="dxa"/>
            <w:tcBorders/>
            <w:shd w:fill="CCEEFF" w:val="clear"/>
            <w:vAlign w:val="center"/>
          </w:tcPr>
          <w:p>
            <w:pPr>
              <w:pStyle w:val="TableContents"/>
              <w:bidi w:val="0"/>
              <w:spacing w:before="0" w:after="1"/>
              <w:ind w:left="0" w:right="0" w:hanging="0"/>
              <w:jc w:val="right"/>
              <w:rPr/>
            </w:pPr>
            <w:r>
              <w:rPr/>
              <w:t>—</w:t>
            </w:r>
          </w:p>
        </w:tc>
      </w:tr>
      <w:tr>
        <w:trPr/>
        <w:tc>
          <w:tcPr>
            <w:tcW w:w="21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Payments - Stock</w:t>
            </w:r>
          </w:p>
        </w:tc>
        <w:tc>
          <w:tcPr>
            <w:tcW w:w="257"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97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center"/>
              <w:rPr/>
            </w:pPr>
            <w:r>
              <w:rPr/>
              <w:t>​</w:t>
            </w:r>
          </w:p>
        </w:tc>
        <w:tc>
          <w:tcPr>
            <w:tcW w:w="298"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9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(6,062)</w:t>
            </w:r>
          </w:p>
        </w:tc>
        <w:tc>
          <w:tcPr>
            <w:tcW w:w="109"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1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March 31, 2026</w:t>
            </w:r>
          </w:p>
        </w:tc>
        <w:tc>
          <w:tcPr>
            <w:tcW w:w="25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66,700</w:t>
            </w:r>
          </w:p>
        </w:tc>
        <w:tc>
          <w:tcPr>
            <w:tcW w:w="109" w:type="dxa"/>
            <w:tcBorders/>
            <w:shd w:fill="CCEEFF" w:val="clear"/>
            <w:vAlign w:val="center"/>
          </w:tcPr>
          <w:p>
            <w:pPr>
              <w:pStyle w:val="TableContents"/>
              <w:bidi w:val="0"/>
              <w:spacing w:before="0" w:after="1"/>
              <w:ind w:left="0" w:right="0" w:hanging="0"/>
              <w:jc w:val="center"/>
              <w:rPr/>
            </w:pPr>
            <w:r>
              <w:rPr/>
              <w:t>​</w:t>
            </w:r>
          </w:p>
        </w:tc>
        <w:tc>
          <w:tcPr>
            <w:tcW w:w="2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7,400</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bottom w:val="single" w:sz="2"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15,000</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766" w:type="dxa"/>
        <w:jc w:val="left"/>
        <w:tblInd w:w="0" w:type="dxa"/>
        <w:tblLayout w:type="fixed"/>
        <w:tblCellMar>
          <w:top w:w="0" w:type="dxa"/>
          <w:left w:w="0" w:type="dxa"/>
          <w:bottom w:w="0" w:type="dxa"/>
          <w:right w:w="0" w:type="dxa"/>
        </w:tblCellMar>
      </w:tblPr>
      <w:tblGrid>
        <w:gridCol w:w="6766"/>
      </w:tblGrid>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 xml:space="preserve">Long-Term Investment </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April 2025, the Company entered into a Preferred Stock Purchase Agreement (the “Purchase Agreement”) with Kintsugi AI, Inc. (“Kintsugi”), a San Francisco-based, AI startup focused on automating sales tax compliance for small and mid-size businesses (the “Kintsugi Investment”).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Pursuant to the Purchase Agreement, the Company purchased 1,568 preferred shares (the “Preferred Stock”) for aggregate consideration of approximately $15,000 (the “Purchase Price”), representing approximately 10% of the fully diluted shares outstanding of Kintsugi on an “as converted” basis, and received a warrant to purchase 320 shares of Kintsugi’s Class A common stock at a price of $0.01 per share (the “Warrant”). The fair value of the Warrant was determined to be nil and therefore the Company allocated the full Purchase Price to the value of the Preferred Stock.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classified the Preferred Stock as an equity security under ASC 321, Investments – Equity Securities. As Kintsugi is a privately held company without a readily determinable fair value, the Preferred Stock qualifies for the measurement alternative under ASC 321 and is measured at cost, less impairment, subject to upward and downward adjustments resulting from observable price changes for identical or similar investments of the same issuer. These adjustments require quantitative assessments of the fair value, which may require the use of unobservable inputs, which management considers to be Level 3 measurements under the fair value hierarchy. The Company performs a qualitative assessment each reporting period to identify indicators of impairment. No observable price change or impairment adjustments have been recorded for either the three months ended March 31, 2026 or 2025. The $15,000 carrying value of the Kintsugi Investment is presented in the long-term investment line in the condensed consolidated balance sheets.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Assets and Liabilities for Which Fair Value is Only Disclosed</w:t>
      </w:r>
    </w:p>
    <w:p>
      <w:pPr>
        <w:pStyle w:val="TextBody"/>
        <w:bidi w:val="0"/>
        <w:spacing w:before="0" w:after="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carrying amounts of cash and cash equivalents and the carrying amount of funds held for customers were the same as their respective fair values and are considered Level 1 measurements.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carrying amount of the Company’s bank debt approximates fair value as the variable rates on the debt approximate those commercially available in the market and is considered a Level 3 measurement.</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 xml:space="preserve">Non-recurring Fair Value Measurements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Brinta acquisition on March 2, 2026, and the ecosio acquisition on August 30, 2024, were accounted for as business combinations and the total purchase price for each acquisition was allocated to the net assets acquired and liabilities assumed based on their estimated fair values. </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 xml:space="preserve">Derivative Instruments </w:t>
      </w:r>
    </w:p>
    <w:p>
      <w:pPr>
        <w:pStyle w:val="TextBody"/>
        <w:bidi w:val="0"/>
        <w:spacing w:lineRule="atLeast" w:line="229" w:before="0" w:after="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may periodically enter into derivative contracts to reduce its exposure to foreign currency exchange rates. Historically, the Company has not designated derivative contracts as hedges. Such derivative contracts are typically designed to manage specific risks according to the Company’s strategies, which may change from time to time.</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Convertible Senior Notes</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March 31, 2026 and December 31, 2025, the fair value of the Notes (as defined in Note 8) was $299,595 and $327,043, respectively. The fair value was determined based on the quoted price of the Notes in an over-the-counter market on the last trading day of the reporting period and has been classified as Level 2 in the fair value hierarchy. For further information on the Notes, refer to Note 8, “Debt”.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766" w:type="dxa"/>
        <w:jc w:val="left"/>
        <w:tblInd w:w="0" w:type="dxa"/>
        <w:tblLayout w:type="fixed"/>
        <w:tblCellMar>
          <w:top w:w="0" w:type="dxa"/>
          <w:left w:w="0" w:type="dxa"/>
          <w:bottom w:w="0" w:type="dxa"/>
          <w:right w:w="0" w:type="dxa"/>
        </w:tblCellMar>
      </w:tblPr>
      <w:tblGrid>
        <w:gridCol w:w="6766"/>
      </w:tblGrid>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1247" w:name="Tc_0GEu8GWQIE-EdITqGvrftQ_8_5"/>
      <w:bookmarkStart w:id="1248" w:name="Tc_5X90lfM6W0OjPOr77gQh_A_8_2"/>
      <w:bookmarkStart w:id="1249" w:name="Tc_mD5-E8Gdz0-PaJ-qWdvfJQ_8_0"/>
      <w:bookmarkStart w:id="1250" w:name="Tc_FVvEHFwdpUGV08RI41Wyng_7_0"/>
      <w:bookmarkStart w:id="1251" w:name="Tc_b5jzErCHfEeTsN4zNzD21w_6_0"/>
      <w:bookmarkStart w:id="1252" w:name="Tc_pp-nrlSkR0uP96eDLO2rYA_5_0"/>
      <w:bookmarkStart w:id="1253" w:name="Tc_Q_31zhxW3EOdddnALZtooQ_4_5"/>
      <w:bookmarkStart w:id="1254" w:name="Tc_l53odb7sbEGIFQxqz-9EgA_4_2"/>
      <w:bookmarkStart w:id="1255" w:name="Tc_RWhXU0yO_UyuhgU85C67rg_4_0"/>
      <w:bookmarkStart w:id="1256" w:name="Tc_r0xtxHG39EqGK_WvuLbP3g_3_2"/>
      <w:bookmarkStart w:id="1257" w:name="Tc_ttfyX2xjEEiyJOb_mMIuMg_2_5"/>
      <w:bookmarkStart w:id="1258" w:name="Tc_MuQc06YvE0C8shrNSEKbVA_2_2"/>
      <w:bookmarkStart w:id="1259" w:name="Tc_zh4X-y_AlUeHaf9xtkSdVA_1_5"/>
      <w:bookmarkStart w:id="1260" w:name="Tc_-HXvludkc0WtxvmFDyfvMg_1_2"/>
      <w:bookmarkStart w:id="1261" w:name="Tc_yiT831xmeUSh1d1QcVMaQg_15_0"/>
      <w:bookmarkStart w:id="1262" w:name="Tc_ydRdpOxj8UutYIY4VyK7LQ_14_5"/>
      <w:bookmarkStart w:id="1263" w:name="Tc_NCbdQCHoh0mkj-cqC-dQEQ_14_2"/>
      <w:bookmarkStart w:id="1264" w:name="Tc_3AxhaH5m5EWLrRWQgxzZlg_14_0"/>
      <w:bookmarkStart w:id="1265" w:name="Tc_OPxC2Q20hkOK5KIpxROYaQ_13_0"/>
      <w:bookmarkStart w:id="1266" w:name="Tc_hZAdaijnykSEk8pQjQvmcQ_12_0"/>
      <w:bookmarkStart w:id="1267" w:name="Tc_gWsSH1f1m0asSAEM-gj7Jg_11_0"/>
      <w:bookmarkStart w:id="1268" w:name="Tc_3-hOqjyQ_0uU73eIMllh8Q_10_0"/>
      <w:bookmarkStart w:id="1269" w:name="Tc_tcdswHB5sEyuf2HMaSa7CA_9_0"/>
      <w:bookmarkStart w:id="1270" w:name="Tc_ntyeqAWkjUOGfTGZo16Yww_8_0"/>
      <w:bookmarkStart w:id="1271" w:name="Tc_szYQuCkn5UiEnTmWqpxapw_7_0"/>
      <w:bookmarkStart w:id="1272" w:name="Tc_Hch7p1AbkUyKsg0g0HmI1g_6_0"/>
      <w:bookmarkStart w:id="1273" w:name="Tc_WGYLww8kNEio-fmZjP0BmA_5_0"/>
      <w:bookmarkStart w:id="1274" w:name="Tc_dth6VkSc60-LKGhVNphLNg_4_5"/>
      <w:bookmarkStart w:id="1275" w:name="Tc_EN60OOcYVUy4UkPJUjaK5A_4_2"/>
      <w:bookmarkStart w:id="1276" w:name="Tc_rAESmurqWUeFn9JPkV1Owg_4_0"/>
      <w:bookmarkStart w:id="1277" w:name="Tc_rUsJx7cIJUKaPU3C54czfA_3_2"/>
      <w:bookmarkStart w:id="1278" w:name="Tc_itRBg1_Q4UaO27D5LwRktA_2_5"/>
      <w:bookmarkStart w:id="1279" w:name="Tc_LWeUyyaBzke7-7TGLHtnwQ_2_2"/>
      <w:bookmarkStart w:id="1280" w:name="Tc_-AuUwg3oREO5C0AadJPhyA_1_5"/>
      <w:bookmarkStart w:id="1281" w:name="Tc_FfrNXeL7S0CZazYH1urM3g_1_2"/>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r>
        <w:rPr>
          <w:rFonts w:ascii="Times New Roman;Times;serif" w:hAnsi="Times New Roman;Times;serif"/>
          <w:b/>
          <w:sz w:val="20"/>
        </w:rPr>
        <w:t>5.      PROPERTY AND EQUIPMENT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major components of property and equipment are as follows:</w:t>
      </w:r>
    </w:p>
    <w:p>
      <w:pPr>
        <w:pStyle w:val="TextBody"/>
        <w:bidi w:val="0"/>
        <w:spacing w:before="0" w:after="0"/>
        <w:ind w:left="0" w:right="0" w:hanging="0"/>
        <w:jc w:val="both"/>
        <w:rPr/>
      </w:pPr>
      <w:r>
        <w:rPr/>
        <w:t>​</w:t>
      </w:r>
    </w:p>
    <w:tbl>
      <w:tblPr>
        <w:tblW w:w="9583" w:type="dxa"/>
        <w:jc w:val="left"/>
        <w:tblInd w:w="0" w:type="dxa"/>
        <w:tblLayout w:type="fixed"/>
        <w:tblCellMar>
          <w:top w:w="0" w:type="dxa"/>
          <w:left w:w="0" w:type="dxa"/>
          <w:bottom w:w="0" w:type="dxa"/>
          <w:right w:w="0" w:type="dxa"/>
        </w:tblCellMar>
      </w:tblPr>
      <w:tblGrid>
        <w:gridCol w:w="5120"/>
        <w:gridCol w:w="432"/>
        <w:gridCol w:w="312"/>
        <w:gridCol w:w="1337"/>
        <w:gridCol w:w="432"/>
        <w:gridCol w:w="355"/>
        <w:gridCol w:w="1595"/>
      </w:tblGrid>
      <w:tr>
        <w:trPr/>
        <w:tc>
          <w:tcPr>
            <w:tcW w:w="51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3251200" cy="175260"/>
                      <wp:effectExtent l="0" t="0" r="0" b="0"/>
                      <wp:wrapNone/>
                      <wp:docPr id="166" name="Frame166"/>
                      <a:graphic xmlns:a="http://schemas.openxmlformats.org/drawingml/2006/main">
                        <a:graphicData uri="http://schemas.microsoft.com/office/word/2010/wordprocessingShape">
                          <wps:wsp>
                            <wps:cNvSpPr txBox="1"/>
                            <wps:spPr>
                              <a:xfrm>
                                <a:off x="0" y="0"/>
                                <a:ext cx="3251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74320" cy="175260"/>
                      <wp:effectExtent l="0" t="0" r="0" b="0"/>
                      <wp:wrapNone/>
                      <wp:docPr id="167" name="Frame167"/>
                      <a:graphic xmlns:a="http://schemas.openxmlformats.org/drawingml/2006/main">
                        <a:graphicData uri="http://schemas.microsoft.com/office/word/2010/wordprocessingShape">
                          <wps:wsp>
                            <wps:cNvSpPr txBox="1"/>
                            <wps:spPr>
                              <a:xfrm>
                                <a:off x="0" y="0"/>
                                <a:ext cx="274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98120" cy="175260"/>
                      <wp:effectExtent l="0" t="0" r="0" b="0"/>
                      <wp:wrapNone/>
                      <wp:docPr id="168" name="Frame168"/>
                      <a:graphic xmlns:a="http://schemas.openxmlformats.org/drawingml/2006/main">
                        <a:graphicData uri="http://schemas.microsoft.com/office/word/2010/wordprocessingShape">
                          <wps:wsp>
                            <wps:cNvSpPr txBox="1"/>
                            <wps:spPr>
                              <a:xfrm>
                                <a:off x="0" y="0"/>
                                <a:ext cx="198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848995" cy="175260"/>
                      <wp:effectExtent l="0" t="0" r="0" b="0"/>
                      <wp:wrapNone/>
                      <wp:docPr id="169" name="Frame169"/>
                      <a:graphic xmlns:a="http://schemas.openxmlformats.org/drawingml/2006/main">
                        <a:graphicData uri="http://schemas.microsoft.com/office/word/2010/wordprocessingShape">
                          <wps:wsp>
                            <wps:cNvSpPr txBox="1"/>
                            <wps:spPr>
                              <a:xfrm>
                                <a:off x="0" y="0"/>
                                <a:ext cx="848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74320" cy="175260"/>
                      <wp:effectExtent l="0" t="0" r="0" b="0"/>
                      <wp:wrapNone/>
                      <wp:docPr id="170" name="Frame170"/>
                      <a:graphic xmlns:a="http://schemas.openxmlformats.org/drawingml/2006/main">
                        <a:graphicData uri="http://schemas.microsoft.com/office/word/2010/wordprocessingShape">
                          <wps:wsp>
                            <wps:cNvSpPr txBox="1"/>
                            <wps:spPr>
                              <a:xfrm>
                                <a:off x="0" y="0"/>
                                <a:ext cx="274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25425" cy="175260"/>
                      <wp:effectExtent l="0" t="0" r="0" b="0"/>
                      <wp:wrapNone/>
                      <wp:docPr id="171" name="Frame171"/>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012825" cy="175260"/>
                      <wp:effectExtent l="0" t="0" r="0" b="0"/>
                      <wp:wrapNone/>
                      <wp:docPr id="172" name="Frame172"/>
                      <a:graphic xmlns:a="http://schemas.openxmlformats.org/drawingml/2006/main">
                        <a:graphicData uri="http://schemas.microsoft.com/office/word/2010/wordprocessingShape">
                          <wps:wsp>
                            <wps:cNvSpPr txBox="1"/>
                            <wps:spPr>
                              <a:xfrm>
                                <a:off x="0" y="0"/>
                                <a:ext cx="1012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120" w:type="dxa"/>
            <w:tcBorders/>
            <w:vAlign w:val="center"/>
          </w:tcPr>
          <w:p>
            <w:pPr>
              <w:pStyle w:val="TableContents"/>
              <w:bidi w:val="0"/>
              <w:spacing w:before="0" w:after="1"/>
              <w:ind w:left="0" w:right="0" w:hanging="0"/>
              <w:jc w:val="left"/>
              <w:rPr/>
            </w:pPr>
            <w:r>
              <w:rPr/>
              <w:t>​</w:t>
            </w:r>
          </w:p>
        </w:tc>
        <w:tc>
          <w:tcPr>
            <w:tcW w:w="432" w:type="dxa"/>
            <w:tcBorders/>
            <w:vAlign w:val="center"/>
          </w:tcPr>
          <w:p>
            <w:pPr>
              <w:pStyle w:val="TableContents"/>
              <w:bidi w:val="0"/>
              <w:spacing w:before="0" w:after="1"/>
              <w:ind w:left="0" w:right="0" w:hanging="0"/>
              <w:jc w:val="center"/>
              <w:rPr/>
            </w:pPr>
            <w:r>
              <w:rPr/>
              <w:t>​</w:t>
            </w:r>
          </w:p>
        </w:tc>
        <w:tc>
          <w:tcPr>
            <w:tcW w:w="164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March 31, </w:t>
            </w:r>
          </w:p>
        </w:tc>
        <w:tc>
          <w:tcPr>
            <w:tcW w:w="432" w:type="dxa"/>
            <w:tcBorders/>
            <w:vAlign w:val="center"/>
          </w:tcPr>
          <w:p>
            <w:pPr>
              <w:pStyle w:val="TableContents"/>
              <w:bidi w:val="0"/>
              <w:spacing w:before="0" w:after="1"/>
              <w:ind w:left="0" w:right="0" w:hanging="0"/>
              <w:jc w:val="center"/>
              <w:rPr/>
            </w:pPr>
            <w:r>
              <w:rPr/>
              <w:t>​</w:t>
            </w:r>
          </w:p>
        </w:tc>
        <w:tc>
          <w:tcPr>
            <w:tcW w:w="195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5120" w:type="dxa"/>
            <w:tcBorders/>
            <w:vAlign w:val="center"/>
          </w:tcPr>
          <w:p>
            <w:pPr>
              <w:pStyle w:val="TableContents"/>
              <w:bidi w:val="0"/>
              <w:spacing w:before="0" w:after="1"/>
              <w:ind w:left="0" w:right="0" w:hanging="0"/>
              <w:jc w:val="left"/>
              <w:rPr/>
            </w:pPr>
            <w:r>
              <w:rPr/>
              <w:t>​</w:t>
            </w:r>
          </w:p>
        </w:tc>
        <w:tc>
          <w:tcPr>
            <w:tcW w:w="432" w:type="dxa"/>
            <w:tcBorders/>
            <w:vAlign w:val="center"/>
          </w:tcPr>
          <w:p>
            <w:pPr>
              <w:pStyle w:val="TableContents"/>
              <w:bidi w:val="0"/>
              <w:spacing w:before="0" w:after="1"/>
              <w:ind w:left="0" w:right="0" w:hanging="0"/>
              <w:jc w:val="center"/>
              <w:rPr/>
            </w:pPr>
            <w:r>
              <w:rPr/>
              <w:t>​</w:t>
            </w:r>
          </w:p>
        </w:tc>
        <w:tc>
          <w:tcPr>
            <w:tcW w:w="164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32" w:type="dxa"/>
            <w:tcBorders/>
            <w:vAlign w:val="center"/>
          </w:tcPr>
          <w:p>
            <w:pPr>
              <w:pStyle w:val="TableContents"/>
              <w:bidi w:val="0"/>
              <w:spacing w:before="0" w:after="1"/>
              <w:ind w:left="0" w:right="0" w:hanging="0"/>
              <w:jc w:val="center"/>
              <w:rPr/>
            </w:pPr>
            <w:r>
              <w:rPr/>
              <w:t>​</w:t>
            </w:r>
          </w:p>
        </w:tc>
        <w:tc>
          <w:tcPr>
            <w:tcW w:w="19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120" w:type="dxa"/>
            <w:tcBorders/>
            <w:vAlign w:val="center"/>
          </w:tcPr>
          <w:p>
            <w:pPr>
              <w:pStyle w:val="TableContents"/>
              <w:bidi w:val="0"/>
              <w:spacing w:before="0" w:after="1"/>
              <w:ind w:left="0" w:right="0" w:hanging="0"/>
              <w:jc w:val="left"/>
              <w:rPr/>
            </w:pPr>
            <w:r>
              <w:rPr/>
              <w:t>​</w:t>
            </w:r>
          </w:p>
        </w:tc>
        <w:tc>
          <w:tcPr>
            <w:tcW w:w="432" w:type="dxa"/>
            <w:tcBorders/>
            <w:vAlign w:val="center"/>
          </w:tcPr>
          <w:p>
            <w:pPr>
              <w:pStyle w:val="TableContents"/>
              <w:bidi w:val="0"/>
              <w:spacing w:before="0" w:after="1"/>
              <w:ind w:left="0" w:right="0" w:hanging="0"/>
              <w:jc w:val="center"/>
              <w:rPr/>
            </w:pPr>
            <w:r>
              <w:rPr/>
              <w:t>  ​ ​ ​</w:t>
            </w:r>
          </w:p>
        </w:tc>
        <w:tc>
          <w:tcPr>
            <w:tcW w:w="164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432" w:type="dxa"/>
            <w:tcBorders/>
            <w:vAlign w:val="center"/>
          </w:tcPr>
          <w:p>
            <w:pPr>
              <w:pStyle w:val="TableContents"/>
              <w:bidi w:val="0"/>
              <w:spacing w:before="0" w:after="1"/>
              <w:ind w:left="0" w:right="0" w:hanging="0"/>
              <w:jc w:val="center"/>
              <w:rPr/>
            </w:pPr>
            <w:r>
              <w:rPr/>
              <w:t>  ​ ​ ​</w:t>
            </w:r>
          </w:p>
        </w:tc>
        <w:tc>
          <w:tcPr>
            <w:tcW w:w="1950" w:type="dxa"/>
            <w:gridSpan w:val="2"/>
            <w:tcBorders/>
            <w:vAlign w:val="center"/>
          </w:tcPr>
          <w:p>
            <w:pPr>
              <w:pStyle w:val="TableContents"/>
              <w:bidi w:val="0"/>
              <w:spacing w:before="0" w:after="1"/>
              <w:ind w:left="0" w:right="0" w:hanging="0"/>
              <w:jc w:val="center"/>
              <w:rPr/>
            </w:pPr>
            <w:r>
              <w:rPr/>
              <w:t>​</w:t>
            </w:r>
          </w:p>
        </w:tc>
      </w:tr>
      <w:tr>
        <w:trPr/>
        <w:tc>
          <w:tcPr>
            <w:tcW w:w="5120"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Leasehold improvements</w:t>
            </w:r>
          </w:p>
        </w:tc>
        <w:tc>
          <w:tcPr>
            <w:tcW w:w="432" w:type="dxa"/>
            <w:tcBorders/>
            <w:shd w:fill="CCEEFF" w:val="clear"/>
            <w:vAlign w:val="center"/>
          </w:tcPr>
          <w:p>
            <w:pPr>
              <w:pStyle w:val="TableContents"/>
              <w:bidi w:val="0"/>
              <w:spacing w:before="0" w:after="1"/>
              <w:ind w:left="0" w:right="0" w:hanging="0"/>
              <w:jc w:val="left"/>
              <w:rPr/>
            </w:pPr>
            <w:r>
              <w:rPr/>
              <w:t>​</w:t>
            </w:r>
          </w:p>
        </w:tc>
        <w:tc>
          <w:tcPr>
            <w:tcW w:w="31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20,412</w:t>
            </w:r>
          </w:p>
        </w:tc>
        <w:tc>
          <w:tcPr>
            <w:tcW w:w="432" w:type="dxa"/>
            <w:tcBorders/>
            <w:shd w:fill="CCEEFF" w:val="clear"/>
            <w:vAlign w:val="center"/>
          </w:tcPr>
          <w:p>
            <w:pPr>
              <w:pStyle w:val="TableContents"/>
              <w:bidi w:val="0"/>
              <w:spacing w:before="0" w:after="1"/>
              <w:ind w:left="0" w:right="0" w:hanging="0"/>
              <w:jc w:val="left"/>
              <w:rPr/>
            </w:pPr>
            <w:r>
              <w:rPr/>
              <w:t>​</w:t>
            </w:r>
          </w:p>
        </w:tc>
        <w:tc>
          <w:tcPr>
            <w:tcW w:w="3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20,395</w:t>
            </w:r>
          </w:p>
        </w:tc>
      </w:tr>
      <w:tr>
        <w:trPr/>
        <w:tc>
          <w:tcPr>
            <w:tcW w:w="5120"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Equipment</w:t>
            </w:r>
          </w:p>
        </w:tc>
        <w:tc>
          <w:tcPr>
            <w:tcW w:w="432" w:type="dxa"/>
            <w:tcBorders/>
            <w:vAlign w:val="center"/>
          </w:tcPr>
          <w:p>
            <w:pPr>
              <w:pStyle w:val="TableContents"/>
              <w:bidi w:val="0"/>
              <w:spacing w:before="0" w:after="1"/>
              <w:ind w:left="0" w:right="0" w:hanging="0"/>
              <w:jc w:val="left"/>
              <w:rPr/>
            </w:pPr>
            <w:r>
              <w:rPr/>
              <w:t>​</w:t>
            </w:r>
          </w:p>
        </w:tc>
        <w:tc>
          <w:tcPr>
            <w:tcW w:w="312" w:type="dxa"/>
            <w:tcBorders/>
            <w:vAlign w:val="center"/>
          </w:tcPr>
          <w:p>
            <w:pPr>
              <w:pStyle w:val="TableContents"/>
              <w:bidi w:val="0"/>
              <w:spacing w:before="0" w:after="1"/>
              <w:ind w:left="0" w:right="0" w:hanging="0"/>
              <w:jc w:val="left"/>
              <w:rPr/>
            </w:pPr>
            <w:r>
              <w:rPr/>
              <w:t> </w:t>
            </w:r>
          </w:p>
        </w:tc>
        <w:tc>
          <w:tcPr>
            <w:tcW w:w="13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17,285</w:t>
            </w:r>
          </w:p>
        </w:tc>
        <w:tc>
          <w:tcPr>
            <w:tcW w:w="432" w:type="dxa"/>
            <w:tcBorders/>
            <w:vAlign w:val="center"/>
          </w:tcPr>
          <w:p>
            <w:pPr>
              <w:pStyle w:val="TableContents"/>
              <w:bidi w:val="0"/>
              <w:spacing w:before="0" w:after="1"/>
              <w:ind w:left="0" w:right="0" w:hanging="0"/>
              <w:jc w:val="left"/>
              <w:rPr/>
            </w:pPr>
            <w:r>
              <w:rPr/>
              <w:t>​</w:t>
            </w:r>
          </w:p>
        </w:tc>
        <w:tc>
          <w:tcPr>
            <w:tcW w:w="355" w:type="dxa"/>
            <w:tcBorders/>
            <w:vAlign w:val="center"/>
          </w:tcPr>
          <w:p>
            <w:pPr>
              <w:pStyle w:val="TableContents"/>
              <w:bidi w:val="0"/>
              <w:spacing w:before="0" w:after="1"/>
              <w:ind w:left="0" w:right="0" w:hanging="0"/>
              <w:jc w:val="left"/>
              <w:rPr/>
            </w:pPr>
            <w:r>
              <w:rPr/>
              <w:t> </w:t>
            </w:r>
          </w:p>
        </w:tc>
        <w:tc>
          <w:tcPr>
            <w:tcW w:w="15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16,426</w:t>
            </w:r>
          </w:p>
        </w:tc>
      </w:tr>
      <w:tr>
        <w:trPr/>
        <w:tc>
          <w:tcPr>
            <w:tcW w:w="5120"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Computer software purchased</w:t>
            </w:r>
          </w:p>
        </w:tc>
        <w:tc>
          <w:tcPr>
            <w:tcW w:w="432" w:type="dxa"/>
            <w:tcBorders/>
            <w:shd w:fill="CCEEFF" w:val="clear"/>
            <w:vAlign w:val="center"/>
          </w:tcPr>
          <w:p>
            <w:pPr>
              <w:pStyle w:val="TableContents"/>
              <w:bidi w:val="0"/>
              <w:spacing w:before="0" w:after="1"/>
              <w:ind w:left="0" w:right="0" w:hanging="0"/>
              <w:jc w:val="left"/>
              <w:rPr/>
            </w:pPr>
            <w:r>
              <w:rPr/>
              <w:t>​</w:t>
            </w:r>
          </w:p>
        </w:tc>
        <w:tc>
          <w:tcPr>
            <w:tcW w:w="312" w:type="dxa"/>
            <w:tcBorders/>
            <w:shd w:fill="CCEEFF" w:val="clear"/>
            <w:vAlign w:val="center"/>
          </w:tcPr>
          <w:p>
            <w:pPr>
              <w:pStyle w:val="TableContents"/>
              <w:bidi w:val="0"/>
              <w:spacing w:before="0" w:after="1"/>
              <w:ind w:left="0" w:right="0" w:hanging="0"/>
              <w:jc w:val="left"/>
              <w:rPr/>
            </w:pPr>
            <w:r>
              <w:rPr/>
              <w:t> </w:t>
            </w:r>
          </w:p>
        </w:tc>
        <w:tc>
          <w:tcPr>
            <w:tcW w:w="13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1,376</w:t>
            </w:r>
          </w:p>
        </w:tc>
        <w:tc>
          <w:tcPr>
            <w:tcW w:w="432" w:type="dxa"/>
            <w:tcBorders/>
            <w:shd w:fill="CCEEFF" w:val="clear"/>
            <w:vAlign w:val="center"/>
          </w:tcPr>
          <w:p>
            <w:pPr>
              <w:pStyle w:val="TableContents"/>
              <w:bidi w:val="0"/>
              <w:spacing w:before="0" w:after="1"/>
              <w:ind w:left="0" w:right="0" w:hanging="0"/>
              <w:jc w:val="left"/>
              <w:rPr/>
            </w:pPr>
            <w:r>
              <w:rPr/>
              <w:t>​</w:t>
            </w:r>
          </w:p>
        </w:tc>
        <w:tc>
          <w:tcPr>
            <w:tcW w:w="355" w:type="dxa"/>
            <w:tcBorders/>
            <w:shd w:fill="CCEEFF" w:val="clear"/>
            <w:vAlign w:val="center"/>
          </w:tcPr>
          <w:p>
            <w:pPr>
              <w:pStyle w:val="TableContents"/>
              <w:bidi w:val="0"/>
              <w:spacing w:before="0" w:after="1"/>
              <w:ind w:left="0" w:right="0" w:hanging="0"/>
              <w:jc w:val="left"/>
              <w:rPr/>
            </w:pPr>
            <w:r>
              <w:rPr/>
              <w:t> </w:t>
            </w:r>
          </w:p>
        </w:tc>
        <w:tc>
          <w:tcPr>
            <w:tcW w:w="15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1,383</w:t>
            </w:r>
          </w:p>
        </w:tc>
      </w:tr>
      <w:tr>
        <w:trPr/>
        <w:tc>
          <w:tcPr>
            <w:tcW w:w="5120"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Internal-use software developed:</w:t>
            </w:r>
          </w:p>
        </w:tc>
        <w:tc>
          <w:tcPr>
            <w:tcW w:w="432" w:type="dxa"/>
            <w:tcBorders/>
            <w:vAlign w:val="center"/>
          </w:tcPr>
          <w:p>
            <w:pPr>
              <w:pStyle w:val="TableContents"/>
              <w:bidi w:val="0"/>
              <w:spacing w:before="0" w:after="1"/>
              <w:ind w:left="0" w:right="0" w:hanging="0"/>
              <w:jc w:val="left"/>
              <w:rPr/>
            </w:pPr>
            <w:r>
              <w:rPr/>
              <w:t>​</w:t>
            </w:r>
          </w:p>
        </w:tc>
        <w:tc>
          <w:tcPr>
            <w:tcW w:w="312" w:type="dxa"/>
            <w:tcBorders/>
            <w:vAlign w:val="center"/>
          </w:tcPr>
          <w:p>
            <w:pPr>
              <w:pStyle w:val="TableContents"/>
              <w:bidi w:val="0"/>
              <w:spacing w:before="0" w:after="1"/>
              <w:ind w:left="0" w:right="0" w:hanging="0"/>
              <w:jc w:val="left"/>
              <w:rPr/>
            </w:pPr>
            <w:r>
              <w:rPr/>
              <w:t> </w:t>
            </w:r>
          </w:p>
        </w:tc>
        <w:tc>
          <w:tcPr>
            <w:tcW w:w="1337" w:type="dxa"/>
            <w:tcBorders/>
            <w:vAlign w:val="center"/>
          </w:tcPr>
          <w:p>
            <w:pPr>
              <w:pStyle w:val="TableContents"/>
              <w:bidi w:val="0"/>
              <w:spacing w:before="0" w:after="1"/>
              <w:ind w:left="0" w:right="0" w:hanging="0"/>
              <w:jc w:val="right"/>
              <w:rPr/>
            </w:pPr>
            <w:r>
              <w:rPr/>
              <w:t>​</w:t>
            </w:r>
          </w:p>
        </w:tc>
        <w:tc>
          <w:tcPr>
            <w:tcW w:w="432" w:type="dxa"/>
            <w:tcBorders/>
            <w:vAlign w:val="center"/>
          </w:tcPr>
          <w:p>
            <w:pPr>
              <w:pStyle w:val="TableContents"/>
              <w:bidi w:val="0"/>
              <w:spacing w:before="0" w:after="1"/>
              <w:ind w:left="0" w:right="0" w:hanging="0"/>
              <w:jc w:val="left"/>
              <w:rPr/>
            </w:pPr>
            <w:r>
              <w:rPr/>
              <w:t>​</w:t>
            </w:r>
          </w:p>
        </w:tc>
        <w:tc>
          <w:tcPr>
            <w:tcW w:w="355" w:type="dxa"/>
            <w:tcBorders/>
            <w:vAlign w:val="center"/>
          </w:tcPr>
          <w:p>
            <w:pPr>
              <w:pStyle w:val="TableContents"/>
              <w:bidi w:val="0"/>
              <w:spacing w:before="0" w:after="1"/>
              <w:ind w:left="0" w:right="0" w:hanging="0"/>
              <w:jc w:val="left"/>
              <w:rPr/>
            </w:pPr>
            <w:r>
              <w:rPr/>
              <w:t> </w:t>
            </w:r>
          </w:p>
        </w:tc>
        <w:tc>
          <w:tcPr>
            <w:tcW w:w="1595" w:type="dxa"/>
            <w:tcBorders/>
            <w:vAlign w:val="center"/>
          </w:tcPr>
          <w:p>
            <w:pPr>
              <w:pStyle w:val="TableContents"/>
              <w:bidi w:val="0"/>
              <w:spacing w:before="0" w:after="1"/>
              <w:ind w:left="0" w:right="0" w:hanging="0"/>
              <w:jc w:val="right"/>
              <w:rPr/>
            </w:pPr>
            <w:r>
              <w:rPr/>
              <w:t>​</w:t>
            </w:r>
          </w:p>
        </w:tc>
      </w:tr>
      <w:tr>
        <w:trPr/>
        <w:tc>
          <w:tcPr>
            <w:tcW w:w="5120"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Cloud-based customer solutions </w:t>
            </w:r>
            <w:r>
              <w:rPr>
                <w:rFonts w:ascii="Times New Roman;Times;serif" w:hAnsi="Times New Roman;Times;serif"/>
                <w:sz w:val="15"/>
              </w:rPr>
              <w:t>(1)</w:t>
            </w:r>
          </w:p>
        </w:tc>
        <w:tc>
          <w:tcPr>
            <w:tcW w:w="432" w:type="dxa"/>
            <w:tcBorders/>
            <w:shd w:fill="CCEEFF" w:val="clear"/>
            <w:vAlign w:val="center"/>
          </w:tcPr>
          <w:p>
            <w:pPr>
              <w:pStyle w:val="TableContents"/>
              <w:bidi w:val="0"/>
              <w:spacing w:before="0" w:after="1"/>
              <w:ind w:left="0" w:right="0" w:hanging="0"/>
              <w:jc w:val="left"/>
              <w:rPr/>
            </w:pPr>
            <w:r>
              <w:rPr/>
              <w:t>​</w:t>
            </w:r>
          </w:p>
        </w:tc>
        <w:tc>
          <w:tcPr>
            <w:tcW w:w="312" w:type="dxa"/>
            <w:tcBorders/>
            <w:shd w:fill="CCEEFF" w:val="clear"/>
            <w:vAlign w:val="center"/>
          </w:tcPr>
          <w:p>
            <w:pPr>
              <w:pStyle w:val="TableContents"/>
              <w:bidi w:val="0"/>
              <w:spacing w:before="0" w:after="1"/>
              <w:ind w:left="0" w:right="0" w:hanging="0"/>
              <w:jc w:val="left"/>
              <w:rPr/>
            </w:pPr>
            <w:r>
              <w:rPr/>
              <w:t> </w:t>
            </w:r>
          </w:p>
        </w:tc>
        <w:tc>
          <w:tcPr>
            <w:tcW w:w="13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349,991</w:t>
            </w:r>
          </w:p>
        </w:tc>
        <w:tc>
          <w:tcPr>
            <w:tcW w:w="432" w:type="dxa"/>
            <w:tcBorders/>
            <w:shd w:fill="CCEEFF" w:val="clear"/>
            <w:vAlign w:val="center"/>
          </w:tcPr>
          <w:p>
            <w:pPr>
              <w:pStyle w:val="TableContents"/>
              <w:bidi w:val="0"/>
              <w:spacing w:before="0" w:after="1"/>
              <w:ind w:left="0" w:right="0" w:hanging="0"/>
              <w:jc w:val="left"/>
              <w:rPr/>
            </w:pPr>
            <w:r>
              <w:rPr/>
              <w:t>​</w:t>
            </w:r>
          </w:p>
        </w:tc>
        <w:tc>
          <w:tcPr>
            <w:tcW w:w="355" w:type="dxa"/>
            <w:tcBorders/>
            <w:shd w:fill="CCEEFF" w:val="clear"/>
            <w:vAlign w:val="center"/>
          </w:tcPr>
          <w:p>
            <w:pPr>
              <w:pStyle w:val="TableContents"/>
              <w:bidi w:val="0"/>
              <w:spacing w:before="0" w:after="1"/>
              <w:ind w:left="0" w:right="0" w:hanging="0"/>
              <w:jc w:val="left"/>
              <w:rPr/>
            </w:pPr>
            <w:r>
              <w:rPr/>
              <w:t> </w:t>
            </w:r>
          </w:p>
        </w:tc>
        <w:tc>
          <w:tcPr>
            <w:tcW w:w="15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328,648</w:t>
            </w:r>
          </w:p>
        </w:tc>
      </w:tr>
      <w:tr>
        <w:trPr/>
        <w:tc>
          <w:tcPr>
            <w:tcW w:w="51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Internal systems and tools </w:t>
            </w:r>
          </w:p>
        </w:tc>
        <w:tc>
          <w:tcPr>
            <w:tcW w:w="432" w:type="dxa"/>
            <w:tcBorders/>
            <w:vAlign w:val="center"/>
          </w:tcPr>
          <w:p>
            <w:pPr>
              <w:pStyle w:val="TableContents"/>
              <w:bidi w:val="0"/>
              <w:spacing w:before="0" w:after="1"/>
              <w:ind w:left="0" w:right="0" w:hanging="0"/>
              <w:jc w:val="left"/>
              <w:rPr/>
            </w:pPr>
            <w:r>
              <w:rPr/>
              <w:t>​</w:t>
            </w:r>
          </w:p>
        </w:tc>
        <w:tc>
          <w:tcPr>
            <w:tcW w:w="312" w:type="dxa"/>
            <w:tcBorders/>
            <w:vAlign w:val="center"/>
          </w:tcPr>
          <w:p>
            <w:pPr>
              <w:pStyle w:val="TableContents"/>
              <w:bidi w:val="0"/>
              <w:spacing w:before="0" w:after="1"/>
              <w:ind w:left="0" w:right="0" w:hanging="0"/>
              <w:jc w:val="left"/>
              <w:rPr/>
            </w:pPr>
            <w:r>
              <w:rPr/>
              <w:t> </w:t>
            </w:r>
          </w:p>
        </w:tc>
        <w:tc>
          <w:tcPr>
            <w:tcW w:w="13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97,471</w:t>
            </w:r>
          </w:p>
        </w:tc>
        <w:tc>
          <w:tcPr>
            <w:tcW w:w="432" w:type="dxa"/>
            <w:tcBorders/>
            <w:vAlign w:val="center"/>
          </w:tcPr>
          <w:p>
            <w:pPr>
              <w:pStyle w:val="TableContents"/>
              <w:bidi w:val="0"/>
              <w:spacing w:before="0" w:after="1"/>
              <w:ind w:left="0" w:right="0" w:hanging="0"/>
              <w:jc w:val="left"/>
              <w:rPr/>
            </w:pPr>
            <w:r>
              <w:rPr/>
              <w:t>​</w:t>
            </w:r>
          </w:p>
        </w:tc>
        <w:tc>
          <w:tcPr>
            <w:tcW w:w="355" w:type="dxa"/>
            <w:tcBorders/>
            <w:vAlign w:val="center"/>
          </w:tcPr>
          <w:p>
            <w:pPr>
              <w:pStyle w:val="TableContents"/>
              <w:bidi w:val="0"/>
              <w:spacing w:before="0" w:after="1"/>
              <w:ind w:left="0" w:right="0" w:hanging="0"/>
              <w:jc w:val="left"/>
              <w:rPr/>
            </w:pPr>
            <w:r>
              <w:rPr/>
              <w:t> </w:t>
            </w:r>
          </w:p>
        </w:tc>
        <w:tc>
          <w:tcPr>
            <w:tcW w:w="15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92,074</w:t>
            </w:r>
          </w:p>
        </w:tc>
      </w:tr>
      <w:tr>
        <w:trPr/>
        <w:tc>
          <w:tcPr>
            <w:tcW w:w="5120"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Furniture and fixtures</w:t>
            </w:r>
          </w:p>
        </w:tc>
        <w:tc>
          <w:tcPr>
            <w:tcW w:w="432" w:type="dxa"/>
            <w:tcBorders/>
            <w:shd w:fill="CCEEFF" w:val="clear"/>
            <w:vAlign w:val="center"/>
          </w:tcPr>
          <w:p>
            <w:pPr>
              <w:pStyle w:val="TableContents"/>
              <w:bidi w:val="0"/>
              <w:spacing w:before="0" w:after="1"/>
              <w:ind w:left="0" w:right="0" w:hanging="0"/>
              <w:jc w:val="left"/>
              <w:rPr/>
            </w:pPr>
            <w:r>
              <w:rPr/>
              <w:t>​</w:t>
            </w:r>
          </w:p>
        </w:tc>
        <w:tc>
          <w:tcPr>
            <w:tcW w:w="312" w:type="dxa"/>
            <w:tcBorders/>
            <w:shd w:fill="CCEEFF" w:val="clear"/>
            <w:vAlign w:val="center"/>
          </w:tcPr>
          <w:p>
            <w:pPr>
              <w:pStyle w:val="TableContents"/>
              <w:bidi w:val="0"/>
              <w:spacing w:before="0" w:after="1"/>
              <w:ind w:left="0" w:right="0" w:hanging="0"/>
              <w:jc w:val="left"/>
              <w:rPr/>
            </w:pPr>
            <w:r>
              <w:rPr/>
              <w:t> </w:t>
            </w:r>
          </w:p>
        </w:tc>
        <w:tc>
          <w:tcPr>
            <w:tcW w:w="13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7,201</w:t>
            </w:r>
          </w:p>
        </w:tc>
        <w:tc>
          <w:tcPr>
            <w:tcW w:w="432" w:type="dxa"/>
            <w:tcBorders/>
            <w:shd w:fill="CCEEFF" w:val="clear"/>
            <w:vAlign w:val="center"/>
          </w:tcPr>
          <w:p>
            <w:pPr>
              <w:pStyle w:val="TableContents"/>
              <w:bidi w:val="0"/>
              <w:spacing w:before="0" w:after="1"/>
              <w:ind w:left="0" w:right="0" w:hanging="0"/>
              <w:jc w:val="left"/>
              <w:rPr/>
            </w:pPr>
            <w:r>
              <w:rPr/>
              <w:t>​</w:t>
            </w:r>
          </w:p>
        </w:tc>
        <w:tc>
          <w:tcPr>
            <w:tcW w:w="355" w:type="dxa"/>
            <w:tcBorders/>
            <w:shd w:fill="CCEEFF" w:val="clear"/>
            <w:vAlign w:val="center"/>
          </w:tcPr>
          <w:p>
            <w:pPr>
              <w:pStyle w:val="TableContents"/>
              <w:bidi w:val="0"/>
              <w:spacing w:before="0" w:after="1"/>
              <w:ind w:left="0" w:right="0" w:hanging="0"/>
              <w:jc w:val="left"/>
              <w:rPr/>
            </w:pPr>
            <w:r>
              <w:rPr/>
              <w:t> </w:t>
            </w:r>
          </w:p>
        </w:tc>
        <w:tc>
          <w:tcPr>
            <w:tcW w:w="15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7,187</w:t>
            </w:r>
          </w:p>
        </w:tc>
      </w:tr>
      <w:tr>
        <w:trPr/>
        <w:tc>
          <w:tcPr>
            <w:tcW w:w="5120"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In-process internal-use software</w:t>
            </w:r>
          </w:p>
        </w:tc>
        <w:tc>
          <w:tcPr>
            <w:tcW w:w="432" w:type="dxa"/>
            <w:tcBorders/>
            <w:vAlign w:val="center"/>
          </w:tcPr>
          <w:p>
            <w:pPr>
              <w:pStyle w:val="TableContents"/>
              <w:bidi w:val="0"/>
              <w:spacing w:before="0" w:after="1"/>
              <w:ind w:left="0" w:right="0" w:hanging="0"/>
              <w:jc w:val="left"/>
              <w:rPr/>
            </w:pPr>
            <w:r>
              <w:rPr/>
              <w:t>​</w:t>
            </w:r>
          </w:p>
        </w:tc>
        <w:tc>
          <w:tcPr>
            <w:tcW w:w="31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3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23,916</w:t>
            </w:r>
          </w:p>
        </w:tc>
        <w:tc>
          <w:tcPr>
            <w:tcW w:w="432" w:type="dxa"/>
            <w:tcBorders/>
            <w:vAlign w:val="center"/>
          </w:tcPr>
          <w:p>
            <w:pPr>
              <w:pStyle w:val="TableContents"/>
              <w:bidi w:val="0"/>
              <w:spacing w:before="0" w:after="1"/>
              <w:ind w:left="0" w:right="0" w:hanging="0"/>
              <w:jc w:val="left"/>
              <w:rPr/>
            </w:pPr>
            <w:r>
              <w:rPr/>
              <w:t>​</w:t>
            </w:r>
          </w:p>
        </w:tc>
        <w:tc>
          <w:tcPr>
            <w:tcW w:w="35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59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21,416</w:t>
            </w:r>
          </w:p>
        </w:tc>
      </w:tr>
      <w:tr>
        <w:trPr/>
        <w:tc>
          <w:tcPr>
            <w:tcW w:w="51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432" w:type="dxa"/>
            <w:tcBorders/>
            <w:shd w:fill="CCEEFF" w:val="clear"/>
            <w:vAlign w:val="center"/>
          </w:tcPr>
          <w:p>
            <w:pPr>
              <w:pStyle w:val="TableContents"/>
              <w:bidi w:val="0"/>
              <w:spacing w:before="0" w:after="1"/>
              <w:ind w:left="0" w:right="0" w:hanging="0"/>
              <w:jc w:val="left"/>
              <w:rPr/>
            </w:pPr>
            <w:r>
              <w:rPr/>
              <w:t>​</w:t>
            </w:r>
          </w:p>
        </w:tc>
        <w:tc>
          <w:tcPr>
            <w:tcW w:w="312" w:type="dxa"/>
            <w:tcBorders/>
            <w:shd w:fill="CCEEFF" w:val="clear"/>
            <w:vAlign w:val="center"/>
          </w:tcPr>
          <w:p>
            <w:pPr>
              <w:pStyle w:val="TableContents"/>
              <w:bidi w:val="0"/>
              <w:spacing w:before="0" w:after="1"/>
              <w:ind w:left="0" w:right="0" w:hanging="0"/>
              <w:jc w:val="left"/>
              <w:rPr/>
            </w:pPr>
            <w:r>
              <w:rPr/>
              <w:t> </w:t>
            </w:r>
          </w:p>
        </w:tc>
        <w:tc>
          <w:tcPr>
            <w:tcW w:w="13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517,652</w:t>
            </w:r>
          </w:p>
        </w:tc>
        <w:tc>
          <w:tcPr>
            <w:tcW w:w="432" w:type="dxa"/>
            <w:tcBorders/>
            <w:shd w:fill="CCEEFF" w:val="clear"/>
            <w:vAlign w:val="center"/>
          </w:tcPr>
          <w:p>
            <w:pPr>
              <w:pStyle w:val="TableContents"/>
              <w:bidi w:val="0"/>
              <w:spacing w:before="0" w:after="1"/>
              <w:ind w:left="0" w:right="0" w:hanging="0"/>
              <w:jc w:val="left"/>
              <w:rPr/>
            </w:pPr>
            <w:r>
              <w:rPr/>
              <w:t>​</w:t>
            </w:r>
          </w:p>
        </w:tc>
        <w:tc>
          <w:tcPr>
            <w:tcW w:w="355" w:type="dxa"/>
            <w:tcBorders/>
            <w:shd w:fill="CCEEFF" w:val="clear"/>
            <w:vAlign w:val="center"/>
          </w:tcPr>
          <w:p>
            <w:pPr>
              <w:pStyle w:val="TableContents"/>
              <w:bidi w:val="0"/>
              <w:spacing w:before="0" w:after="1"/>
              <w:ind w:left="0" w:right="0" w:hanging="0"/>
              <w:jc w:val="left"/>
              <w:rPr/>
            </w:pPr>
            <w:r>
              <w:rPr/>
              <w:t> </w:t>
            </w:r>
          </w:p>
        </w:tc>
        <w:tc>
          <w:tcPr>
            <w:tcW w:w="15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487,529</w:t>
            </w:r>
          </w:p>
        </w:tc>
      </w:tr>
      <w:tr>
        <w:trPr/>
        <w:tc>
          <w:tcPr>
            <w:tcW w:w="5120" w:type="dxa"/>
            <w:tcBorders/>
            <w:vAlign w:val="center"/>
          </w:tcPr>
          <w:p>
            <w:pPr>
              <w:pStyle w:val="TableContents"/>
              <w:bidi w:val="0"/>
              <w:spacing w:lineRule="auto" w:line="240" w:before="0" w:after="1"/>
              <w:ind w:left="0" w:right="0" w:hanging="0"/>
              <w:jc w:val="both"/>
              <w:rPr>
                <w:rFonts w:ascii="Times New Roman;Times;serif" w:hAnsi="Times New Roman;Times;serif"/>
                <w:sz w:val="20"/>
              </w:rPr>
            </w:pPr>
            <w:r>
              <w:rPr>
                <w:rFonts w:ascii="Times New Roman;Times;serif" w:hAnsi="Times New Roman;Times;serif"/>
                <w:sz w:val="20"/>
              </w:rPr>
              <w:t xml:space="preserve">Less accumulated depreciation and amortization </w:t>
            </w:r>
          </w:p>
        </w:tc>
        <w:tc>
          <w:tcPr>
            <w:tcW w:w="432" w:type="dxa"/>
            <w:tcBorders/>
            <w:vAlign w:val="center"/>
          </w:tcPr>
          <w:p>
            <w:pPr>
              <w:pStyle w:val="TableContents"/>
              <w:bidi w:val="0"/>
              <w:spacing w:before="0" w:after="1"/>
              <w:ind w:left="0" w:right="0" w:hanging="0"/>
              <w:jc w:val="left"/>
              <w:rPr/>
            </w:pPr>
            <w:r>
              <w:rPr/>
              <w:t>​</w:t>
            </w:r>
          </w:p>
        </w:tc>
        <w:tc>
          <w:tcPr>
            <w:tcW w:w="31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3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(297,245)</w:t>
            </w:r>
          </w:p>
        </w:tc>
        <w:tc>
          <w:tcPr>
            <w:tcW w:w="432" w:type="dxa"/>
            <w:tcBorders/>
            <w:vAlign w:val="center"/>
          </w:tcPr>
          <w:p>
            <w:pPr>
              <w:pStyle w:val="TableContents"/>
              <w:bidi w:val="0"/>
              <w:spacing w:before="0" w:after="1"/>
              <w:ind w:left="0" w:right="0" w:hanging="0"/>
              <w:jc w:val="left"/>
              <w:rPr/>
            </w:pPr>
            <w:r>
              <w:rPr/>
              <w:t>​</w:t>
            </w:r>
          </w:p>
        </w:tc>
        <w:tc>
          <w:tcPr>
            <w:tcW w:w="35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59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(277,802)</w:t>
            </w:r>
          </w:p>
        </w:tc>
      </w:tr>
      <w:tr>
        <w:trPr/>
        <w:tc>
          <w:tcPr>
            <w:tcW w:w="51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432" w:type="dxa"/>
            <w:tcBorders/>
            <w:shd w:fill="CCEEFF" w:val="clear"/>
            <w:vAlign w:val="center"/>
          </w:tcPr>
          <w:p>
            <w:pPr>
              <w:pStyle w:val="TableContents"/>
              <w:bidi w:val="0"/>
              <w:spacing w:before="0" w:after="1"/>
              <w:ind w:left="0" w:right="0" w:hanging="0"/>
              <w:jc w:val="left"/>
              <w:rPr/>
            </w:pPr>
            <w:r>
              <w:rPr/>
              <w:t>​</w:t>
            </w:r>
          </w:p>
        </w:tc>
        <w:tc>
          <w:tcPr>
            <w:tcW w:w="31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3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220,407</w:t>
            </w:r>
          </w:p>
        </w:tc>
        <w:tc>
          <w:tcPr>
            <w:tcW w:w="432" w:type="dxa"/>
            <w:tcBorders/>
            <w:shd w:fill="CCEEFF" w:val="clear"/>
            <w:vAlign w:val="center"/>
          </w:tcPr>
          <w:p>
            <w:pPr>
              <w:pStyle w:val="TableContents"/>
              <w:bidi w:val="0"/>
              <w:spacing w:before="0" w:after="1"/>
              <w:ind w:left="0" w:right="0" w:hanging="0"/>
              <w:jc w:val="left"/>
              <w:rPr/>
            </w:pPr>
            <w:r>
              <w:rPr/>
              <w:t>​</w:t>
            </w:r>
          </w:p>
        </w:tc>
        <w:tc>
          <w:tcPr>
            <w:tcW w:w="35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9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209,727</w:t>
            </w:r>
          </w:p>
        </w:tc>
      </w:tr>
      <w:tr>
        <w:trPr/>
        <w:tc>
          <w:tcPr>
            <w:tcW w:w="9583" w:type="dxa"/>
            <w:gridSpan w:val="7"/>
            <w:tcBorders/>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4"/>
              </w:rPr>
              <w:t>(1)</w:t>
            </w:r>
            <w:r>
              <w:rPr>
                <w:rFonts w:ascii="Times New Roman;Times;serif" w:hAnsi="Times New Roman;Times;serif"/>
                <w:sz w:val="18"/>
              </w:rPr>
              <w:t xml:space="preserve"> Includes $7,848 of developed technology related to the Brinta acquisition. For further information, refer to Note 3, "Acquisitions".</w:t>
            </w:r>
          </w:p>
        </w:tc>
      </w:tr>
      <w:tr>
        <w:trPr/>
        <w:tc>
          <w:tcPr>
            <w:tcW w:w="5120" w:type="dxa"/>
            <w:tcBorders/>
            <w:vAlign w:val="center"/>
          </w:tcPr>
          <w:p>
            <w:pPr>
              <w:pStyle w:val="TableContents"/>
              <w:bidi w:val="0"/>
              <w:spacing w:before="0" w:after="1"/>
              <w:ind w:left="0" w:right="0" w:hanging="0"/>
              <w:jc w:val="left"/>
              <w:rPr/>
            </w:pPr>
            <w:r>
              <w:rPr/>
              <w:t>​</w:t>
            </w:r>
          </w:p>
        </w:tc>
        <w:tc>
          <w:tcPr>
            <w:tcW w:w="432" w:type="dxa"/>
            <w:tcBorders/>
            <w:vAlign w:val="center"/>
          </w:tcPr>
          <w:p>
            <w:pPr>
              <w:pStyle w:val="TableContents"/>
              <w:bidi w:val="0"/>
              <w:spacing w:before="0" w:after="1"/>
              <w:ind w:left="0" w:right="0" w:hanging="0"/>
              <w:jc w:val="left"/>
              <w:rPr/>
            </w:pPr>
            <w:r>
              <w:rPr/>
              <w:t>​</w:t>
            </w:r>
          </w:p>
        </w:tc>
        <w:tc>
          <w:tcPr>
            <w:tcW w:w="312" w:type="dxa"/>
            <w:tcBorders/>
            <w:vAlign w:val="center"/>
          </w:tcPr>
          <w:p>
            <w:pPr>
              <w:pStyle w:val="TableContents"/>
              <w:bidi w:val="0"/>
              <w:spacing w:before="0" w:after="1"/>
              <w:ind w:left="0" w:right="0" w:hanging="0"/>
              <w:jc w:val="left"/>
              <w:rPr/>
            </w:pPr>
            <w:r>
              <w:rPr/>
              <w:t>​</w:t>
            </w:r>
          </w:p>
        </w:tc>
        <w:tc>
          <w:tcPr>
            <w:tcW w:w="1337" w:type="dxa"/>
            <w:tcBorders/>
            <w:vAlign w:val="center"/>
          </w:tcPr>
          <w:p>
            <w:pPr>
              <w:pStyle w:val="TableContents"/>
              <w:bidi w:val="0"/>
              <w:spacing w:before="0" w:after="1"/>
              <w:ind w:left="0" w:right="0" w:hanging="0"/>
              <w:jc w:val="left"/>
              <w:rPr/>
            </w:pPr>
            <w:r>
              <w:rPr/>
              <w:t>​</w:t>
            </w:r>
          </w:p>
        </w:tc>
        <w:tc>
          <w:tcPr>
            <w:tcW w:w="432" w:type="dxa"/>
            <w:tcBorders/>
            <w:vAlign w:val="center"/>
          </w:tcPr>
          <w:p>
            <w:pPr>
              <w:pStyle w:val="TableContents"/>
              <w:bidi w:val="0"/>
              <w:spacing w:before="0" w:after="1"/>
              <w:ind w:left="0" w:right="0" w:hanging="0"/>
              <w:jc w:val="left"/>
              <w:rPr/>
            </w:pPr>
            <w:r>
              <w:rPr/>
              <w:t>​</w:t>
            </w:r>
          </w:p>
        </w:tc>
        <w:tc>
          <w:tcPr>
            <w:tcW w:w="355" w:type="dxa"/>
            <w:tcBorders/>
            <w:vAlign w:val="center"/>
          </w:tcPr>
          <w:p>
            <w:pPr>
              <w:pStyle w:val="TableContents"/>
              <w:bidi w:val="0"/>
              <w:spacing w:before="0" w:after="1"/>
              <w:ind w:left="0" w:right="0" w:hanging="0"/>
              <w:jc w:val="left"/>
              <w:rPr/>
            </w:pPr>
            <w:r>
              <w:rPr/>
              <w:t>​</w:t>
            </w:r>
          </w:p>
        </w:tc>
        <w:tc>
          <w:tcPr>
            <w:tcW w:w="1595" w:type="dxa"/>
            <w:tcBorders/>
            <w:vAlign w:val="center"/>
          </w:tcPr>
          <w:p>
            <w:pPr>
              <w:pStyle w:val="TableContents"/>
              <w:bidi w:val="0"/>
              <w:spacing w:before="0" w:after="1"/>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Depreciation expense for property and equipment, excluding all internal-use software developed and finance leases, was $1,171 and $1,056 for the three months ended March 31, 2026 and 2025, respectively, and is included in depreciation and amortization in the condensed consolidated statements of comprehensive income.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Finance lease amortization was $18 and $19 for the three months ended March 31, 2026 and 2025, respectively, and is included in depreciation and amortization in the condensed consolidated statements of comprehensive income.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Assets under finance leases of $265 and $265, net of accumulated amortization of $190 and $171, respectively, at March 31, 2026 and December 31, 2025, respectively, are included in property and equipment, net in the condensed consolidated balance sheets.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major components of internal-use software developed are as follows:</w:t>
      </w:r>
    </w:p>
    <w:p>
      <w:pPr>
        <w:pStyle w:val="TextBody"/>
        <w:bidi w:val="0"/>
        <w:spacing w:before="0" w:after="0"/>
        <w:ind w:left="0" w:right="0" w:hanging="0"/>
        <w:jc w:val="both"/>
        <w:rPr/>
      </w:pPr>
      <w:r>
        <w:rPr/>
        <w:t>​</w:t>
      </w:r>
    </w:p>
    <w:tbl>
      <w:tblPr>
        <w:tblW w:w="8973" w:type="dxa"/>
        <w:jc w:val="left"/>
        <w:tblInd w:w="0" w:type="dxa"/>
        <w:tblLayout w:type="fixed"/>
        <w:tblCellMar>
          <w:top w:w="0" w:type="dxa"/>
          <w:left w:w="0" w:type="dxa"/>
          <w:bottom w:w="0" w:type="dxa"/>
          <w:right w:w="0" w:type="dxa"/>
        </w:tblCellMar>
      </w:tblPr>
      <w:tblGrid>
        <w:gridCol w:w="5401"/>
        <w:gridCol w:w="346"/>
        <w:gridCol w:w="250"/>
        <w:gridCol w:w="1070"/>
        <w:gridCol w:w="346"/>
        <w:gridCol w:w="284"/>
        <w:gridCol w:w="1276"/>
      </w:tblGrid>
      <w:tr>
        <w:trPr/>
        <w:tc>
          <w:tcPr>
            <w:tcW w:w="5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3429635" cy="175260"/>
                      <wp:effectExtent l="0" t="0" r="0" b="0"/>
                      <wp:wrapNone/>
                      <wp:docPr id="173" name="Frame173"/>
                      <a:graphic xmlns:a="http://schemas.openxmlformats.org/drawingml/2006/main">
                        <a:graphicData uri="http://schemas.microsoft.com/office/word/2010/wordprocessingShape">
                          <wps:wsp>
                            <wps:cNvSpPr txBox="1"/>
                            <wps:spPr>
                              <a:xfrm>
                                <a:off x="0" y="0"/>
                                <a:ext cx="3429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19710" cy="175260"/>
                      <wp:effectExtent l="0" t="0" r="0" b="0"/>
                      <wp:wrapNone/>
                      <wp:docPr id="174" name="Frame1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58750" cy="175260"/>
                      <wp:effectExtent l="0" t="0" r="0" b="0"/>
                      <wp:wrapNone/>
                      <wp:docPr id="175" name="Frame175"/>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79450" cy="175260"/>
                      <wp:effectExtent l="0" t="0" r="0" b="0"/>
                      <wp:wrapNone/>
                      <wp:docPr id="176" name="Frame176"/>
                      <a:graphic xmlns:a="http://schemas.openxmlformats.org/drawingml/2006/main">
                        <a:graphicData uri="http://schemas.microsoft.com/office/word/2010/wordprocessingShape">
                          <wps:wsp>
                            <wps:cNvSpPr txBox="1"/>
                            <wps:spPr>
                              <a:xfrm>
                                <a:off x="0" y="0"/>
                                <a:ext cx="679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19710" cy="175260"/>
                      <wp:effectExtent l="0" t="0" r="0" b="0"/>
                      <wp:wrapNone/>
                      <wp:docPr id="177" name="Frame1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80340" cy="175260"/>
                      <wp:effectExtent l="0" t="0" r="0" b="0"/>
                      <wp:wrapNone/>
                      <wp:docPr id="178" name="Frame178"/>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810260" cy="175260"/>
                      <wp:effectExtent l="0" t="0" r="0" b="0"/>
                      <wp:wrapNone/>
                      <wp:docPr id="179" name="Frame179"/>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3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March 31, </w:t>
            </w:r>
          </w:p>
        </w:tc>
        <w:tc>
          <w:tcPr>
            <w:tcW w:w="346" w:type="dxa"/>
            <w:tcBorders/>
            <w:vAlign w:val="center"/>
          </w:tcPr>
          <w:p>
            <w:pPr>
              <w:pStyle w:val="TableContents"/>
              <w:bidi w:val="0"/>
              <w:spacing w:before="0" w:after="0"/>
              <w:ind w:left="0" w:right="0" w:hanging="0"/>
              <w:jc w:val="left"/>
              <w:rPr/>
            </w:pPr>
            <w:r>
              <w:rPr/>
              <w:t>​</w:t>
            </w:r>
          </w:p>
        </w:tc>
        <w:tc>
          <w:tcPr>
            <w:tcW w:w="156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54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3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w:t>
            </w:r>
          </w:p>
        </w:tc>
        <w:tc>
          <w:tcPr>
            <w:tcW w:w="15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4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3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center"/>
              <w:rPr/>
            </w:pPr>
            <w:r>
              <w:rPr/>
              <w:t>  ​ ​ ​</w:t>
            </w:r>
          </w:p>
        </w:tc>
        <w:tc>
          <w:tcPr>
            <w:tcW w:w="284" w:type="dxa"/>
            <w:tcBorders/>
            <w:vAlign w:val="center"/>
          </w:tcPr>
          <w:p>
            <w:pPr>
              <w:pStyle w:val="TableContents"/>
              <w:bidi w:val="0"/>
              <w:spacing w:before="0" w:after="0"/>
              <w:ind w:left="0" w:right="0" w:hanging="0"/>
              <w:jc w:val="center"/>
              <w:rPr/>
            </w:pPr>
            <w:r>
              <w:rPr/>
              <w:t>​</w:t>
            </w:r>
          </w:p>
        </w:tc>
        <w:tc>
          <w:tcPr>
            <w:tcW w:w="1276" w:type="dxa"/>
            <w:tcBorders/>
            <w:vAlign w:val="center"/>
          </w:tcPr>
          <w:p>
            <w:pPr>
              <w:pStyle w:val="TableContents"/>
              <w:bidi w:val="0"/>
              <w:spacing w:before="0" w:after="0"/>
              <w:ind w:left="0" w:right="0" w:hanging="0"/>
              <w:jc w:val="center"/>
              <w:rPr/>
            </w:pPr>
            <w:r>
              <w:rPr/>
              <w:t>​</w:t>
            </w:r>
          </w:p>
        </w:tc>
      </w:tr>
      <w:tr>
        <w:trPr/>
        <w:tc>
          <w:tcPr>
            <w:tcW w:w="540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Internal-use software developed</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447,462</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420,722</w:t>
            </w:r>
          </w:p>
        </w:tc>
      </w:tr>
      <w:tr>
        <w:trPr/>
        <w:tc>
          <w:tcPr>
            <w:tcW w:w="54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Less accumulated depreciation</w:t>
            </w:r>
          </w:p>
        </w:tc>
        <w:tc>
          <w:tcPr>
            <w:tcW w:w="346"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(262,623)</w:t>
            </w:r>
          </w:p>
        </w:tc>
        <w:tc>
          <w:tcPr>
            <w:tcW w:w="346" w:type="dxa"/>
            <w:tcBorders/>
            <w:vAlign w:val="center"/>
          </w:tcPr>
          <w:p>
            <w:pPr>
              <w:pStyle w:val="TableContents"/>
              <w:bidi w:val="0"/>
              <w:spacing w:before="0" w:after="0"/>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(244,374)</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Internal-use software developed, net of accumulated depreciation</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 </w:t>
            </w:r>
          </w:p>
        </w:tc>
        <w:tc>
          <w:tcPr>
            <w:tcW w:w="10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184,839</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 </w:t>
            </w:r>
          </w:p>
        </w:tc>
        <w:tc>
          <w:tcPr>
            <w:tcW w:w="12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176,348</w:t>
            </w:r>
          </w:p>
        </w:tc>
      </w:tr>
      <w:tr>
        <w:trPr/>
        <w:tc>
          <w:tcPr>
            <w:tcW w:w="54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In-process internal-use software</w:t>
            </w:r>
          </w:p>
        </w:tc>
        <w:tc>
          <w:tcPr>
            <w:tcW w:w="346"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23,916</w:t>
            </w:r>
          </w:p>
        </w:tc>
        <w:tc>
          <w:tcPr>
            <w:tcW w:w="346" w:type="dxa"/>
            <w:tcBorders/>
            <w:vAlign w:val="center"/>
          </w:tcPr>
          <w:p>
            <w:pPr>
              <w:pStyle w:val="TableContents"/>
              <w:bidi w:val="0"/>
              <w:spacing w:before="0" w:after="0"/>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21,416</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Internal-use software developed, net</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208,755</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197,764</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766" w:type="dxa"/>
        <w:jc w:val="left"/>
        <w:tblInd w:w="0" w:type="dxa"/>
        <w:tblLayout w:type="fixed"/>
        <w:tblCellMar>
          <w:top w:w="0" w:type="dxa"/>
          <w:left w:w="0" w:type="dxa"/>
          <w:bottom w:w="0" w:type="dxa"/>
          <w:right w:w="0" w:type="dxa"/>
        </w:tblCellMar>
      </w:tblPr>
      <w:tblGrid>
        <w:gridCol w:w="6766"/>
      </w:tblGrid>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bookmarkStart w:id="1282" w:name="Tc_cXIM18nMXUGNepeYm6ZvFQ_6_5"/>
      <w:bookmarkStart w:id="1283" w:name="Tc_cC02KP-f90-J9CF0Bjlqaw_6_2"/>
      <w:bookmarkStart w:id="1284" w:name="Tc_cXnLOLKU1UOVILblLWzFbQ_6_0"/>
      <w:bookmarkStart w:id="1285" w:name="Tc_JXnO1cOP506x99KCo6x5GQ_5_0"/>
      <w:bookmarkStart w:id="1286" w:name="Tc_XZa26N_WTUKMOaW9EL1CqQ_4_5"/>
      <w:bookmarkStart w:id="1287" w:name="Tc_YUjClEHp-Ey3WR5qFMxRMQ_4_2"/>
      <w:bookmarkStart w:id="1288" w:name="Tc_9v8c733nC0KZXzBNXL4Cmw_4_0"/>
      <w:bookmarkStart w:id="1289" w:name="Tc_dW-JHH4hjUG4jyWfGkh0fQ_3_2"/>
      <w:bookmarkStart w:id="1290" w:name="Tc_3_ZmWCWX-0yDRzRe6u7rgw_2_5"/>
      <w:bookmarkStart w:id="1291" w:name="Tc_t7MeOPytqUmBrkEAVKEklg_2_2"/>
      <w:bookmarkStart w:id="1292" w:name="Tc_PpcIMIJJyE-VTK91IKJmog_1_2"/>
      <w:bookmarkEnd w:id="1282"/>
      <w:bookmarkEnd w:id="1283"/>
      <w:bookmarkEnd w:id="1284"/>
      <w:bookmarkEnd w:id="1285"/>
      <w:bookmarkEnd w:id="1286"/>
      <w:bookmarkEnd w:id="1287"/>
      <w:bookmarkEnd w:id="1288"/>
      <w:bookmarkEnd w:id="1289"/>
      <w:bookmarkEnd w:id="1290"/>
      <w:bookmarkEnd w:id="1291"/>
      <w:bookmarkEnd w:id="1292"/>
      <w:r>
        <w:rPr>
          <w:rFonts w:ascii="Times New Roman;Times;serif" w:hAnsi="Times New Roman;Times;serif"/>
          <w:sz w:val="20"/>
        </w:rPr>
        <w:t>Amounts included in property and equipment additions related to capitalized internal-use software on the condensed consolidated statements of cash flows are as follows:</w:t>
      </w:r>
      <w:r>
        <w:rPr>
          <w:rFonts w:ascii="Times New Roman;Times;serif" w:hAnsi="Times New Roman;Times;serif"/>
          <w:color w:val="FF0000"/>
          <w:sz w:val="20"/>
        </w:rPr>
        <w:t xml:space="preserve"> </w:t>
      </w:r>
    </w:p>
    <w:p>
      <w:pPr>
        <w:pStyle w:val="TextBody"/>
        <w:bidi w:val="0"/>
        <w:spacing w:before="0" w:after="0"/>
        <w:ind w:left="0" w:right="0" w:hanging="0"/>
        <w:jc w:val="both"/>
        <w:rPr/>
      </w:pPr>
      <w:r>
        <w:rPr/>
        <w:t>​</w:t>
      </w:r>
    </w:p>
    <w:tbl>
      <w:tblPr>
        <w:tblW w:w="6061" w:type="dxa"/>
        <w:jc w:val="left"/>
        <w:tblInd w:w="0" w:type="dxa"/>
        <w:tblLayout w:type="fixed"/>
        <w:tblCellMar>
          <w:top w:w="0" w:type="dxa"/>
          <w:left w:w="0" w:type="dxa"/>
          <w:bottom w:w="0" w:type="dxa"/>
          <w:right w:w="0" w:type="dxa"/>
        </w:tblCellMar>
      </w:tblPr>
      <w:tblGrid>
        <w:gridCol w:w="2731"/>
        <w:gridCol w:w="346"/>
        <w:gridCol w:w="315"/>
        <w:gridCol w:w="1010"/>
        <w:gridCol w:w="162"/>
        <w:gridCol w:w="315"/>
        <w:gridCol w:w="1182"/>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734185" cy="175260"/>
                      <wp:effectExtent l="0" t="0" r="0" b="0"/>
                      <wp:wrapNone/>
                      <wp:docPr id="180" name="Frame180"/>
                      <a:graphic xmlns:a="http://schemas.openxmlformats.org/drawingml/2006/main">
                        <a:graphicData uri="http://schemas.microsoft.com/office/word/2010/wordprocessingShape">
                          <wps:wsp>
                            <wps:cNvSpPr txBox="1"/>
                            <wps:spPr>
                              <a:xfrm>
                                <a:off x="0" y="0"/>
                                <a:ext cx="173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19710" cy="175260"/>
                      <wp:effectExtent l="0" t="0" r="0" b="0"/>
                      <wp:wrapNone/>
                      <wp:docPr id="181" name="Frame1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00025" cy="175260"/>
                      <wp:effectExtent l="0" t="0" r="0" b="0"/>
                      <wp:wrapNone/>
                      <wp:docPr id="182" name="Frame182"/>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1350" cy="175260"/>
                      <wp:effectExtent l="0" t="0" r="0" b="0"/>
                      <wp:wrapNone/>
                      <wp:docPr id="183" name="Frame183"/>
                      <a:graphic xmlns:a="http://schemas.openxmlformats.org/drawingml/2006/main">
                        <a:graphicData uri="http://schemas.microsoft.com/office/word/2010/wordprocessingShape">
                          <wps:wsp>
                            <wps:cNvSpPr txBox="1"/>
                            <wps:spPr>
                              <a:xfrm>
                                <a:off x="0" y="0"/>
                                <a:ext cx="641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02870" cy="175260"/>
                      <wp:effectExtent l="0" t="0" r="0" b="0"/>
                      <wp:wrapNone/>
                      <wp:docPr id="184" name="Frame184"/>
                      <a:graphic xmlns:a="http://schemas.openxmlformats.org/drawingml/2006/main">
                        <a:graphicData uri="http://schemas.microsoft.com/office/word/2010/wordprocessingShape">
                          <wps:wsp>
                            <wps:cNvSpPr txBox="1"/>
                            <wps:spPr>
                              <a:xfrm>
                                <a:off x="0" y="0"/>
                                <a:ext cx="102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0025" cy="175260"/>
                      <wp:effectExtent l="0" t="0" r="0" b="0"/>
                      <wp:wrapNone/>
                      <wp:docPr id="185" name="Frame185"/>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750570" cy="175260"/>
                      <wp:effectExtent l="0" t="0" r="0" b="0"/>
                      <wp:wrapNone/>
                      <wp:docPr id="186" name="Frame186"/>
                      <a:graphic xmlns:a="http://schemas.openxmlformats.org/drawingml/2006/main">
                        <a:graphicData uri="http://schemas.microsoft.com/office/word/2010/wordprocessingShape">
                          <wps:wsp>
                            <wps:cNvSpPr txBox="1"/>
                            <wps:spPr>
                              <a:xfrm>
                                <a:off x="0" y="0"/>
                                <a:ext cx="750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98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 </w:t>
            </w:r>
          </w:p>
        </w:tc>
      </w:tr>
      <w:tr>
        <w:trPr/>
        <w:tc>
          <w:tcPr>
            <w:tcW w:w="27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3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62" w:type="dxa"/>
            <w:tcBorders/>
            <w:vAlign w:val="center"/>
          </w:tcPr>
          <w:p>
            <w:pPr>
              <w:pStyle w:val="TableContents"/>
              <w:bidi w:val="0"/>
              <w:spacing w:before="0" w:after="0"/>
              <w:ind w:left="0" w:right="0" w:hanging="0"/>
              <w:jc w:val="center"/>
              <w:rPr/>
            </w:pPr>
            <w:r>
              <w:rPr/>
              <w:t>​</w:t>
            </w:r>
          </w:p>
        </w:tc>
        <w:tc>
          <w:tcPr>
            <w:tcW w:w="14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061"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7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98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273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Cloud-based customer solutions</w:t>
            </w:r>
          </w:p>
        </w:tc>
        <w:tc>
          <w:tcPr>
            <w:tcW w:w="346" w:type="dxa"/>
            <w:tcBorders/>
            <w:shd w:fill="CCEEFF" w:val="clear"/>
            <w:vAlign w:val="center"/>
          </w:tcPr>
          <w:p>
            <w:pPr>
              <w:pStyle w:val="TableContents"/>
              <w:bidi w:val="0"/>
              <w:spacing w:before="0" w:after="0"/>
              <w:ind w:left="0" w:right="0" w:hanging="0"/>
              <w:jc w:val="left"/>
              <w:rPr/>
            </w:pPr>
            <w:r>
              <w:rPr/>
              <w:t>  ​ ​ ​</w:t>
            </w:r>
          </w:p>
        </w:tc>
        <w:tc>
          <w:tcPr>
            <w:tcW w:w="3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17,614</w:t>
            </w:r>
          </w:p>
        </w:tc>
        <w:tc>
          <w:tcPr>
            <w:tcW w:w="162"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15,084</w:t>
            </w:r>
          </w:p>
        </w:tc>
      </w:tr>
      <w:tr>
        <w:trPr/>
        <w:tc>
          <w:tcPr>
            <w:tcW w:w="27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Internal systems and tools</w:t>
            </w:r>
          </w:p>
        </w:tc>
        <w:tc>
          <w:tcPr>
            <w:tcW w:w="346" w:type="dxa"/>
            <w:tcBorders/>
            <w:vAlign w:val="center"/>
          </w:tcPr>
          <w:p>
            <w:pPr>
              <w:pStyle w:val="TableContents"/>
              <w:bidi w:val="0"/>
              <w:spacing w:before="0" w:after="0"/>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6,238</w:t>
            </w:r>
          </w:p>
        </w:tc>
        <w:tc>
          <w:tcPr>
            <w:tcW w:w="162" w:type="dxa"/>
            <w:tcBorders/>
            <w:vAlign w:val="center"/>
          </w:tcPr>
          <w:p>
            <w:pPr>
              <w:pStyle w:val="TableContents"/>
              <w:bidi w:val="0"/>
              <w:spacing w:before="0" w:after="0"/>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4,762</w:t>
            </w:r>
          </w:p>
        </w:tc>
      </w:tr>
      <w:tr>
        <w:trPr/>
        <w:tc>
          <w:tcPr>
            <w:tcW w:w="273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23,852</w:t>
            </w:r>
          </w:p>
        </w:tc>
        <w:tc>
          <w:tcPr>
            <w:tcW w:w="162" w:type="dxa"/>
            <w:tcBorders/>
            <w:shd w:fill="CCEEFF" w:val="clear"/>
            <w:vAlign w:val="center"/>
          </w:tcPr>
          <w:p>
            <w:pPr>
              <w:pStyle w:val="TableContents"/>
              <w:bidi w:val="0"/>
              <w:spacing w:before="0" w:after="0"/>
              <w:ind w:left="0" w:right="0" w:hanging="0"/>
              <w:jc w:val="left"/>
              <w:rPr/>
            </w:pPr>
            <w:r>
              <w:rPr/>
              <w:t>​</w:t>
            </w:r>
          </w:p>
        </w:tc>
        <w:tc>
          <w:tcPr>
            <w:tcW w:w="3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19,846</w:t>
            </w:r>
          </w:p>
        </w:tc>
      </w:tr>
    </w:tbl>
    <w:p>
      <w:pPr>
        <w:pStyle w:val="TextBody"/>
        <w:bidi w:val="0"/>
        <w:spacing w:before="0" w:after="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In-process internal-use software developed is not depreciated until it is available for its intended use. Depreciation expense for internal-use software developed for cloud-based customer solutions for the three months ended March 31, 2026 and 2025 was $14,203 and $10,063, respectively, and is included in cost of revenues, software subscriptions in the condensed consolidated statements of comprehensive income.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Depreciation expense for internal-use software developed for internal systems and tools for the three months ended March 31, 2026 and 2025 was $5,253 and $4,805, respectively, and is included in depreciation and amortization in the condensed consolidated statements of comprehensive income.</w:t>
      </w:r>
    </w:p>
    <w:p>
      <w:pPr>
        <w:pStyle w:val="TextBody"/>
        <w:bidi w:val="0"/>
        <w:spacing w:before="0" w:after="240"/>
        <w:ind w:left="0" w:right="0" w:firstLine="720"/>
        <w:jc w:val="both"/>
        <w:rPr>
          <w:color w:val="1F497D"/>
        </w:rPr>
      </w:pPr>
      <w:r>
        <w:rPr>
          <w:color w:val="1F497D"/>
        </w:rPr>
        <w:t>​</w:t>
      </w:r>
    </w:p>
    <w:p>
      <w:pPr>
        <w:pStyle w:val="TextBody"/>
        <w:bidi w:val="0"/>
        <w:spacing w:before="0" w:after="240"/>
        <w:ind w:left="0" w:right="0" w:hanging="0"/>
        <w:jc w:val="left"/>
        <w:rPr>
          <w:rFonts w:ascii="Times New Roman;Times;serif" w:hAnsi="Times New Roman;Times;serif"/>
          <w:b/>
          <w:sz w:val="20"/>
        </w:rPr>
      </w:pPr>
      <w:bookmarkStart w:id="1293" w:name="Tc__vFvdsoZV0mzFCrDHrV8hQ_8_4"/>
      <w:bookmarkStart w:id="1294" w:name="Tc_OO9AtK5HBkyhEUhtgusmTg_8_1"/>
      <w:bookmarkStart w:id="1295" w:name="Tc_fvzlnRKQNEW4xlEDMkztiw_8_0"/>
      <w:bookmarkStart w:id="1296" w:name="Tc_zTWUd_MJ9kO5_WepIRS3MA_7_0"/>
      <w:bookmarkStart w:id="1297" w:name="Tc_aw8_-7uI3EWZ2VWVfF8q9g_6_0"/>
      <w:bookmarkStart w:id="1298" w:name="Tc_aQYp4njUJEqtNHIXrQrQ2w_5_0"/>
      <w:bookmarkStart w:id="1299" w:name="Tc_uOl4C9cq3EyRaG_e1LQZcQ_4_4"/>
      <w:bookmarkStart w:id="1300" w:name="Tc_O6ebRka9d0mUAI15rRQY3A_4_1"/>
      <w:bookmarkStart w:id="1301" w:name="Tc_KYc5oojaL0GtlmglUuEwnA_4_0"/>
      <w:bookmarkStart w:id="1302" w:name="Tc_bKafVM0U00qY1T5m3nDSew_3_1"/>
      <w:bookmarkStart w:id="1303" w:name="Tc_OU1VnM5luEe2FvcIbhoVUw_2_4"/>
      <w:bookmarkStart w:id="1304" w:name="Tc_Jfzt_sOrxEGQHz5becRqYA_2_1"/>
      <w:bookmarkStart w:id="1305" w:name="Tc_sBmHgqKb60qsrQ_TVK2pEw_1_4"/>
      <w:bookmarkStart w:id="1306" w:name="Tc_vvu4aO_MdkuXxsbyC50QPw_1_1"/>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r>
        <w:rPr>
          <w:rFonts w:ascii="Times New Roman;Times;serif" w:hAnsi="Times New Roman;Times;serif"/>
          <w:b/>
          <w:sz w:val="20"/>
        </w:rPr>
        <w:t xml:space="preserve">6.    CAPITALIZED SOFTWARE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Capitalized software includes acquired software and direct labor and related expenses for software developed for sale for new products and enhancements to existing products.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major components of capitalized software are as follows:</w:t>
      </w:r>
    </w:p>
    <w:p>
      <w:pPr>
        <w:pStyle w:val="TextBody"/>
        <w:bidi w:val="0"/>
        <w:spacing w:before="0" w:after="0"/>
        <w:ind w:left="0" w:right="0" w:hanging="0"/>
        <w:jc w:val="left"/>
        <w:rPr/>
      </w:pPr>
      <w:r>
        <w:rPr/>
        <w:t>​</w:t>
      </w:r>
    </w:p>
    <w:tbl>
      <w:tblPr>
        <w:tblW w:w="7520" w:type="dxa"/>
        <w:jc w:val="left"/>
        <w:tblInd w:w="0" w:type="dxa"/>
        <w:tblLayout w:type="fixed"/>
        <w:tblCellMar>
          <w:top w:w="0" w:type="dxa"/>
          <w:left w:w="0" w:type="dxa"/>
          <w:bottom w:w="0" w:type="dxa"/>
          <w:right w:w="0" w:type="dxa"/>
        </w:tblCellMar>
      </w:tblPr>
      <w:tblGrid>
        <w:gridCol w:w="4486"/>
        <w:gridCol w:w="250"/>
        <w:gridCol w:w="1070"/>
        <w:gridCol w:w="109"/>
        <w:gridCol w:w="292"/>
        <w:gridCol w:w="1313"/>
      </w:tblGrid>
      <w:tr>
        <w:trPr/>
        <w:tc>
          <w:tcPr>
            <w:tcW w:w="4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848610" cy="175260"/>
                      <wp:effectExtent l="0" t="0" r="0" b="0"/>
                      <wp:wrapNone/>
                      <wp:docPr id="187" name="Frame187"/>
                      <a:graphic xmlns:a="http://schemas.openxmlformats.org/drawingml/2006/main">
                        <a:graphicData uri="http://schemas.microsoft.com/office/word/2010/wordprocessingShape">
                          <wps:wsp>
                            <wps:cNvSpPr txBox="1"/>
                            <wps:spPr>
                              <a:xfrm>
                                <a:off x="0" y="0"/>
                                <a:ext cx="2848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58750" cy="175260"/>
                      <wp:effectExtent l="0" t="0" r="0" b="0"/>
                      <wp:wrapNone/>
                      <wp:docPr id="188" name="Frame188"/>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79450" cy="175260"/>
                      <wp:effectExtent l="0" t="0" r="0" b="0"/>
                      <wp:wrapNone/>
                      <wp:docPr id="189" name="Frame189"/>
                      <a:graphic xmlns:a="http://schemas.openxmlformats.org/drawingml/2006/main">
                        <a:graphicData uri="http://schemas.microsoft.com/office/word/2010/wordprocessingShape">
                          <wps:wsp>
                            <wps:cNvSpPr txBox="1"/>
                            <wps:spPr>
                              <a:xfrm>
                                <a:off x="0" y="0"/>
                                <a:ext cx="679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9215" cy="175260"/>
                      <wp:effectExtent l="0" t="0" r="0" b="0"/>
                      <wp:wrapNone/>
                      <wp:docPr id="190" name="Frame1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85420" cy="175260"/>
                      <wp:effectExtent l="0" t="0" r="0" b="0"/>
                      <wp:wrapNone/>
                      <wp:docPr id="191" name="Frame191"/>
                      <a:graphic xmlns:a="http://schemas.openxmlformats.org/drawingml/2006/main">
                        <a:graphicData uri="http://schemas.microsoft.com/office/word/2010/wordprocessingShape">
                          <wps:wsp>
                            <wps:cNvSpPr txBox="1"/>
                            <wps:spPr>
                              <a:xfrm>
                                <a:off x="0" y="0"/>
                                <a:ext cx="185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833755" cy="175260"/>
                      <wp:effectExtent l="0" t="0" r="0" b="0"/>
                      <wp:wrapNone/>
                      <wp:docPr id="192" name="Frame192"/>
                      <a:graphic xmlns:a="http://schemas.openxmlformats.org/drawingml/2006/main">
                        <a:graphicData uri="http://schemas.microsoft.com/office/word/2010/wordprocessingShape">
                          <wps:wsp>
                            <wps:cNvSpPr txBox="1"/>
                            <wps:spPr>
                              <a:xfrm>
                                <a:off x="0" y="0"/>
                                <a:ext cx="833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486" w:type="dxa"/>
            <w:tcBorders/>
            <w:vAlign w:val="center"/>
          </w:tcPr>
          <w:p>
            <w:pPr>
              <w:pStyle w:val="TableContents"/>
              <w:bidi w:val="0"/>
              <w:spacing w:before="0" w:after="1"/>
              <w:ind w:left="0" w:right="0" w:hanging="0"/>
              <w:jc w:val="left"/>
              <w:rPr/>
            </w:pPr>
            <w:r>
              <w:rPr/>
              <w:t>​</w:t>
            </w:r>
          </w:p>
        </w:tc>
        <w:tc>
          <w:tcPr>
            <w:tcW w:w="132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March 31, </w:t>
            </w:r>
          </w:p>
        </w:tc>
        <w:tc>
          <w:tcPr>
            <w:tcW w:w="109" w:type="dxa"/>
            <w:tcBorders/>
            <w:vAlign w:val="center"/>
          </w:tcPr>
          <w:p>
            <w:pPr>
              <w:pStyle w:val="TableContents"/>
              <w:bidi w:val="0"/>
              <w:spacing w:before="0" w:after="1"/>
              <w:ind w:left="0" w:right="0" w:hanging="0"/>
              <w:jc w:val="left"/>
              <w:rPr/>
            </w:pPr>
            <w:r>
              <w:rPr/>
              <w:t>​</w:t>
            </w:r>
          </w:p>
        </w:tc>
        <w:tc>
          <w:tcPr>
            <w:tcW w:w="160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As of December 31, </w:t>
            </w:r>
          </w:p>
        </w:tc>
      </w:tr>
      <w:tr>
        <w:trPr/>
        <w:tc>
          <w:tcPr>
            <w:tcW w:w="4486" w:type="dxa"/>
            <w:tcBorders/>
            <w:vAlign w:val="center"/>
          </w:tcPr>
          <w:p>
            <w:pPr>
              <w:pStyle w:val="TableContents"/>
              <w:bidi w:val="0"/>
              <w:spacing w:before="0" w:after="1"/>
              <w:ind w:left="0" w:right="0" w:hanging="0"/>
              <w:jc w:val="left"/>
              <w:rPr/>
            </w:pPr>
            <w:r>
              <w:rPr/>
              <w:t>​</w:t>
            </w:r>
          </w:p>
        </w:tc>
        <w:tc>
          <w:tcPr>
            <w:tcW w:w="13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1"/>
              <w:ind w:left="0" w:right="0" w:hanging="0"/>
              <w:jc w:val="center"/>
              <w:rPr/>
            </w:pPr>
            <w:r>
              <w:rPr/>
              <w:t>​</w:t>
            </w:r>
          </w:p>
        </w:tc>
        <w:tc>
          <w:tcPr>
            <w:tcW w:w="16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486" w:type="dxa"/>
            <w:tcBorders/>
            <w:vAlign w:val="center"/>
          </w:tcPr>
          <w:p>
            <w:pPr>
              <w:pStyle w:val="TableContents"/>
              <w:bidi w:val="0"/>
              <w:spacing w:before="0" w:after="1"/>
              <w:ind w:left="0" w:right="0" w:hanging="0"/>
              <w:jc w:val="left"/>
              <w:rPr/>
            </w:pPr>
            <w:r>
              <w:rPr/>
              <w:t>​</w:t>
            </w:r>
          </w:p>
        </w:tc>
        <w:tc>
          <w:tcPr>
            <w:tcW w:w="132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09" w:type="dxa"/>
            <w:tcBorders/>
            <w:vAlign w:val="center"/>
          </w:tcPr>
          <w:p>
            <w:pPr>
              <w:pStyle w:val="TableContents"/>
              <w:bidi w:val="0"/>
              <w:spacing w:before="0" w:after="1"/>
              <w:ind w:left="0" w:right="0" w:hanging="0"/>
              <w:jc w:val="center"/>
              <w:rPr/>
            </w:pPr>
            <w:r>
              <w:rPr/>
              <w:t>​</w:t>
            </w:r>
          </w:p>
        </w:tc>
        <w:tc>
          <w:tcPr>
            <w:tcW w:w="292" w:type="dxa"/>
            <w:tcBorders/>
            <w:vAlign w:val="center"/>
          </w:tcPr>
          <w:p>
            <w:pPr>
              <w:pStyle w:val="TableContents"/>
              <w:bidi w:val="0"/>
              <w:spacing w:before="0" w:after="1"/>
              <w:ind w:left="0" w:right="0" w:hanging="0"/>
              <w:jc w:val="center"/>
              <w:rPr/>
            </w:pPr>
            <w:r>
              <w:rPr/>
              <w:t>​</w:t>
            </w:r>
          </w:p>
        </w:tc>
        <w:tc>
          <w:tcPr>
            <w:tcW w:w="1313" w:type="dxa"/>
            <w:tcBorders/>
            <w:vAlign w:val="center"/>
          </w:tcPr>
          <w:p>
            <w:pPr>
              <w:pStyle w:val="TableContents"/>
              <w:bidi w:val="0"/>
              <w:spacing w:before="0" w:after="1"/>
              <w:ind w:left="0" w:right="0" w:hanging="0"/>
              <w:jc w:val="center"/>
              <w:rPr/>
            </w:pPr>
            <w:r>
              <w:rPr/>
              <w:t>​</w:t>
            </w:r>
          </w:p>
        </w:tc>
      </w:tr>
      <w:tr>
        <w:trPr/>
        <w:tc>
          <w:tcPr>
            <w:tcW w:w="448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Capitalized software</w:t>
            </w:r>
          </w:p>
        </w:tc>
        <w:tc>
          <w:tcPr>
            <w:tcW w:w="2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166,728</w:t>
            </w:r>
          </w:p>
        </w:tc>
        <w:tc>
          <w:tcPr>
            <w:tcW w:w="109" w:type="dxa"/>
            <w:tcBorders/>
            <w:shd w:fill="CCEEFF" w:val="clear"/>
            <w:vAlign w:val="center"/>
          </w:tcPr>
          <w:p>
            <w:pPr>
              <w:pStyle w:val="TableContents"/>
              <w:bidi w:val="0"/>
              <w:spacing w:before="0" w:after="1"/>
              <w:ind w:left="0" w:right="0" w:hanging="0"/>
              <w:jc w:val="left"/>
              <w:rPr/>
            </w:pPr>
            <w:r>
              <w:rPr/>
              <w:t>​</w:t>
            </w:r>
          </w:p>
        </w:tc>
        <w:tc>
          <w:tcPr>
            <w:tcW w:w="29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161,402</w:t>
            </w:r>
          </w:p>
        </w:tc>
      </w:tr>
      <w:tr>
        <w:trPr/>
        <w:tc>
          <w:tcPr>
            <w:tcW w:w="448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Less accumulated amortization</w:t>
            </w:r>
          </w:p>
        </w:tc>
        <w:tc>
          <w:tcPr>
            <w:tcW w:w="25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7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(132,762)</w:t>
            </w:r>
          </w:p>
        </w:tc>
        <w:tc>
          <w:tcPr>
            <w:tcW w:w="109" w:type="dxa"/>
            <w:tcBorders/>
            <w:vAlign w:val="center"/>
          </w:tcPr>
          <w:p>
            <w:pPr>
              <w:pStyle w:val="TableContents"/>
              <w:bidi w:val="0"/>
              <w:spacing w:before="0" w:after="1"/>
              <w:ind w:left="0" w:right="0" w:hanging="0"/>
              <w:jc w:val="left"/>
              <w:rPr/>
            </w:pPr>
            <w:r>
              <w:rPr/>
              <w:t>​</w:t>
            </w:r>
          </w:p>
        </w:tc>
        <w:tc>
          <w:tcPr>
            <w:tcW w:w="29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3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(126,890)</w:t>
            </w:r>
          </w:p>
        </w:tc>
      </w:tr>
      <w:tr>
        <w:trPr/>
        <w:tc>
          <w:tcPr>
            <w:tcW w:w="44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Capitalized software, net of accumulated depreciation</w:t>
            </w:r>
          </w:p>
        </w:tc>
        <w:tc>
          <w:tcPr>
            <w:tcW w:w="250" w:type="dxa"/>
            <w:tcBorders/>
            <w:shd w:fill="CCEEFF" w:val="clear"/>
            <w:vAlign w:val="center"/>
          </w:tcPr>
          <w:p>
            <w:pPr>
              <w:pStyle w:val="TableContents"/>
              <w:bidi w:val="0"/>
              <w:spacing w:before="0" w:after="1"/>
              <w:ind w:left="0" w:right="0" w:hanging="0"/>
              <w:jc w:val="left"/>
              <w:rPr/>
            </w:pPr>
            <w:r>
              <w:rPr/>
              <w:t> </w:t>
            </w:r>
          </w:p>
        </w:tc>
        <w:tc>
          <w:tcPr>
            <w:tcW w:w="10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33,966</w:t>
            </w:r>
          </w:p>
        </w:tc>
        <w:tc>
          <w:tcPr>
            <w:tcW w:w="109" w:type="dxa"/>
            <w:tcBorders/>
            <w:shd w:fill="CCEEFF" w:val="clear"/>
            <w:vAlign w:val="center"/>
          </w:tcPr>
          <w:p>
            <w:pPr>
              <w:pStyle w:val="TableContents"/>
              <w:bidi w:val="0"/>
              <w:spacing w:before="0" w:after="1"/>
              <w:ind w:left="0" w:right="0" w:hanging="0"/>
              <w:jc w:val="left"/>
              <w:rPr/>
            </w:pPr>
            <w:r>
              <w:rPr/>
              <w:t>​</w:t>
            </w:r>
          </w:p>
        </w:tc>
        <w:tc>
          <w:tcPr>
            <w:tcW w:w="292" w:type="dxa"/>
            <w:tcBorders/>
            <w:shd w:fill="CCEEFF" w:val="clear"/>
            <w:vAlign w:val="center"/>
          </w:tcPr>
          <w:p>
            <w:pPr>
              <w:pStyle w:val="TableContents"/>
              <w:bidi w:val="0"/>
              <w:spacing w:before="0" w:after="1"/>
              <w:ind w:left="0" w:right="0" w:hanging="0"/>
              <w:jc w:val="left"/>
              <w:rPr/>
            </w:pPr>
            <w:r>
              <w:rPr/>
              <w:t> </w:t>
            </w:r>
          </w:p>
        </w:tc>
        <w:tc>
          <w:tcPr>
            <w:tcW w:w="13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34,512</w:t>
            </w:r>
          </w:p>
        </w:tc>
      </w:tr>
      <w:tr>
        <w:trPr/>
        <w:tc>
          <w:tcPr>
            <w:tcW w:w="448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In-process capitalized software</w:t>
            </w:r>
          </w:p>
        </w:tc>
        <w:tc>
          <w:tcPr>
            <w:tcW w:w="25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7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1,287</w:t>
            </w:r>
          </w:p>
        </w:tc>
        <w:tc>
          <w:tcPr>
            <w:tcW w:w="109" w:type="dxa"/>
            <w:tcBorders/>
            <w:vAlign w:val="center"/>
          </w:tcPr>
          <w:p>
            <w:pPr>
              <w:pStyle w:val="TableContents"/>
              <w:bidi w:val="0"/>
              <w:spacing w:before="0" w:after="1"/>
              <w:ind w:left="0" w:right="0" w:hanging="0"/>
              <w:jc w:val="left"/>
              <w:rPr/>
            </w:pPr>
            <w:r>
              <w:rPr/>
              <w:t>​</w:t>
            </w:r>
          </w:p>
        </w:tc>
        <w:tc>
          <w:tcPr>
            <w:tcW w:w="29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3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968</w:t>
            </w:r>
          </w:p>
        </w:tc>
      </w:tr>
      <w:tr>
        <w:trPr/>
        <w:tc>
          <w:tcPr>
            <w:tcW w:w="44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Capitalized software, net</w:t>
            </w:r>
          </w:p>
        </w:tc>
        <w:tc>
          <w:tcPr>
            <w:tcW w:w="25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35,253</w:t>
            </w:r>
          </w:p>
        </w:tc>
        <w:tc>
          <w:tcPr>
            <w:tcW w:w="109" w:type="dxa"/>
            <w:tcBorders/>
            <w:shd w:fill="CCEEFF" w:val="clear"/>
            <w:vAlign w:val="center"/>
          </w:tcPr>
          <w:p>
            <w:pPr>
              <w:pStyle w:val="TableContents"/>
              <w:bidi w:val="0"/>
              <w:spacing w:before="0" w:after="1"/>
              <w:ind w:left="0" w:right="0" w:hanging="0"/>
              <w:jc w:val="left"/>
              <w:rPr/>
            </w:pPr>
            <w:r>
              <w:rPr/>
              <w:t>​</w:t>
            </w:r>
          </w:p>
        </w:tc>
        <w:tc>
          <w:tcPr>
            <w:tcW w:w="29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13"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35,480</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Software development costs capitalized for the three months ended March 31, 2026 and 2025 were $5,656 and $5,661, respectively.</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Capitalized software amortization expense, including amortization of acquired technology, was $5,883 and $5,792 for the three months ended March 31, 2026 and 2025, respectively, and is included in cost of revenues, software subscriptions in the condensed consolidated statements of comprehensive income.</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766" w:type="dxa"/>
        <w:jc w:val="left"/>
        <w:tblInd w:w="0" w:type="dxa"/>
        <w:tblLayout w:type="fixed"/>
        <w:tblCellMar>
          <w:top w:w="0" w:type="dxa"/>
          <w:left w:w="0" w:type="dxa"/>
          <w:bottom w:w="0" w:type="dxa"/>
          <w:right w:w="0" w:type="dxa"/>
        </w:tblCellMar>
      </w:tblPr>
      <w:tblGrid>
        <w:gridCol w:w="6766"/>
      </w:tblGrid>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307" w:name="Tc_TOszGveDNU-U8mY6yMNRRg_3_0"/>
      <w:bookmarkStart w:id="1308" w:name="Tc_jB7MSJueTE6qA3KfFqprjw_2_8"/>
      <w:bookmarkStart w:id="1309" w:name="Tc_TA0u6EAJe0arSwpA5_U1YA_2_5"/>
      <w:bookmarkStart w:id="1310" w:name="Tc_HTw9ZVij60G2R9Lz8mJGQA_2_0"/>
      <w:bookmarkStart w:id="1311" w:name="Tc_-DV6cMA4W0qafGVer2KanA_1_8"/>
      <w:bookmarkStart w:id="1312" w:name="Tc_KubjRHKNpU-btKbvk0g1BQ_1_5"/>
      <w:bookmarkStart w:id="1313" w:name="Tc_AMUc-uLZ2keLgZcrQrGIew_1_0"/>
      <w:bookmarkStart w:id="1314" w:name="Tc_lRI1vPtWo0WyrTFl-CshYg_8_8"/>
      <w:bookmarkStart w:id="1315" w:name="Tc_jbFuOFbD-ECGWvdBZuFa9A_8_5"/>
      <w:bookmarkStart w:id="1316" w:name="Tc_ibn3GGAgxEqZb1FEg-uQzw_8_0"/>
      <w:bookmarkStart w:id="1317" w:name="Tc_5t0xST1Awk6nan2urjGm_A_7_0"/>
      <w:bookmarkStart w:id="1318" w:name="Tc_0_3yu1CRf0CmxdxN2HD4eQ_6_8"/>
      <w:bookmarkStart w:id="1319" w:name="Tc_VllLy0ZNaUe-yVxSXJWWAA_6_5"/>
      <w:bookmarkStart w:id="1320" w:name="Tc_WX4xxojuPUq215PUMo_U0Q_6_0"/>
      <w:bookmarkStart w:id="1321" w:name="Tc_7UjK0Ku9bE26jEfxo9K9yQ_4_0"/>
      <w:bookmarkStart w:id="1322" w:name="Tc_JMpp7bD1dUGRJyGpu6g73w_3_6"/>
      <w:bookmarkStart w:id="1323" w:name="Tc_6FRnDeRMDUqNlxUIryTjAA_2_8"/>
      <w:bookmarkStart w:id="1324" w:name="Tc_gBgoTJ9LEEGrqtUe35nHmA_2_5"/>
      <w:bookmarkStart w:id="1325" w:name="Tc_S5sGFyghIECGTyFWusyA5A_1_8"/>
      <w:bookmarkStart w:id="1326" w:name="Tc_14EjxJ18pUKCmO0EhM_w5Q_1_5"/>
      <w:bookmarkStart w:id="1327" w:name="Tc_Uqf4sSORjkGhD2oKmg4xJQ_7_0"/>
      <w:bookmarkStart w:id="1328" w:name="Tc_OUGHMPZNgUako6vZNDMa6g_6_5"/>
      <w:bookmarkStart w:id="1329" w:name="Tc_F1g3gazJEU-e7BfYno_Gkw_6_2"/>
      <w:bookmarkStart w:id="1330" w:name="Tc_6dq_ZbJUcEupvujN5YZwjA_6_0"/>
      <w:bookmarkStart w:id="1331" w:name="Tc__348JQq0wESNRV0qaiODbw_5_0"/>
      <w:bookmarkStart w:id="1332" w:name="Tc_3y--LbSRQEeh5jBznmz7AA_4_5"/>
      <w:bookmarkStart w:id="1333" w:name="Tc_xe1LHi4dMEGF6Q0I90vU1Q_4_2"/>
      <w:bookmarkStart w:id="1334" w:name="Tc_4ONJXKacxkqJxw3NgxWf-w_4_0"/>
      <w:bookmarkStart w:id="1335" w:name="Tc_Kn-x_av1LU-yNZa53BPioA_3_3"/>
      <w:bookmarkStart w:id="1336" w:name="Tc_jbpAdRNvkU-v_lfFv4m9NA_2_5"/>
      <w:bookmarkStart w:id="1337" w:name="Tc_qaRyV-X9GU-I4KCSXBl82A_2_2"/>
      <w:bookmarkStart w:id="1338" w:name="Tc_9CHU85NMVkSfr5XvF2bGZQ_1_5"/>
      <w:bookmarkStart w:id="1339" w:name="Tc_duP_yGxyEkyQBwqUkLZQzA_1_2"/>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r>
        <w:rPr>
          <w:rFonts w:ascii="Times New Roman;Times;serif" w:hAnsi="Times New Roman;Times;serif"/>
          <w:b/>
          <w:sz w:val="20"/>
        </w:rPr>
        <w:t xml:space="preserve">7.    GOODWILL AND OTHER INTANGIBLE ASSETS </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 xml:space="preserve">Goodwill and other intangible assets are as follows for the periods presented: </w:t>
      </w:r>
    </w:p>
    <w:p>
      <w:pPr>
        <w:pStyle w:val="TextBody"/>
        <w:bidi w:val="0"/>
        <w:spacing w:before="0" w:after="0"/>
        <w:ind w:left="360" w:right="0" w:hanging="0"/>
        <w:jc w:val="both"/>
        <w:rPr/>
      </w:pPr>
      <w:r>
        <w:rPr/>
        <w:t>​</w:t>
      </w:r>
    </w:p>
    <w:tbl>
      <w:tblPr>
        <w:tblW w:w="8987" w:type="dxa"/>
        <w:jc w:val="left"/>
        <w:tblInd w:w="0" w:type="dxa"/>
        <w:tblLayout w:type="fixed"/>
        <w:tblCellMar>
          <w:top w:w="0" w:type="dxa"/>
          <w:left w:w="0" w:type="dxa"/>
          <w:bottom w:w="0" w:type="dxa"/>
          <w:right w:w="0" w:type="dxa"/>
        </w:tblCellMar>
      </w:tblPr>
      <w:tblGrid>
        <w:gridCol w:w="3806"/>
        <w:gridCol w:w="179"/>
        <w:gridCol w:w="395"/>
        <w:gridCol w:w="1779"/>
        <w:gridCol w:w="179"/>
        <w:gridCol w:w="530"/>
        <w:gridCol w:w="1965"/>
        <w:gridCol w:w="154"/>
      </w:tblGrid>
      <w:tr>
        <w:trPr/>
        <w:tc>
          <w:tcPr>
            <w:tcW w:w="3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416810" cy="175260"/>
                      <wp:effectExtent l="0" t="0" r="0" b="0"/>
                      <wp:wrapNone/>
                      <wp:docPr id="193" name="Frame193"/>
                      <a:graphic xmlns:a="http://schemas.openxmlformats.org/drawingml/2006/main">
                        <a:graphicData uri="http://schemas.microsoft.com/office/word/2010/wordprocessingShape">
                          <wps:wsp>
                            <wps:cNvSpPr txBox="1"/>
                            <wps:spPr>
                              <a:xfrm>
                                <a:off x="0" y="0"/>
                                <a:ext cx="2416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13665" cy="175260"/>
                      <wp:effectExtent l="0" t="0" r="0" b="0"/>
                      <wp:wrapNone/>
                      <wp:docPr id="194" name="Frame194"/>
                      <a:graphic xmlns:a="http://schemas.openxmlformats.org/drawingml/2006/main">
                        <a:graphicData uri="http://schemas.microsoft.com/office/word/2010/wordprocessingShape">
                          <wps:wsp>
                            <wps:cNvSpPr txBox="1"/>
                            <wps:spPr>
                              <a:xfrm>
                                <a:off x="0" y="0"/>
                                <a:ext cx="113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50825" cy="175260"/>
                      <wp:effectExtent l="0" t="0" r="0" b="0"/>
                      <wp:wrapNone/>
                      <wp:docPr id="195" name="Frame195"/>
                      <a:graphic xmlns:a="http://schemas.openxmlformats.org/drawingml/2006/main">
                        <a:graphicData uri="http://schemas.microsoft.com/office/word/2010/wordprocessingShape">
                          <wps:wsp>
                            <wps:cNvSpPr txBox="1"/>
                            <wps:spPr>
                              <a:xfrm>
                                <a:off x="0" y="0"/>
                                <a:ext cx="250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129665" cy="175260"/>
                      <wp:effectExtent l="0" t="0" r="0" b="0"/>
                      <wp:wrapNone/>
                      <wp:docPr id="196" name="Frame196"/>
                      <a:graphic xmlns:a="http://schemas.openxmlformats.org/drawingml/2006/main">
                        <a:graphicData uri="http://schemas.microsoft.com/office/word/2010/wordprocessingShape">
                          <wps:wsp>
                            <wps:cNvSpPr txBox="1"/>
                            <wps:spPr>
                              <a:xfrm>
                                <a:off x="0" y="0"/>
                                <a:ext cx="1129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13665" cy="175260"/>
                      <wp:effectExtent l="0" t="0" r="0" b="0"/>
                      <wp:wrapNone/>
                      <wp:docPr id="197" name="Frame197"/>
                      <a:graphic xmlns:a="http://schemas.openxmlformats.org/drawingml/2006/main">
                        <a:graphicData uri="http://schemas.microsoft.com/office/word/2010/wordprocessingShape">
                          <wps:wsp>
                            <wps:cNvSpPr txBox="1"/>
                            <wps:spPr>
                              <a:xfrm>
                                <a:off x="0" y="0"/>
                                <a:ext cx="113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336550" cy="175260"/>
                      <wp:effectExtent l="0" t="0" r="0" b="0"/>
                      <wp:wrapNone/>
                      <wp:docPr id="198" name="Frame198"/>
                      <a:graphic xmlns:a="http://schemas.openxmlformats.org/drawingml/2006/main">
                        <a:graphicData uri="http://schemas.microsoft.com/office/word/2010/wordprocessingShape">
                          <wps:wsp>
                            <wps:cNvSpPr txBox="1"/>
                            <wps:spPr>
                              <a:xfrm>
                                <a:off x="0" y="0"/>
                                <a:ext cx="336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247775" cy="175260"/>
                      <wp:effectExtent l="0" t="0" r="0" b="0"/>
                      <wp:wrapNone/>
                      <wp:docPr id="199" name="Frame199"/>
                      <a:graphic xmlns:a="http://schemas.openxmlformats.org/drawingml/2006/main">
                        <a:graphicData uri="http://schemas.microsoft.com/office/word/2010/wordprocessingShape">
                          <wps:wsp>
                            <wps:cNvSpPr txBox="1"/>
                            <wps:spPr>
                              <a:xfrm>
                                <a:off x="0" y="0"/>
                                <a:ext cx="1247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97790" cy="175260"/>
                      <wp:effectExtent l="0" t="0" r="0" b="0"/>
                      <wp:wrapNone/>
                      <wp:docPr id="200" name="Frame20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06" w:type="dxa"/>
            <w:tcBorders/>
            <w:vAlign w:val="center"/>
          </w:tcPr>
          <w:p>
            <w:pPr>
              <w:pStyle w:val="TableContents"/>
              <w:bidi w:val="0"/>
              <w:spacing w:before="0" w:after="0"/>
              <w:ind w:left="0" w:right="0" w:hanging="0"/>
              <w:jc w:val="left"/>
              <w:rPr/>
            </w:pPr>
            <w:r>
              <w:rPr/>
              <w:t>​</w:t>
            </w:r>
          </w:p>
        </w:tc>
        <w:tc>
          <w:tcPr>
            <w:tcW w:w="179" w:type="dxa"/>
            <w:tcBorders/>
            <w:vAlign w:val="center"/>
          </w:tcPr>
          <w:p>
            <w:pPr>
              <w:pStyle w:val="TableContents"/>
              <w:bidi w:val="0"/>
              <w:spacing w:before="0" w:after="0"/>
              <w:ind w:left="0" w:right="0" w:hanging="0"/>
              <w:jc w:val="left"/>
              <w:rPr/>
            </w:pPr>
            <w:r>
              <w:rPr/>
              <w:t>​</w:t>
            </w:r>
          </w:p>
        </w:tc>
        <w:tc>
          <w:tcPr>
            <w:tcW w:w="2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March 31, </w:t>
            </w:r>
          </w:p>
        </w:tc>
        <w:tc>
          <w:tcPr>
            <w:tcW w:w="17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24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c>
          <w:tcPr>
            <w:tcW w:w="154" w:type="dxa"/>
            <w:tcBorders/>
            <w:vAlign w:val="center"/>
          </w:tcPr>
          <w:p>
            <w:pPr>
              <w:pStyle w:val="TableContents"/>
              <w:bidi w:val="0"/>
              <w:spacing w:before="0" w:after="0"/>
              <w:ind w:left="0" w:right="0" w:hanging="0"/>
              <w:jc w:val="left"/>
              <w:rPr/>
            </w:pPr>
            <w:r>
              <w:rPr/>
              <w:t>​</w:t>
            </w:r>
          </w:p>
        </w:tc>
      </w:tr>
      <w:tr>
        <w:trPr/>
        <w:tc>
          <w:tcPr>
            <w:tcW w:w="3806" w:type="dxa"/>
            <w:tcBorders/>
            <w:vAlign w:val="center"/>
          </w:tcPr>
          <w:p>
            <w:pPr>
              <w:pStyle w:val="TableContents"/>
              <w:bidi w:val="0"/>
              <w:spacing w:before="0" w:after="0"/>
              <w:ind w:left="0" w:right="0" w:hanging="0"/>
              <w:jc w:val="left"/>
              <w:rPr/>
            </w:pPr>
            <w:r>
              <w:rPr/>
              <w:t>​</w:t>
            </w:r>
          </w:p>
        </w:tc>
        <w:tc>
          <w:tcPr>
            <w:tcW w:w="179" w:type="dxa"/>
            <w:tcBorders/>
            <w:vAlign w:val="center"/>
          </w:tcPr>
          <w:p>
            <w:pPr>
              <w:pStyle w:val="TableContents"/>
              <w:bidi w:val="0"/>
              <w:spacing w:before="0" w:after="0"/>
              <w:ind w:left="0" w:right="0" w:hanging="0"/>
              <w:jc w:val="left"/>
              <w:rPr/>
            </w:pPr>
            <w:r>
              <w:rPr/>
              <w:t>​</w:t>
            </w:r>
          </w:p>
        </w:tc>
        <w:tc>
          <w:tcPr>
            <w:tcW w:w="2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79" w:type="dxa"/>
            <w:tcBorders/>
            <w:vAlign w:val="center"/>
          </w:tcPr>
          <w:p>
            <w:pPr>
              <w:pStyle w:val="TableContents"/>
              <w:bidi w:val="0"/>
              <w:spacing w:before="0" w:after="0"/>
              <w:ind w:left="0" w:right="0" w:hanging="0"/>
              <w:jc w:val="center"/>
              <w:rPr/>
            </w:pPr>
            <w:r>
              <w:rPr/>
              <w:t>​</w:t>
            </w:r>
          </w:p>
        </w:tc>
        <w:tc>
          <w:tcPr>
            <w:tcW w:w="24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0"/>
              <w:ind w:left="0" w:right="0" w:hanging="0"/>
              <w:jc w:val="left"/>
              <w:rPr/>
            </w:pPr>
            <w:r>
              <w:rPr/>
              <w:t>​</w:t>
            </w:r>
          </w:p>
        </w:tc>
      </w:tr>
      <w:tr>
        <w:trPr/>
        <w:tc>
          <w:tcPr>
            <w:tcW w:w="3806" w:type="dxa"/>
            <w:tcBorders/>
            <w:vAlign w:val="center"/>
          </w:tcPr>
          <w:p>
            <w:pPr>
              <w:pStyle w:val="TableContents"/>
              <w:bidi w:val="0"/>
              <w:spacing w:before="0" w:after="0"/>
              <w:ind w:left="0" w:right="0" w:hanging="0"/>
              <w:jc w:val="left"/>
              <w:rPr/>
            </w:pPr>
            <w:r>
              <w:rPr/>
              <w:t>​</w:t>
            </w:r>
          </w:p>
        </w:tc>
        <w:tc>
          <w:tcPr>
            <w:tcW w:w="179" w:type="dxa"/>
            <w:tcBorders/>
            <w:vAlign w:val="center"/>
          </w:tcPr>
          <w:p>
            <w:pPr>
              <w:pStyle w:val="TableContents"/>
              <w:bidi w:val="0"/>
              <w:spacing w:before="0" w:after="0"/>
              <w:ind w:left="0" w:right="0" w:hanging="0"/>
              <w:jc w:val="left"/>
              <w:rPr/>
            </w:pPr>
            <w:r>
              <w:rPr/>
              <w:t>​</w:t>
            </w:r>
          </w:p>
        </w:tc>
        <w:tc>
          <w:tcPr>
            <w:tcW w:w="395" w:type="dxa"/>
            <w:tcBorders/>
            <w:vAlign w:val="center"/>
          </w:tcPr>
          <w:p>
            <w:pPr>
              <w:pStyle w:val="TableContents"/>
              <w:bidi w:val="0"/>
              <w:spacing w:before="0" w:after="0"/>
              <w:ind w:left="0" w:right="0" w:hanging="0"/>
              <w:jc w:val="left"/>
              <w:rPr/>
            </w:pPr>
            <w:r>
              <w:rPr/>
              <w:t>​</w:t>
            </w:r>
          </w:p>
        </w:tc>
        <w:tc>
          <w:tcPr>
            <w:tcW w:w="177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79" w:type="dxa"/>
            <w:tcBorders/>
            <w:vAlign w:val="center"/>
          </w:tcPr>
          <w:p>
            <w:pPr>
              <w:pStyle w:val="TableContents"/>
              <w:bidi w:val="0"/>
              <w:spacing w:before="0" w:after="0"/>
              <w:ind w:left="0" w:right="0" w:hanging="0"/>
              <w:jc w:val="center"/>
              <w:rPr/>
            </w:pPr>
            <w:r>
              <w:rPr/>
              <w:t>​</w:t>
            </w:r>
          </w:p>
        </w:tc>
        <w:tc>
          <w:tcPr>
            <w:tcW w:w="530" w:type="dxa"/>
            <w:tcBorders/>
            <w:vAlign w:val="center"/>
          </w:tcPr>
          <w:p>
            <w:pPr>
              <w:pStyle w:val="TableContents"/>
              <w:bidi w:val="0"/>
              <w:spacing w:before="0" w:after="0"/>
              <w:ind w:left="0" w:right="0" w:hanging="0"/>
              <w:jc w:val="left"/>
              <w:rPr/>
            </w:pPr>
            <w:r>
              <w:rPr/>
              <w:t>​</w:t>
            </w:r>
          </w:p>
        </w:tc>
        <w:tc>
          <w:tcPr>
            <w:tcW w:w="1965"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80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Goodwill </w:t>
            </w:r>
            <w:r>
              <w:rPr>
                <w:rFonts w:ascii="Times New Roman;Times;serif" w:hAnsi="Times New Roman;Times;serif"/>
                <w:sz w:val="15"/>
              </w:rPr>
              <w:t>(1)</w:t>
            </w:r>
          </w:p>
        </w:tc>
        <w:tc>
          <w:tcPr>
            <w:tcW w:w="179" w:type="dxa"/>
            <w:tcBorders/>
            <w:shd w:fill="CCEEFF" w:val="clear"/>
            <w:vAlign w:val="center"/>
          </w:tcPr>
          <w:p>
            <w:pPr>
              <w:pStyle w:val="TableContents"/>
              <w:bidi w:val="0"/>
              <w:spacing w:before="0" w:after="0"/>
              <w:ind w:left="0" w:right="0" w:hanging="0"/>
              <w:jc w:val="left"/>
              <w:rPr/>
            </w:pPr>
            <w:r>
              <w:rPr/>
              <w:t>​</w:t>
            </w:r>
          </w:p>
        </w:tc>
        <w:tc>
          <w:tcPr>
            <w:tcW w:w="3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402,429</w:t>
            </w:r>
          </w:p>
        </w:tc>
        <w:tc>
          <w:tcPr>
            <w:tcW w:w="179" w:type="dxa"/>
            <w:tcBorders/>
            <w:shd w:fill="CCEEFF" w:val="clear"/>
            <w:vAlign w:val="center"/>
          </w:tcPr>
          <w:p>
            <w:pPr>
              <w:pStyle w:val="TableContents"/>
              <w:bidi w:val="0"/>
              <w:spacing w:before="0" w:after="0"/>
              <w:ind w:left="0" w:right="0" w:hanging="0"/>
              <w:jc w:val="left"/>
              <w:rPr/>
            </w:pPr>
            <w:r>
              <w:rPr/>
              <w:t>​</w:t>
            </w:r>
          </w:p>
        </w:tc>
        <w:tc>
          <w:tcPr>
            <w:tcW w:w="5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9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392,493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8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intangible assets, net</w:t>
            </w:r>
          </w:p>
        </w:tc>
        <w:tc>
          <w:tcPr>
            <w:tcW w:w="179" w:type="dxa"/>
            <w:tcBorders/>
            <w:vAlign w:val="center"/>
          </w:tcPr>
          <w:p>
            <w:pPr>
              <w:pStyle w:val="TableContents"/>
              <w:bidi w:val="0"/>
              <w:spacing w:before="0" w:after="0"/>
              <w:ind w:left="0" w:right="0" w:hanging="0"/>
              <w:jc w:val="left"/>
              <w:rPr/>
            </w:pPr>
            <w:r>
              <w:rPr/>
              <w:t>​</w:t>
            </w:r>
          </w:p>
        </w:tc>
        <w:tc>
          <w:tcPr>
            <w:tcW w:w="39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7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2,926</w:t>
            </w:r>
          </w:p>
        </w:tc>
        <w:tc>
          <w:tcPr>
            <w:tcW w:w="179" w:type="dxa"/>
            <w:tcBorders/>
            <w:vAlign w:val="center"/>
          </w:tcPr>
          <w:p>
            <w:pPr>
              <w:pStyle w:val="TableContents"/>
              <w:bidi w:val="0"/>
              <w:spacing w:before="0" w:after="0"/>
              <w:ind w:left="0" w:right="0" w:hanging="0"/>
              <w:jc w:val="left"/>
              <w:rPr/>
            </w:pPr>
            <w:r>
              <w:rPr/>
              <w:t>​</w:t>
            </w:r>
          </w:p>
        </w:tc>
        <w:tc>
          <w:tcPr>
            <w:tcW w:w="53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9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3,513</w:t>
            </w:r>
          </w:p>
        </w:tc>
        <w:tc>
          <w:tcPr>
            <w:tcW w:w="154" w:type="dxa"/>
            <w:tcBorders/>
            <w:vAlign w:val="center"/>
          </w:tcPr>
          <w:p>
            <w:pPr>
              <w:pStyle w:val="TableContents"/>
              <w:bidi w:val="0"/>
              <w:spacing w:before="0" w:after="0"/>
              <w:ind w:left="0" w:right="0" w:hanging="0"/>
              <w:jc w:val="left"/>
              <w:rPr/>
            </w:pPr>
            <w:r>
              <w:rPr/>
              <w:t>​</w:t>
            </w:r>
          </w:p>
        </w:tc>
      </w:tr>
      <w:tr>
        <w:trPr/>
        <w:tc>
          <w:tcPr>
            <w:tcW w:w="38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79" w:type="dxa"/>
            <w:tcBorders/>
            <w:shd w:fill="CCEEFF" w:val="clear"/>
            <w:vAlign w:val="center"/>
          </w:tcPr>
          <w:p>
            <w:pPr>
              <w:pStyle w:val="TableContents"/>
              <w:bidi w:val="0"/>
              <w:spacing w:before="0" w:after="0"/>
              <w:ind w:left="0" w:right="0" w:hanging="0"/>
              <w:jc w:val="left"/>
              <w:rPr/>
            </w:pPr>
            <w:r>
              <w:rPr/>
              <w:t>​</w:t>
            </w:r>
          </w:p>
        </w:tc>
        <w:tc>
          <w:tcPr>
            <w:tcW w:w="3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405,355</w:t>
            </w:r>
          </w:p>
        </w:tc>
        <w:tc>
          <w:tcPr>
            <w:tcW w:w="179" w:type="dxa"/>
            <w:tcBorders/>
            <w:shd w:fill="CCEEFF" w:val="clear"/>
            <w:vAlign w:val="center"/>
          </w:tcPr>
          <w:p>
            <w:pPr>
              <w:pStyle w:val="TableContents"/>
              <w:bidi w:val="0"/>
              <w:spacing w:before="0" w:after="0"/>
              <w:ind w:left="0" w:right="0" w:hanging="0"/>
              <w:jc w:val="left"/>
              <w:rPr/>
            </w:pPr>
            <w:r>
              <w:rPr/>
              <w:t>​</w:t>
            </w:r>
          </w:p>
        </w:tc>
        <w:tc>
          <w:tcPr>
            <w:tcW w:w="5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9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396,006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8833" w:type="dxa"/>
            <w:gridSpan w:val="7"/>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 xml:space="preserve"> Includes $14,912 related to the Brinta acquisition. For further information, refer to Note 3 "Acquisitions".</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has recognized various amortizable other intangible assets in connection with acquisitions related to customer relationships, technology, and tradenames. The following tables provide additional information for other intangible assets, which are individually not material to the condensed consolidated financial statements, for the periods presented: </w:t>
      </w:r>
    </w:p>
    <w:p>
      <w:pPr>
        <w:pStyle w:val="TextBody"/>
        <w:bidi w:val="0"/>
        <w:spacing w:before="0" w:after="0"/>
        <w:ind w:left="0" w:right="0" w:hanging="0"/>
        <w:jc w:val="left"/>
        <w:rPr/>
      </w:pPr>
      <w:r>
        <w:rPr/>
        <w:t>​</w:t>
      </w:r>
    </w:p>
    <w:tbl>
      <w:tblPr>
        <w:tblW w:w="7251" w:type="dxa"/>
        <w:jc w:val="left"/>
        <w:tblInd w:w="0" w:type="dxa"/>
        <w:tblLayout w:type="fixed"/>
        <w:tblCellMar>
          <w:top w:w="0" w:type="dxa"/>
          <w:left w:w="0" w:type="dxa"/>
          <w:bottom w:w="0" w:type="dxa"/>
          <w:right w:w="0" w:type="dxa"/>
        </w:tblCellMar>
      </w:tblPr>
      <w:tblGrid>
        <w:gridCol w:w="3826"/>
        <w:gridCol w:w="109"/>
        <w:gridCol w:w="109"/>
        <w:gridCol w:w="109"/>
        <w:gridCol w:w="109"/>
        <w:gridCol w:w="240"/>
        <w:gridCol w:w="1080"/>
        <w:gridCol w:w="109"/>
        <w:gridCol w:w="313"/>
        <w:gridCol w:w="1247"/>
      </w:tblGrid>
      <w:tr>
        <w:trPr/>
        <w:tc>
          <w:tcPr>
            <w:tcW w:w="3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429510" cy="175260"/>
                      <wp:effectExtent l="0" t="0" r="0" b="0"/>
                      <wp:wrapNone/>
                      <wp:docPr id="201" name="Frame201"/>
                      <a:graphic xmlns:a="http://schemas.openxmlformats.org/drawingml/2006/main">
                        <a:graphicData uri="http://schemas.microsoft.com/office/word/2010/wordprocessingShape">
                          <wps:wsp>
                            <wps:cNvSpPr txBox="1"/>
                            <wps:spPr>
                              <a:xfrm>
                                <a:off x="0" y="0"/>
                                <a:ext cx="2429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9215" cy="175260"/>
                      <wp:effectExtent l="0" t="0" r="0" b="0"/>
                      <wp:wrapNone/>
                      <wp:docPr id="202" name="Frame2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9215" cy="175260"/>
                      <wp:effectExtent l="0" t="0" r="0" b="0"/>
                      <wp:wrapNone/>
                      <wp:docPr id="203" name="Frame2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9215" cy="175260"/>
                      <wp:effectExtent l="0" t="0" r="0" b="0"/>
                      <wp:wrapNone/>
                      <wp:docPr id="204" name="Frame2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9215" cy="175260"/>
                      <wp:effectExtent l="0" t="0" r="0" b="0"/>
                      <wp:wrapNone/>
                      <wp:docPr id="205" name="Frame2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52400" cy="175260"/>
                      <wp:effectExtent l="0" t="0" r="0" b="0"/>
                      <wp:wrapNone/>
                      <wp:docPr id="206" name="Frame206"/>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85800" cy="175260"/>
                      <wp:effectExtent l="0" t="0" r="0" b="0"/>
                      <wp:wrapNone/>
                      <wp:docPr id="207" name="Frame207"/>
                      <a:graphic xmlns:a="http://schemas.openxmlformats.org/drawingml/2006/main">
                        <a:graphicData uri="http://schemas.microsoft.com/office/word/2010/wordprocessingShape">
                          <wps:wsp>
                            <wps:cNvSpPr txBox="1"/>
                            <wps:spPr>
                              <a:xfrm>
                                <a:off x="0" y="0"/>
                                <a:ext cx="685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9215" cy="175260"/>
                      <wp:effectExtent l="0" t="0" r="0" b="0"/>
                      <wp:wrapNone/>
                      <wp:docPr id="208" name="Frame2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98755" cy="175260"/>
                      <wp:effectExtent l="0" t="0" r="0" b="0"/>
                      <wp:wrapNone/>
                      <wp:docPr id="209" name="Frame209"/>
                      <a:graphic xmlns:a="http://schemas.openxmlformats.org/drawingml/2006/main">
                        <a:graphicData uri="http://schemas.microsoft.com/office/word/2010/wordprocessingShape">
                          <wps:wsp>
                            <wps:cNvSpPr txBox="1"/>
                            <wps:spPr>
                              <a:xfrm>
                                <a:off x="0" y="0"/>
                                <a:ext cx="198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791845" cy="175260"/>
                      <wp:effectExtent l="0" t="0" r="0" b="0"/>
                      <wp:wrapNone/>
                      <wp:docPr id="210" name="Frame210"/>
                      <a:graphic xmlns:a="http://schemas.openxmlformats.org/drawingml/2006/main">
                        <a:graphicData uri="http://schemas.microsoft.com/office/word/2010/wordprocessingShape">
                          <wps:wsp>
                            <wps:cNvSpPr txBox="1"/>
                            <wps:spPr>
                              <a:xfrm>
                                <a:off x="0" y="0"/>
                                <a:ext cx="791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3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March 31, </w:t>
            </w:r>
          </w:p>
        </w:tc>
        <w:tc>
          <w:tcPr>
            <w:tcW w:w="109" w:type="dxa"/>
            <w:tcBorders/>
            <w:vAlign w:val="center"/>
          </w:tcPr>
          <w:p>
            <w:pPr>
              <w:pStyle w:val="TableContents"/>
              <w:bidi w:val="0"/>
              <w:spacing w:before="0" w:after="0"/>
              <w:ind w:left="0" w:right="0" w:hanging="0"/>
              <w:jc w:val="center"/>
              <w:rPr/>
            </w:pPr>
            <w:r>
              <w:rPr/>
              <w:t>​</w:t>
            </w:r>
          </w:p>
        </w:tc>
        <w:tc>
          <w:tcPr>
            <w:tcW w:w="156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38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3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center"/>
              <w:rPr/>
            </w:pPr>
            <w:r>
              <w:rPr/>
              <w:t>​</w:t>
            </w:r>
          </w:p>
        </w:tc>
        <w:tc>
          <w:tcPr>
            <w:tcW w:w="15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8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40" w:type="dxa"/>
            <w:tcBorders/>
            <w:vAlign w:val="center"/>
          </w:tcPr>
          <w:p>
            <w:pPr>
              <w:pStyle w:val="TableContents"/>
              <w:bidi w:val="0"/>
              <w:spacing w:before="0" w:after="0"/>
              <w:ind w:left="0" w:right="0" w:hanging="0"/>
              <w:jc w:val="center"/>
              <w:rPr/>
            </w:pPr>
            <w:r>
              <w:rPr/>
              <w:t>​</w:t>
            </w:r>
          </w:p>
        </w:tc>
        <w:tc>
          <w:tcPr>
            <w:tcW w:w="108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09" w:type="dxa"/>
            <w:tcBorders/>
            <w:vAlign w:val="center"/>
          </w:tcPr>
          <w:p>
            <w:pPr>
              <w:pStyle w:val="TableContents"/>
              <w:bidi w:val="0"/>
              <w:spacing w:before="0" w:after="0"/>
              <w:ind w:left="0" w:right="0" w:hanging="0"/>
              <w:jc w:val="center"/>
              <w:rPr/>
            </w:pPr>
            <w:r>
              <w:rPr/>
              <w:t>​</w:t>
            </w:r>
          </w:p>
        </w:tc>
        <w:tc>
          <w:tcPr>
            <w:tcW w:w="313" w:type="dxa"/>
            <w:tcBorders/>
            <w:vAlign w:val="center"/>
          </w:tcPr>
          <w:p>
            <w:pPr>
              <w:pStyle w:val="TableContents"/>
              <w:bidi w:val="0"/>
              <w:spacing w:before="0" w:after="0"/>
              <w:ind w:left="0" w:right="0" w:hanging="0"/>
              <w:jc w:val="center"/>
              <w:rPr/>
            </w:pPr>
            <w:r>
              <w:rPr/>
              <w:t>​</w:t>
            </w:r>
          </w:p>
        </w:tc>
        <w:tc>
          <w:tcPr>
            <w:tcW w:w="1247" w:type="dxa"/>
            <w:tcBorders/>
            <w:vAlign w:val="center"/>
          </w:tcPr>
          <w:p>
            <w:pPr>
              <w:pStyle w:val="TableContents"/>
              <w:bidi w:val="0"/>
              <w:spacing w:before="0" w:after="0"/>
              <w:ind w:left="0" w:right="0" w:hanging="0"/>
              <w:jc w:val="center"/>
              <w:rPr/>
            </w:pPr>
            <w:r>
              <w:rPr/>
              <w:t>​</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amortization period (years)</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0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109" w:type="dxa"/>
            <w:tcBorders/>
            <w:shd w:fill="CCEEFF" w:val="clear"/>
            <w:vAlign w:val="center"/>
          </w:tcPr>
          <w:p>
            <w:pPr>
              <w:pStyle w:val="TableContents"/>
              <w:bidi w:val="0"/>
              <w:spacing w:before="0" w:after="0"/>
              <w:ind w:left="0" w:right="0" w:hanging="0"/>
              <w:jc w:val="center"/>
              <w:rPr/>
            </w:pPr>
            <w:r>
              <w:rPr/>
              <w:t>​</w:t>
            </w:r>
          </w:p>
        </w:tc>
        <w:tc>
          <w:tcPr>
            <w:tcW w:w="313"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2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38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40" w:type="dxa"/>
            <w:tcBorders/>
            <w:vAlign w:val="center"/>
          </w:tcPr>
          <w:p>
            <w:pPr>
              <w:pStyle w:val="TableContents"/>
              <w:bidi w:val="0"/>
              <w:spacing w:before="0" w:after="0"/>
              <w:ind w:left="0" w:right="0" w:hanging="0"/>
              <w:jc w:val="center"/>
              <w:rPr/>
            </w:pPr>
            <w:r>
              <w:rPr/>
              <w:t>​</w:t>
            </w:r>
          </w:p>
        </w:tc>
        <w:tc>
          <w:tcPr>
            <w:tcW w:w="108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13" w:type="dxa"/>
            <w:tcBorders/>
            <w:vAlign w:val="center"/>
          </w:tcPr>
          <w:p>
            <w:pPr>
              <w:pStyle w:val="TableContents"/>
              <w:bidi w:val="0"/>
              <w:spacing w:before="0" w:after="0"/>
              <w:ind w:left="0" w:right="0" w:hanging="0"/>
              <w:jc w:val="center"/>
              <w:rPr/>
            </w:pPr>
            <w:r>
              <w:rPr/>
              <w:t>​</w:t>
            </w:r>
          </w:p>
        </w:tc>
        <w:tc>
          <w:tcPr>
            <w:tcW w:w="1247" w:type="dxa"/>
            <w:tcBorders/>
            <w:vAlign w:val="center"/>
          </w:tcPr>
          <w:p>
            <w:pPr>
              <w:pStyle w:val="TableContents"/>
              <w:bidi w:val="0"/>
              <w:spacing w:before="0" w:after="0"/>
              <w:ind w:left="0" w:right="0" w:hanging="0"/>
              <w:jc w:val="center"/>
              <w:rPr/>
            </w:pPr>
            <w:r>
              <w:rPr/>
              <w:t>​</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value</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16,999</w:t>
            </w:r>
          </w:p>
        </w:tc>
        <w:tc>
          <w:tcPr>
            <w:tcW w:w="109" w:type="dxa"/>
            <w:tcBorders/>
            <w:shd w:fill="CCEEFF" w:val="clear"/>
            <w:vAlign w:val="center"/>
          </w:tcPr>
          <w:p>
            <w:pPr>
              <w:pStyle w:val="TableContents"/>
              <w:bidi w:val="0"/>
              <w:spacing w:before="0" w:after="0"/>
              <w:ind w:left="0" w:right="0" w:hanging="0"/>
              <w:jc w:val="center"/>
              <w:rPr/>
            </w:pPr>
            <w:r>
              <w:rPr/>
              <w:t>​</w:t>
            </w:r>
          </w:p>
        </w:tc>
        <w:tc>
          <w:tcPr>
            <w:tcW w:w="3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17,026</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amortization</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(14,073)</w:t>
            </w:r>
          </w:p>
        </w:tc>
        <w:tc>
          <w:tcPr>
            <w:tcW w:w="109" w:type="dxa"/>
            <w:tcBorders/>
            <w:vAlign w:val="center"/>
          </w:tcPr>
          <w:p>
            <w:pPr>
              <w:pStyle w:val="TableContents"/>
              <w:bidi w:val="0"/>
              <w:spacing w:before="0" w:after="0"/>
              <w:ind w:left="0" w:right="0" w:hanging="0"/>
              <w:jc w:val="center"/>
              <w:rPr/>
            </w:pPr>
            <w:r>
              <w:rPr/>
              <w:t>​</w:t>
            </w:r>
          </w:p>
        </w:tc>
        <w:tc>
          <w:tcPr>
            <w:tcW w:w="313"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2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(13,513)</w:t>
            </w:r>
          </w:p>
        </w:tc>
      </w:tr>
      <w:tr>
        <w:trPr/>
        <w:tc>
          <w:tcPr>
            <w:tcW w:w="382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Carrying value</w:t>
            </w:r>
          </w:p>
        </w:tc>
        <w:tc>
          <w:tcPr>
            <w:tcW w:w="109"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2,926</w:t>
            </w:r>
          </w:p>
        </w:tc>
        <w:tc>
          <w:tcPr>
            <w:tcW w:w="109" w:type="dxa"/>
            <w:tcBorders/>
            <w:shd w:fill="CCEEFF" w:val="clear"/>
            <w:vAlign w:val="center"/>
          </w:tcPr>
          <w:p>
            <w:pPr>
              <w:pStyle w:val="TableContents"/>
              <w:bidi w:val="0"/>
              <w:spacing w:before="0" w:after="0"/>
              <w:ind w:left="0" w:right="0" w:hanging="0"/>
              <w:jc w:val="left"/>
              <w:rPr/>
            </w:pPr>
            <w:r>
              <w:rPr/>
              <w:t>​</w:t>
            </w:r>
          </w:p>
        </w:tc>
        <w:tc>
          <w:tcPr>
            <w:tcW w:w="3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7"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3,513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presents amortization of other intangible assets:</w:t>
      </w:r>
    </w:p>
    <w:p>
      <w:pPr>
        <w:pStyle w:val="TextBody"/>
        <w:bidi w:val="0"/>
        <w:spacing w:before="0" w:after="0"/>
        <w:ind w:left="0" w:right="0" w:firstLine="360"/>
        <w:jc w:val="both"/>
        <w:rPr/>
      </w:pPr>
      <w:r>
        <w:rPr/>
        <w:t>​</w:t>
      </w:r>
    </w:p>
    <w:tbl>
      <w:tblPr>
        <w:tblW w:w="6964" w:type="dxa"/>
        <w:jc w:val="left"/>
        <w:tblInd w:w="0" w:type="dxa"/>
        <w:tblLayout w:type="fixed"/>
        <w:tblCellMar>
          <w:top w:w="0" w:type="dxa"/>
          <w:left w:w="0" w:type="dxa"/>
          <w:bottom w:w="0" w:type="dxa"/>
          <w:right w:w="0" w:type="dxa"/>
        </w:tblCellMar>
      </w:tblPr>
      <w:tblGrid>
        <w:gridCol w:w="3166"/>
        <w:gridCol w:w="109"/>
        <w:gridCol w:w="109"/>
        <w:gridCol w:w="109"/>
        <w:gridCol w:w="346"/>
        <w:gridCol w:w="499"/>
        <w:gridCol w:w="1001"/>
        <w:gridCol w:w="346"/>
        <w:gridCol w:w="374"/>
        <w:gridCol w:w="751"/>
        <w:gridCol w:w="154"/>
      </w:tblGrid>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010410" cy="175260"/>
                      <wp:effectExtent l="0" t="0" r="0" b="0"/>
                      <wp:wrapNone/>
                      <wp:docPr id="211" name="Frame211"/>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9215" cy="175260"/>
                      <wp:effectExtent l="0" t="0" r="0" b="0"/>
                      <wp:wrapNone/>
                      <wp:docPr id="212" name="Frame2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9215" cy="175260"/>
                      <wp:effectExtent l="0" t="0" r="0" b="0"/>
                      <wp:wrapNone/>
                      <wp:docPr id="213" name="Frame2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9215" cy="175260"/>
                      <wp:effectExtent l="0" t="0" r="0" b="0"/>
                      <wp:wrapNone/>
                      <wp:docPr id="214" name="Frame2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19710" cy="175260"/>
                      <wp:effectExtent l="0" t="0" r="0" b="0"/>
                      <wp:wrapNone/>
                      <wp:docPr id="215" name="Frame2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316865" cy="175260"/>
                      <wp:effectExtent l="0" t="0" r="0" b="0"/>
                      <wp:wrapNone/>
                      <wp:docPr id="216" name="Frame216"/>
                      <a:graphic xmlns:a="http://schemas.openxmlformats.org/drawingml/2006/main">
                        <a:graphicData uri="http://schemas.microsoft.com/office/word/2010/wordprocessingShape">
                          <wps:wsp>
                            <wps:cNvSpPr txBox="1"/>
                            <wps:spPr>
                              <a:xfrm>
                                <a:off x="0" y="0"/>
                                <a:ext cx="316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35635" cy="175260"/>
                      <wp:effectExtent l="0" t="0" r="0" b="0"/>
                      <wp:wrapNone/>
                      <wp:docPr id="217" name="Frame217"/>
                      <a:graphic xmlns:a="http://schemas.openxmlformats.org/drawingml/2006/main">
                        <a:graphicData uri="http://schemas.microsoft.com/office/word/2010/wordprocessingShape">
                          <wps:wsp>
                            <wps:cNvSpPr txBox="1"/>
                            <wps:spPr>
                              <a:xfrm>
                                <a:off x="0" y="0"/>
                                <a:ext cx="635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19710" cy="175260"/>
                      <wp:effectExtent l="0" t="0" r="0" b="0"/>
                      <wp:wrapNone/>
                      <wp:docPr id="218" name="Frame2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37490" cy="175260"/>
                      <wp:effectExtent l="0" t="0" r="0" b="0"/>
                      <wp:wrapNone/>
                      <wp:docPr id="219" name="Frame219"/>
                      <a:graphic xmlns:a="http://schemas.openxmlformats.org/drawingml/2006/main">
                        <a:graphicData uri="http://schemas.microsoft.com/office/word/2010/wordprocessingShape">
                          <wps:wsp>
                            <wps:cNvSpPr txBox="1"/>
                            <wps:spPr>
                              <a:xfrm>
                                <a:off x="0" y="0"/>
                                <a:ext cx="237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476885" cy="175260"/>
                      <wp:effectExtent l="0" t="0" r="0" b="0"/>
                      <wp:wrapNone/>
                      <wp:docPr id="220" name="Frame220"/>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97790" cy="175260"/>
                      <wp:effectExtent l="0" t="0" r="0" b="0"/>
                      <wp:wrapNone/>
                      <wp:docPr id="221" name="Frame221"/>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xml:space="preserve">For the three months ended March 31,  </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8"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Selling and</w:t>
              <w:br/>
              <w:t>Marketing Expense</w:t>
            </w:r>
          </w:p>
        </w:tc>
        <w:tc>
          <w:tcPr>
            <w:tcW w:w="346" w:type="dxa"/>
            <w:tcBorders/>
            <w:vAlign w:val="center"/>
          </w:tcPr>
          <w:p>
            <w:pPr>
              <w:pStyle w:val="TableContents"/>
              <w:bidi w:val="0"/>
              <w:spacing w:before="0" w:after="0"/>
              <w:ind w:left="0" w:right="0" w:hanging="0"/>
              <w:jc w:val="left"/>
              <w:rPr/>
            </w:pPr>
            <w:r>
              <w:rPr/>
              <w:t>​</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Expense</w:t>
            </w:r>
          </w:p>
        </w:tc>
        <w:tc>
          <w:tcPr>
            <w:tcW w:w="154" w:type="dxa"/>
            <w:tcBorders/>
            <w:vAlign w:val="center"/>
          </w:tcPr>
          <w:p>
            <w:pPr>
              <w:pStyle w:val="TableContents"/>
              <w:bidi w:val="0"/>
              <w:spacing w:before="0" w:after="0"/>
              <w:ind w:left="0" w:right="0" w:hanging="0"/>
              <w:jc w:val="center"/>
              <w:rPr/>
            </w:pPr>
            <w:r>
              <w:rPr/>
              <w:t>​</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 ​ ​</w:t>
            </w:r>
          </w:p>
        </w:tc>
        <w:tc>
          <w:tcPr>
            <w:tcW w:w="4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w:t>
            </w:r>
          </w:p>
        </w:tc>
        <w:tc>
          <w:tcPr>
            <w:tcW w:w="346" w:type="dxa"/>
            <w:tcBorders/>
            <w:shd w:fill="CCEEFF" w:val="clear"/>
            <w:vAlign w:val="center"/>
          </w:tcPr>
          <w:p>
            <w:pPr>
              <w:pStyle w:val="TableContents"/>
              <w:bidi w:val="0"/>
              <w:spacing w:before="0" w:after="0"/>
              <w:ind w:left="0" w:right="0" w:hanging="0"/>
              <w:jc w:val="left"/>
              <w:rPr/>
            </w:pPr>
            <w:r>
              <w:rPr/>
              <w:t>  ​ ​ ​</w:t>
            </w:r>
          </w:p>
        </w:tc>
        <w:tc>
          <w:tcPr>
            <w:tcW w:w="3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99" w:type="dxa"/>
            <w:tcBorders/>
            <w:vAlign w:val="center"/>
          </w:tcPr>
          <w:p>
            <w:pPr>
              <w:pStyle w:val="TableContents"/>
              <w:bidi w:val="0"/>
              <w:spacing w:before="0" w:after="0"/>
              <w:ind w:left="0" w:right="0" w:hanging="0"/>
              <w:jc w:val="left"/>
              <w:rPr/>
            </w:pPr>
            <w:r>
              <w:rPr/>
              <w:t>​</w:t>
            </w:r>
          </w:p>
        </w:tc>
        <w:tc>
          <w:tcPr>
            <w:tcW w:w="10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w:t>
            </w:r>
          </w:p>
        </w:tc>
        <w:tc>
          <w:tcPr>
            <w:tcW w:w="346" w:type="dxa"/>
            <w:tcBorders/>
            <w:vAlign w:val="center"/>
          </w:tcPr>
          <w:p>
            <w:pPr>
              <w:pStyle w:val="TableContents"/>
              <w:bidi w:val="0"/>
              <w:spacing w:before="0" w:after="0"/>
              <w:ind w:left="0" w:right="0" w:hanging="0"/>
              <w:jc w:val="left"/>
              <w:rPr/>
            </w:pPr>
            <w:r>
              <w:rPr/>
              <w:t>​</w:t>
            </w:r>
          </w:p>
        </w:tc>
        <w:tc>
          <w:tcPr>
            <w:tcW w:w="374"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w:t>
            </w:r>
          </w:p>
        </w:tc>
        <w:tc>
          <w:tcPr>
            <w:tcW w:w="154" w:type="dxa"/>
            <w:tcBorders/>
            <w:vAlign w:val="center"/>
          </w:tcPr>
          <w:p>
            <w:pPr>
              <w:pStyle w:val="TableContents"/>
              <w:bidi w:val="0"/>
              <w:spacing w:before="0" w:after="0"/>
              <w:ind w:left="0" w:right="0" w:hanging="0"/>
              <w:jc w:val="right"/>
              <w:rPr/>
            </w:pPr>
            <w:r>
              <w:rPr/>
              <w:t>​</w:t>
            </w:r>
          </w:p>
        </w:tc>
      </w:tr>
      <w:tr>
        <w:trPr/>
        <w:tc>
          <w:tcPr>
            <w:tcW w:w="31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99" w:type="dxa"/>
            <w:tcBorders/>
            <w:vAlign w:val="center"/>
          </w:tcPr>
          <w:p>
            <w:pPr>
              <w:pStyle w:val="TableContents"/>
              <w:bidi w:val="0"/>
              <w:spacing w:before="0" w:after="0"/>
              <w:ind w:left="0" w:right="0" w:hanging="0"/>
              <w:jc w:val="left"/>
              <w:rPr/>
            </w:pPr>
            <w:r>
              <w:rPr/>
              <w:t>​</w:t>
            </w:r>
          </w:p>
        </w:tc>
        <w:tc>
          <w:tcPr>
            <w:tcW w:w="10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74"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8.</w:t>
      </w:r>
      <w:r>
        <w:rPr>
          <w:rFonts w:ascii="Times New Roman;Times;serif" w:hAnsi="Times New Roman;Times;serif"/>
          <w:b/>
          <w:sz w:val="20"/>
        </w:rPr>
        <w:t>DEBT</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sz w:val="20"/>
        </w:rPr>
        <w:t xml:space="preserve">Credit Agreement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 has a credit agreement (“Credit Agreement”) with a banking syndicate, which currently provides a $300,000 revolving facility (the “Line of Credit”). The Company had no outstanding borrowings under the Credit Agreement at March 31, 2026 or December 31, 2025. </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 xml:space="preserve">Indenture and Notes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April 26, 2024, the Company issued $345,000 aggregate principal amount of 0.750% Convertible Senior Notes due 2029 (the “Notes”) to qualified institutional buyers in accordance with Rule 144A under the Securities Act of 1933, as amended. The Notes bear interest at a rate of 0.750% per annum on the principal amount thereof, payable semi-annually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766" w:type="dxa"/>
        <w:jc w:val="left"/>
        <w:tblInd w:w="0" w:type="dxa"/>
        <w:tblLayout w:type="fixed"/>
        <w:tblCellMar>
          <w:top w:w="0" w:type="dxa"/>
          <w:left w:w="0" w:type="dxa"/>
          <w:bottom w:w="0" w:type="dxa"/>
          <w:right w:w="0" w:type="dxa"/>
        </w:tblCellMar>
      </w:tblPr>
      <w:tblGrid>
        <w:gridCol w:w="6766"/>
      </w:tblGrid>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bookmarkStart w:id="1340" w:name="Tc_tbO0gUudSE6FXTBRGe3MLQ_6_6"/>
      <w:bookmarkStart w:id="1341" w:name="Tc_TyVO43bebUauUY6EMWRVOA_6_3"/>
      <w:bookmarkStart w:id="1342" w:name="Tc_aeSrceXPjkqcsS9B5IL5pQ_6_0"/>
      <w:bookmarkStart w:id="1343" w:name="Tc_nVtcgJXV4EGxwUWSrph5ng_5_0"/>
      <w:bookmarkStart w:id="1344" w:name="Tc_pGXaeFy8gkSDPLRAp5Ruzw_4_6"/>
      <w:bookmarkStart w:id="1345" w:name="Tc_pso8omqKU0aisQ5NaHGnmw_4_3"/>
      <w:bookmarkStart w:id="1346" w:name="Tc_GYwtM2CiWkyMsqh7SJ_1-A_4_0"/>
      <w:bookmarkStart w:id="1347" w:name="Tc_PrXauNdqHku36oK6bZ9zkg_3_4"/>
      <w:bookmarkStart w:id="1348" w:name="Tc_zmhwgFrVNkum40ZPxr9cJQ_2_7"/>
      <w:bookmarkStart w:id="1349" w:name="Tc_u08yQqduuE28JwX1fuK6oQ_2_4"/>
      <w:bookmarkStart w:id="1350" w:name="Tc_PmA5BckGLky3r3NYix6owQ_1_3"/>
      <w:bookmarkStart w:id="1351" w:name="Tc_sRWsNFduIUGLBSeQlbKN0A_6_17"/>
      <w:bookmarkStart w:id="1352" w:name="Tc_3jimgu2AXUmErqaseKPw1Q_6_14"/>
      <w:bookmarkStart w:id="1353" w:name="Tc_eiuQU7RaX02XzeOt6SsiCQ_6_11"/>
      <w:bookmarkStart w:id="1354" w:name="Tc_up3PWWxE8UiTa8RSs_g0IQ_6_8"/>
      <w:bookmarkStart w:id="1355" w:name="Tc_Zm5R1LzRLk-zLQ0Ka5xuWg_6_5"/>
      <w:bookmarkStart w:id="1356" w:name="Tc_dj-nAhUrjE2uIG5m2ME2nA_6_2"/>
      <w:bookmarkStart w:id="1357" w:name="Tc_PL9D0XnUUUWb4qaOwbE0Yw_6_0"/>
      <w:bookmarkStart w:id="1358" w:name="Tc_PHgni8kHM0y0UjHolhT9zw_5_17"/>
      <w:bookmarkStart w:id="1359" w:name="Tc_W1oOdBO3BU2-UY-sOmXzbw_5_14"/>
      <w:bookmarkStart w:id="1360" w:name="Tc_tIXrvF42UUudRjWstkF36A_5_11"/>
      <w:bookmarkStart w:id="1361" w:name="Tc_qxJSYP8MUk-t4BJ6ul-nTQ_5_8"/>
      <w:bookmarkStart w:id="1362" w:name="Tc_Vf--1wAq7kKe1MEdF6XIEw_5_5"/>
      <w:bookmarkStart w:id="1363" w:name="Tc_7-vRaoogwkmAGIr9y5mM1A_5_2"/>
      <w:bookmarkStart w:id="1364" w:name="Tc_IoQV-BdwREWIameGSxwXAw_5_0"/>
      <w:bookmarkStart w:id="1365" w:name="Tc_0YnYWsRcL0-qtsFoISl3NA_4_17"/>
      <w:bookmarkStart w:id="1366" w:name="Tc_BnVbp-Sib0OT5_YZ-uDHoA_4_14"/>
      <w:bookmarkStart w:id="1367" w:name="Tc_0UtcgdepEky7ekqAWMZ7BQ_4_11"/>
      <w:bookmarkStart w:id="1368" w:name="Tc_sa_aA1Uk9EuA7e7iy6QZBg_4_8"/>
      <w:bookmarkStart w:id="1369" w:name="Tc_Taduymvyr02EWhtjHV-UcQ_4_5"/>
      <w:bookmarkStart w:id="1370" w:name="Tc_qUCEeNLmlEK_QCdQH_elng_4_2"/>
      <w:bookmarkStart w:id="1371" w:name="Tc_W-3LjLK6LUGvfDaqvyO5uA_3_3"/>
      <w:bookmarkStart w:id="1372" w:name="Tc_g1Np42MWsESkWdOvWko3dg_2_11"/>
      <w:bookmarkStart w:id="1373" w:name="Tc_U3r01ICxskehQ6x2d456GQ_2_2"/>
      <w:bookmarkStart w:id="1374" w:name="Tc_HRi5jkDn_km_gVm98NClPQ_1_11"/>
      <w:bookmarkStart w:id="1375" w:name="Tc_cw51E2TufUSji53glk4pAQ_1_2"/>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r>
        <w:rPr>
          <w:rFonts w:ascii="Times New Roman;Times;serif" w:hAnsi="Times New Roman;Times;serif"/>
          <w:sz w:val="20"/>
        </w:rPr>
        <w:t xml:space="preserve">in arrears on May 1 and November 1 of each year. The Notes will mature on May 1, 2029, unless earlier repurchased, redeemed or converted in accordance with their terms. </w:t>
      </w:r>
    </w:p>
    <w:p>
      <w:pPr>
        <w:pStyle w:val="TextBody"/>
        <w:bidi w:val="0"/>
        <w:spacing w:before="0" w:after="0"/>
        <w:ind w:left="0" w:right="0" w:firstLine="360"/>
        <w:jc w:val="both"/>
        <w:rPr/>
      </w:pPr>
      <w:r>
        <w:rPr/>
        <w:t>​</w:t>
      </w:r>
    </w:p>
    <w:p>
      <w:pPr>
        <w:pStyle w:val="TextBody"/>
        <w:bidi w:val="0"/>
        <w:spacing w:lineRule="auto" w:line="302" w:before="0" w:after="0"/>
        <w:ind w:left="0" w:right="0" w:firstLine="360"/>
        <w:jc w:val="both"/>
        <w:rPr>
          <w:rFonts w:ascii="Times New Roman;Times;serif" w:hAnsi="Times New Roman;Times;serif"/>
          <w:sz w:val="20"/>
        </w:rPr>
      </w:pPr>
      <w:r>
        <w:rPr>
          <w:rFonts w:ascii="Times New Roman;Times;serif" w:hAnsi="Times New Roman;Times;serif"/>
          <w:sz w:val="20"/>
        </w:rPr>
        <w:t>There have been no changes to the initial conversion price of the Notes since issuance. The Notes are convertible into the Company’s Class A common stock at the option of the holders. As of March 31, 2026, none of the Notes were converted.</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b/>
          <w:sz w:val="20"/>
        </w:rPr>
      </w:pPr>
      <w:r>
        <w:rPr>
          <w:rFonts w:ascii="Times New Roman;Times;serif" w:hAnsi="Times New Roman;Times;serif"/>
          <w:b/>
          <w:sz w:val="20"/>
        </w:rPr>
        <w:t>Capped Call Transactions</w:t>
      </w:r>
    </w:p>
    <w:p>
      <w:pPr>
        <w:pStyle w:val="TextBody"/>
        <w:bidi w:val="0"/>
        <w:spacing w:before="0" w:after="0"/>
        <w:ind w:left="0" w:right="0" w:firstLine="36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connection with the pricing of the Notes on April 23, 2024, the Company entered into privately negotiated capped call transactions (the “Base Capped Call Transactions”) with certain financial institutions (together, the “Option Counterparties”). In connection with the exercise of the option to purchase the additional Notes in full, the Company entered into additional capped call transactions with the Option Counterparties (together with the Base Capped Call Transactions, the “Capped Call Transactions”).</w:t>
      </w:r>
    </w:p>
    <w:p>
      <w:pPr>
        <w:pStyle w:val="TextBody"/>
        <w:bidi w:val="0"/>
        <w:spacing w:before="0" w:after="0"/>
        <w:ind w:left="0" w:right="0" w:firstLine="36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Company’s indebtedness at March 31, 2026 and December 31, 2025 was as follows: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060"/>
        <w:gridCol w:w="406"/>
        <w:gridCol w:w="196"/>
        <w:gridCol w:w="691"/>
        <w:gridCol w:w="406"/>
        <w:gridCol w:w="243"/>
        <w:gridCol w:w="784"/>
        <w:gridCol w:w="406"/>
        <w:gridCol w:w="196"/>
        <w:gridCol w:w="691"/>
        <w:gridCol w:w="406"/>
        <w:gridCol w:w="196"/>
        <w:gridCol w:w="691"/>
        <w:gridCol w:w="406"/>
        <w:gridCol w:w="243"/>
        <w:gridCol w:w="784"/>
        <w:gridCol w:w="406"/>
        <w:gridCol w:w="196"/>
        <w:gridCol w:w="798"/>
      </w:tblGrid>
      <w:tr>
        <w:trPr/>
        <w:tc>
          <w:tcPr>
            <w:tcW w:w="20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308100" cy="175260"/>
                      <wp:effectExtent l="0" t="0" r="0" b="0"/>
                      <wp:wrapNone/>
                      <wp:docPr id="222" name="Frame222"/>
                      <a:graphic xmlns:a="http://schemas.openxmlformats.org/drawingml/2006/main">
                        <a:graphicData uri="http://schemas.microsoft.com/office/word/2010/wordprocessingShape">
                          <wps:wsp>
                            <wps:cNvSpPr txBox="1"/>
                            <wps:spPr>
                              <a:xfrm>
                                <a:off x="0" y="0"/>
                                <a:ext cx="1308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57810" cy="175260"/>
                      <wp:effectExtent l="0" t="0" r="0" b="0"/>
                      <wp:wrapNone/>
                      <wp:docPr id="223" name="Frame223"/>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24460" cy="175260"/>
                      <wp:effectExtent l="0" t="0" r="0" b="0"/>
                      <wp:wrapNone/>
                      <wp:docPr id="224" name="Frame22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438785" cy="175260"/>
                      <wp:effectExtent l="0" t="0" r="0" b="0"/>
                      <wp:wrapNone/>
                      <wp:docPr id="225" name="Frame22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57810" cy="175260"/>
                      <wp:effectExtent l="0" t="0" r="0" b="0"/>
                      <wp:wrapNone/>
                      <wp:docPr id="226" name="Frame226"/>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54305" cy="175260"/>
                      <wp:effectExtent l="0" t="0" r="0" b="0"/>
                      <wp:wrapNone/>
                      <wp:docPr id="227" name="Frame227"/>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497840" cy="175260"/>
                      <wp:effectExtent l="0" t="0" r="0" b="0"/>
                      <wp:wrapNone/>
                      <wp:docPr id="228" name="Frame228"/>
                      <a:graphic xmlns:a="http://schemas.openxmlformats.org/drawingml/2006/main">
                        <a:graphicData uri="http://schemas.microsoft.com/office/word/2010/wordprocessingShape">
                          <wps:wsp>
                            <wps:cNvSpPr txBox="1"/>
                            <wps:spPr>
                              <a:xfrm>
                                <a:off x="0" y="0"/>
                                <a:ext cx="497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57810" cy="175260"/>
                      <wp:effectExtent l="0" t="0" r="0" b="0"/>
                      <wp:wrapNone/>
                      <wp:docPr id="229" name="Frame229"/>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24460" cy="175260"/>
                      <wp:effectExtent l="0" t="0" r="0" b="0"/>
                      <wp:wrapNone/>
                      <wp:docPr id="230" name="Frame23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438785" cy="175260"/>
                      <wp:effectExtent l="0" t="0" r="0" b="0"/>
                      <wp:wrapNone/>
                      <wp:docPr id="231" name="Frame23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57810" cy="175260"/>
                      <wp:effectExtent l="0" t="0" r="0" b="0"/>
                      <wp:wrapNone/>
                      <wp:docPr id="232" name="Frame232"/>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24460" cy="175260"/>
                      <wp:effectExtent l="0" t="0" r="0" b="0"/>
                      <wp:wrapNone/>
                      <wp:docPr id="233" name="Frame23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438785" cy="175260"/>
                      <wp:effectExtent l="0" t="0" r="0" b="0"/>
                      <wp:wrapNone/>
                      <wp:docPr id="234" name="Frame23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57810" cy="175260"/>
                      <wp:effectExtent l="0" t="0" r="0" b="0"/>
                      <wp:wrapNone/>
                      <wp:docPr id="235" name="Frame235"/>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54305" cy="175260"/>
                      <wp:effectExtent l="0" t="0" r="0" b="0"/>
                      <wp:wrapNone/>
                      <wp:docPr id="236" name="Frame236"/>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497840" cy="175260"/>
                      <wp:effectExtent l="0" t="0" r="0" b="0"/>
                      <wp:wrapNone/>
                      <wp:docPr id="237" name="Frame237"/>
                      <a:graphic xmlns:a="http://schemas.openxmlformats.org/drawingml/2006/main">
                        <a:graphicData uri="http://schemas.microsoft.com/office/word/2010/wordprocessingShape">
                          <wps:wsp>
                            <wps:cNvSpPr txBox="1"/>
                            <wps:spPr>
                              <a:xfrm>
                                <a:off x="0" y="0"/>
                                <a:ext cx="497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57810" cy="175260"/>
                      <wp:effectExtent l="0" t="0" r="0" b="0"/>
                      <wp:wrapNone/>
                      <wp:docPr id="238" name="Frame238"/>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24460" cy="175260"/>
                      <wp:effectExtent l="0" t="0" r="0" b="0"/>
                      <wp:wrapNone/>
                      <wp:docPr id="239" name="Frame23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506730" cy="175260"/>
                      <wp:effectExtent l="0" t="0" r="0" b="0"/>
                      <wp:wrapNone/>
                      <wp:docPr id="240" name="Frame240"/>
                      <a:graphic xmlns:a="http://schemas.openxmlformats.org/drawingml/2006/main">
                        <a:graphicData uri="http://schemas.microsoft.com/office/word/2010/wordprocessingShape">
                          <wps:wsp>
                            <wps:cNvSpPr txBox="1"/>
                            <wps:spPr>
                              <a:xfrm>
                                <a:off x="0" y="0"/>
                                <a:ext cx="506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60"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center"/>
              <w:rPr/>
            </w:pPr>
            <w:r>
              <w:rPr/>
              <w:t>​</w:t>
            </w:r>
          </w:p>
        </w:tc>
        <w:tc>
          <w:tcPr>
            <w:tcW w:w="3613"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March 31, </w:t>
            </w:r>
          </w:p>
        </w:tc>
        <w:tc>
          <w:tcPr>
            <w:tcW w:w="406" w:type="dxa"/>
            <w:tcBorders/>
            <w:vAlign w:val="center"/>
          </w:tcPr>
          <w:p>
            <w:pPr>
              <w:pStyle w:val="TableContents"/>
              <w:bidi w:val="0"/>
              <w:spacing w:before="0" w:after="0"/>
              <w:ind w:left="0" w:right="0" w:hanging="0"/>
              <w:jc w:val="center"/>
              <w:rPr/>
            </w:pPr>
            <w:r>
              <w:rPr/>
              <w:t>​</w:t>
            </w:r>
          </w:p>
        </w:tc>
        <w:tc>
          <w:tcPr>
            <w:tcW w:w="3720"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As of December 31, </w:t>
            </w:r>
          </w:p>
        </w:tc>
      </w:tr>
      <w:tr>
        <w:trPr/>
        <w:tc>
          <w:tcPr>
            <w:tcW w:w="2060"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61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06" w:type="dxa"/>
            <w:tcBorders/>
            <w:vAlign w:val="center"/>
          </w:tcPr>
          <w:p>
            <w:pPr>
              <w:pStyle w:val="TableContents"/>
              <w:bidi w:val="0"/>
              <w:spacing w:before="0" w:after="0"/>
              <w:ind w:left="0" w:right="0" w:hanging="0"/>
              <w:jc w:val="left"/>
              <w:rPr/>
            </w:pPr>
            <w:r>
              <w:rPr/>
              <w:t>​</w:t>
            </w:r>
          </w:p>
        </w:tc>
        <w:tc>
          <w:tcPr>
            <w:tcW w:w="3720"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060"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417"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524" w:type="dxa"/>
            <w:gridSpan w:val="7"/>
            <w:tcBorders/>
            <w:vAlign w:val="center"/>
          </w:tcPr>
          <w:p>
            <w:pPr>
              <w:pStyle w:val="TableContents"/>
              <w:bidi w:val="0"/>
              <w:spacing w:before="0" w:after="0"/>
              <w:ind w:left="0" w:right="0" w:hanging="0"/>
              <w:jc w:val="center"/>
              <w:rPr/>
            </w:pPr>
            <w:r>
              <w:rPr/>
              <w:t>​</w:t>
            </w:r>
          </w:p>
        </w:tc>
      </w:tr>
      <w:tr>
        <w:trPr/>
        <w:tc>
          <w:tcPr>
            <w:tcW w:w="2060"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  ​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Principal </w:t>
              <w:br/>
              <w:t>Amount</w:t>
            </w:r>
          </w:p>
        </w:tc>
        <w:tc>
          <w:tcPr>
            <w:tcW w:w="406" w:type="dxa"/>
            <w:tcBorders/>
            <w:vAlign w:val="center"/>
          </w:tcPr>
          <w:p>
            <w:pPr>
              <w:pStyle w:val="TableContents"/>
              <w:bidi w:val="0"/>
              <w:spacing w:before="0" w:after="0"/>
              <w:ind w:left="0" w:right="0" w:hanging="0"/>
              <w:jc w:val="center"/>
              <w:rPr/>
            </w:pPr>
            <w:r>
              <w:rPr/>
              <w:t>  ​ ​ ​ ​</w:t>
            </w:r>
          </w:p>
        </w:tc>
        <w:tc>
          <w:tcPr>
            <w:tcW w:w="10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Discounts and </w:t>
              <w:br/>
              <w:t xml:space="preserve">Deferred </w:t>
              <w:br/>
              <w:t xml:space="preserve">Financing </w:t>
              <w:br/>
              <w:t xml:space="preserve">Costs </w:t>
            </w:r>
          </w:p>
        </w:tc>
        <w:tc>
          <w:tcPr>
            <w:tcW w:w="406" w:type="dxa"/>
            <w:tcBorders/>
            <w:vAlign w:val="center"/>
          </w:tcPr>
          <w:p>
            <w:pPr>
              <w:pStyle w:val="TableContents"/>
              <w:bidi w:val="0"/>
              <w:spacing w:before="0" w:after="0"/>
              <w:ind w:left="0" w:right="0" w:hanging="0"/>
              <w:jc w:val="center"/>
              <w:rPr/>
            </w:pPr>
            <w:r>
              <w:rPr/>
              <w:t>  ​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Net </w:t>
              <w:br/>
              <w:t xml:space="preserve">Carrying </w:t>
              <w:br/>
              <w:t>Amount</w:t>
            </w:r>
          </w:p>
        </w:tc>
        <w:tc>
          <w:tcPr>
            <w:tcW w:w="406" w:type="dxa"/>
            <w:tcBorders/>
            <w:vAlign w:val="center"/>
          </w:tcPr>
          <w:p>
            <w:pPr>
              <w:pStyle w:val="TableContents"/>
              <w:bidi w:val="0"/>
              <w:spacing w:before="0" w:after="0"/>
              <w:ind w:left="0" w:right="0" w:hanging="0"/>
              <w:jc w:val="center"/>
              <w:rPr/>
            </w:pPr>
            <w:r>
              <w:rPr/>
              <w:t>  ​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Principal </w:t>
              <w:br/>
              <w:t>Amount</w:t>
            </w:r>
          </w:p>
        </w:tc>
        <w:tc>
          <w:tcPr>
            <w:tcW w:w="406" w:type="dxa"/>
            <w:tcBorders/>
            <w:vAlign w:val="center"/>
          </w:tcPr>
          <w:p>
            <w:pPr>
              <w:pStyle w:val="TableContents"/>
              <w:bidi w:val="0"/>
              <w:spacing w:before="0" w:after="0"/>
              <w:ind w:left="0" w:right="0" w:hanging="0"/>
              <w:jc w:val="center"/>
              <w:rPr/>
            </w:pPr>
            <w:r>
              <w:rPr/>
              <w:t>  ​ ​ ​ ​</w:t>
            </w:r>
          </w:p>
        </w:tc>
        <w:tc>
          <w:tcPr>
            <w:tcW w:w="10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Discounts and </w:t>
              <w:br/>
              <w:t xml:space="preserve">Deferred </w:t>
              <w:br/>
              <w:t xml:space="preserve">Financing </w:t>
              <w:br/>
              <w:t xml:space="preserve">Costs </w:t>
            </w:r>
          </w:p>
        </w:tc>
        <w:tc>
          <w:tcPr>
            <w:tcW w:w="406" w:type="dxa"/>
            <w:tcBorders/>
            <w:vAlign w:val="center"/>
          </w:tcPr>
          <w:p>
            <w:pPr>
              <w:pStyle w:val="TableContents"/>
              <w:bidi w:val="0"/>
              <w:spacing w:before="0" w:after="0"/>
              <w:ind w:left="0" w:right="0" w:hanging="0"/>
              <w:jc w:val="center"/>
              <w:rPr/>
            </w:pPr>
            <w:r>
              <w:rPr/>
              <w:t>  ​ ​ ​ ​</w:t>
            </w:r>
          </w:p>
        </w:tc>
        <w:tc>
          <w:tcPr>
            <w:tcW w:w="9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Net </w:t>
              <w:br/>
              <w:t xml:space="preserve">Carrying </w:t>
              <w:br/>
              <w:t>Amount</w:t>
            </w:r>
          </w:p>
        </w:tc>
      </w:tr>
      <w:tr>
        <w:trPr/>
        <w:tc>
          <w:tcPr>
            <w:tcW w:w="206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Convertible senior notes, non-current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345,000</w:t>
            </w:r>
          </w:p>
        </w:tc>
        <w:tc>
          <w:tcPr>
            <w:tcW w:w="406" w:type="dxa"/>
            <w:tcBorders/>
            <w:shd w:fill="CCEEFF" w:val="clear"/>
            <w:vAlign w:val="center"/>
          </w:tcPr>
          <w:p>
            <w:pPr>
              <w:pStyle w:val="TableContents"/>
              <w:bidi w:val="0"/>
              <w:spacing w:before="0" w:after="0"/>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(6,959)</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338,041</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345,000</w:t>
            </w:r>
          </w:p>
        </w:tc>
        <w:tc>
          <w:tcPr>
            <w:tcW w:w="406" w:type="dxa"/>
            <w:tcBorders/>
            <w:shd w:fill="CCEEFF" w:val="clear"/>
            <w:vAlign w:val="center"/>
          </w:tcPr>
          <w:p>
            <w:pPr>
              <w:pStyle w:val="TableContents"/>
              <w:bidi w:val="0"/>
              <w:spacing w:before="0" w:after="0"/>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(7,523)</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337,477</w:t>
            </w:r>
          </w:p>
        </w:tc>
      </w:tr>
      <w:tr>
        <w:trPr/>
        <w:tc>
          <w:tcPr>
            <w:tcW w:w="206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debt</w:t>
            </w:r>
            <w:r>
              <w:rPr>
                <w:rFonts w:ascii="Times New Roman;Times;serif" w:hAnsi="Times New Roman;Times;serif"/>
                <w:color w:val="FF0000"/>
                <w:sz w:val="18"/>
              </w:rPr>
              <w:t xml:space="preserve"> </w:t>
            </w:r>
          </w:p>
        </w:tc>
        <w:tc>
          <w:tcPr>
            <w:tcW w:w="40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345,000</w:t>
            </w:r>
          </w:p>
        </w:tc>
        <w:tc>
          <w:tcPr>
            <w:tcW w:w="406" w:type="dxa"/>
            <w:tcBorders/>
            <w:vAlign w:val="center"/>
          </w:tcPr>
          <w:p>
            <w:pPr>
              <w:pStyle w:val="TableContents"/>
              <w:bidi w:val="0"/>
              <w:spacing w:before="0" w:after="0"/>
              <w:ind w:left="0" w:right="0" w:hanging="0"/>
              <w:jc w:val="left"/>
              <w:rPr/>
            </w:pPr>
            <w:r>
              <w:rPr/>
              <w:t>​</w:t>
            </w:r>
          </w:p>
        </w:tc>
        <w:tc>
          <w:tcPr>
            <w:tcW w:w="24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(6,959)</w:t>
            </w:r>
          </w:p>
        </w:tc>
        <w:tc>
          <w:tcPr>
            <w:tcW w:w="40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338,041</w:t>
            </w:r>
          </w:p>
        </w:tc>
        <w:tc>
          <w:tcPr>
            <w:tcW w:w="40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345,000</w:t>
            </w:r>
          </w:p>
        </w:tc>
        <w:tc>
          <w:tcPr>
            <w:tcW w:w="406" w:type="dxa"/>
            <w:tcBorders/>
            <w:vAlign w:val="center"/>
          </w:tcPr>
          <w:p>
            <w:pPr>
              <w:pStyle w:val="TableContents"/>
              <w:bidi w:val="0"/>
              <w:spacing w:before="0" w:after="0"/>
              <w:ind w:left="0" w:right="0" w:hanging="0"/>
              <w:jc w:val="left"/>
              <w:rPr/>
            </w:pPr>
            <w:r>
              <w:rPr/>
              <w:t>​</w:t>
            </w:r>
          </w:p>
        </w:tc>
        <w:tc>
          <w:tcPr>
            <w:tcW w:w="24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(7,523)</w:t>
            </w:r>
          </w:p>
        </w:tc>
        <w:tc>
          <w:tcPr>
            <w:tcW w:w="40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337,477</w:t>
            </w:r>
          </w:p>
        </w:tc>
      </w:tr>
    </w:tbl>
    <w:p>
      <w:pPr>
        <w:pStyle w:val="TextBody"/>
        <w:bidi w:val="0"/>
        <w:spacing w:before="0" w:after="0"/>
        <w:ind w:left="0" w:right="0" w:hanging="0"/>
        <w:jc w:val="left"/>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rFonts w:ascii="Times New Roman;Times;serif" w:hAnsi="Times New Roman;Times;serif"/>
          <w:sz w:val="20"/>
        </w:rPr>
      </w:pPr>
      <w:r>
        <w:rPr>
          <w:rFonts w:ascii="Times New Roman;Times;serif" w:hAnsi="Times New Roman;Times;serif"/>
          <w:sz w:val="20"/>
        </w:rPr>
        <w:t xml:space="preserve">The Company’s interest expense related to the Notes is as follows: </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tbl>
      <w:tblPr>
        <w:tblW w:w="6839" w:type="dxa"/>
        <w:jc w:val="left"/>
        <w:tblInd w:w="0" w:type="dxa"/>
        <w:tblLayout w:type="fixed"/>
        <w:tblCellMar>
          <w:top w:w="0" w:type="dxa"/>
          <w:left w:w="0" w:type="dxa"/>
          <w:bottom w:w="0" w:type="dxa"/>
          <w:right w:w="0" w:type="dxa"/>
        </w:tblCellMar>
      </w:tblPr>
      <w:tblGrid>
        <w:gridCol w:w="3421"/>
        <w:gridCol w:w="109"/>
        <w:gridCol w:w="109"/>
        <w:gridCol w:w="370"/>
        <w:gridCol w:w="1003"/>
        <w:gridCol w:w="191"/>
        <w:gridCol w:w="370"/>
        <w:gridCol w:w="1003"/>
        <w:gridCol w:w="109"/>
        <w:gridCol w:w="154"/>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172335" cy="175260"/>
                      <wp:effectExtent l="0" t="0" r="0" b="0"/>
                      <wp:wrapNone/>
                      <wp:docPr id="241" name="Frame241"/>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9215" cy="175260"/>
                      <wp:effectExtent l="0" t="0" r="0" b="0"/>
                      <wp:wrapNone/>
                      <wp:docPr id="242" name="Frame2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9215" cy="175260"/>
                      <wp:effectExtent l="0" t="0" r="0" b="0"/>
                      <wp:wrapNone/>
                      <wp:docPr id="243" name="Frame2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34950" cy="175260"/>
                      <wp:effectExtent l="0" t="0" r="0" b="0"/>
                      <wp:wrapNone/>
                      <wp:docPr id="244" name="Frame244"/>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36905" cy="175260"/>
                      <wp:effectExtent l="0" t="0" r="0" b="0"/>
                      <wp:wrapNone/>
                      <wp:docPr id="245" name="Frame245"/>
                      <a:graphic xmlns:a="http://schemas.openxmlformats.org/drawingml/2006/main">
                        <a:graphicData uri="http://schemas.microsoft.com/office/word/2010/wordprocessingShape">
                          <wps:wsp>
                            <wps:cNvSpPr txBox="1"/>
                            <wps:spPr>
                              <a:xfrm>
                                <a:off x="0" y="0"/>
                                <a:ext cx="636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21285" cy="175260"/>
                      <wp:effectExtent l="0" t="0" r="0" b="0"/>
                      <wp:wrapNone/>
                      <wp:docPr id="246" name="Frame246"/>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34950" cy="175260"/>
                      <wp:effectExtent l="0" t="0" r="0" b="0"/>
                      <wp:wrapNone/>
                      <wp:docPr id="247" name="Frame247"/>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36905" cy="175260"/>
                      <wp:effectExtent l="0" t="0" r="0" b="0"/>
                      <wp:wrapNone/>
                      <wp:docPr id="248" name="Frame248"/>
                      <a:graphic xmlns:a="http://schemas.openxmlformats.org/drawingml/2006/main">
                        <a:graphicData uri="http://schemas.microsoft.com/office/word/2010/wordprocessingShape">
                          <wps:wsp>
                            <wps:cNvSpPr txBox="1"/>
                            <wps:spPr>
                              <a:xfrm>
                                <a:off x="0" y="0"/>
                                <a:ext cx="636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9215" cy="175260"/>
                      <wp:effectExtent l="0" t="0" r="0" b="0"/>
                      <wp:wrapNone/>
                      <wp:docPr id="249" name="Frame2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97790" cy="175260"/>
                      <wp:effectExtent l="0" t="0" r="0" b="0"/>
                      <wp:wrapNone/>
                      <wp:docPr id="250" name="Frame25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3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 </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91" w:type="dxa"/>
            <w:tcBorders/>
            <w:vAlign w:val="center"/>
          </w:tcPr>
          <w:p>
            <w:pPr>
              <w:pStyle w:val="TableContents"/>
              <w:bidi w:val="0"/>
              <w:spacing w:before="0" w:after="0"/>
              <w:ind w:left="0" w:right="0" w:hanging="0"/>
              <w:jc w:val="center"/>
              <w:rPr/>
            </w:pPr>
            <w:r>
              <w:rPr/>
              <w:t>​</w:t>
            </w:r>
          </w:p>
        </w:tc>
        <w:tc>
          <w:tcPr>
            <w:tcW w:w="3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839"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3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2567"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Contractual 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w:t>
            </w:r>
          </w:p>
        </w:tc>
        <w:tc>
          <w:tcPr>
            <w:tcW w:w="191"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w:t>
            </w:r>
          </w:p>
        </w:tc>
        <w:tc>
          <w:tcPr>
            <w:tcW w:w="109"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issuance costs</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w:t>
            </w:r>
          </w:p>
        </w:tc>
        <w:tc>
          <w:tcPr>
            <w:tcW w:w="191" w:type="dxa"/>
            <w:tcBorders/>
            <w:vAlign w:val="center"/>
          </w:tcPr>
          <w:p>
            <w:pPr>
              <w:pStyle w:val="TableContents"/>
              <w:bidi w:val="0"/>
              <w:spacing w:before="0" w:after="0"/>
              <w:ind w:left="0" w:right="0" w:hanging="0"/>
              <w:jc w:val="left"/>
              <w:rPr/>
            </w:pPr>
            <w:r>
              <w:rPr/>
              <w:t>​</w:t>
            </w:r>
          </w:p>
        </w:tc>
        <w:tc>
          <w:tcPr>
            <w:tcW w:w="3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interest expense, convertible senior notes</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1,211</w:t>
            </w:r>
          </w:p>
        </w:tc>
        <w:tc>
          <w:tcPr>
            <w:tcW w:w="191" w:type="dxa"/>
            <w:tcBorders/>
            <w:shd w:fill="CCEEFF" w:val="clear"/>
            <w:vAlign w:val="center"/>
          </w:tcPr>
          <w:p>
            <w:pPr>
              <w:pStyle w:val="TableContents"/>
              <w:bidi w:val="0"/>
              <w:spacing w:before="0" w:after="0"/>
              <w:ind w:left="0" w:right="0" w:hanging="0"/>
              <w:jc w:val="left"/>
              <w:rPr/>
            </w:pPr>
            <w:r>
              <w:rPr/>
              <w:t>​</w:t>
            </w:r>
          </w:p>
        </w:tc>
        <w:tc>
          <w:tcPr>
            <w:tcW w:w="3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1,211</w:t>
            </w:r>
          </w:p>
        </w:tc>
        <w:tc>
          <w:tcPr>
            <w:tcW w:w="109"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9.</w:t>
      </w:r>
      <w:r>
        <w:rPr>
          <w:rFonts w:ascii="Times New Roman;Times;serif" w:hAnsi="Times New Roman;Times;serif"/>
          <w:b/>
          <w:sz w:val="20"/>
        </w:rPr>
        <w:t>STOCKHOLDERS’ EQUITY</w:t>
      </w:r>
      <w:r>
        <w:rPr>
          <w:rFonts w:ascii="Times New Roman;Times;serif" w:hAnsi="Times New Roman;Times;serif"/>
          <w:b/>
          <w:color w:val="FF0000"/>
          <w:sz w:val="20"/>
        </w:rPr>
        <w:t xml:space="preserve"> </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Common Stock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three months ended March 31, 2026, the Company issued (i) 37 shares of Class A common stock related to the exercise of options, and (ii) 941 shares of Class A common stock in connection with the vesting of Restricted Stock Units (“RSUs”), net of 549 shares returned to the Company in lieu of payment of taxes due on the vesting of these RSUs.</w:t>
      </w:r>
      <w:r>
        <w:rPr>
          <w:rFonts w:ascii="Times New Roman;Times;serif" w:hAnsi="Times New Roman;Times;serif"/>
          <w:sz w:val="20"/>
          <w:shd w:fill="00FF00" w:val="clear"/>
        </w:rPr>
        <w:t xml:space="preserve"> </w:t>
      </w:r>
      <w:r>
        <w:rPr>
          <w:rFonts w:ascii="Times New Roman;Times;serif" w:hAnsi="Times New Roman;Times;serif"/>
          <w:sz w:val="20"/>
        </w:rPr>
        <w:t xml:space="preserve">During the three months ended March 31, 2026, the Company issued 324 shares of its Class A common stock for the Stock Earn-out period ended November 30, 2025.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During the three months ended March 31, 2025, the Company issued 374 shares of Class A common stock related to the exercise of options, net of 13 shares returned to the Company in lieu of payment of the exercise price and taxes due 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766" w:type="dxa"/>
        <w:jc w:val="left"/>
        <w:tblInd w:w="0" w:type="dxa"/>
        <w:tblLayout w:type="fixed"/>
        <w:tblCellMar>
          <w:top w:w="0" w:type="dxa"/>
          <w:left w:w="0" w:type="dxa"/>
          <w:bottom w:w="0" w:type="dxa"/>
          <w:right w:w="0" w:type="dxa"/>
        </w:tblCellMar>
      </w:tblPr>
      <w:tblGrid>
        <w:gridCol w:w="6766"/>
      </w:tblGrid>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bookmarkStart w:id="1376" w:name="Tc_t857GrdS7kCYuCB3yvaUug_7_0"/>
      <w:bookmarkStart w:id="1377" w:name="Tc_oBktp-5zJkuN0JooTN-zwA_6_5"/>
      <w:bookmarkStart w:id="1378" w:name="Tc_ZBdnu6B9nUa0IJGDQm39Kg_6_4"/>
      <w:bookmarkStart w:id="1379" w:name="Tc__EJEUr2RR0uQJ7XkvpGZuQ_6_1"/>
      <w:bookmarkStart w:id="1380" w:name="Tc_ETN3wQEPbESbN5ftkvQOQQ_6_0"/>
      <w:bookmarkStart w:id="1381" w:name="Tc_kXBWZwjeqESvTfs6FKkVsg_5_5"/>
      <w:bookmarkStart w:id="1382" w:name="Tc_CRlWBTQel06psGn80UjlXw_5_4"/>
      <w:bookmarkStart w:id="1383" w:name="Tc_GtJkNc05ZEutX2bI8y7PfQ_5_1"/>
      <w:bookmarkStart w:id="1384" w:name="Tc_46sAt2VnFEmgRoL04nOslg_5_0"/>
      <w:bookmarkStart w:id="1385" w:name="Tc_XtUM3MuIWUKD48wWjdt7Kg_4_5"/>
      <w:bookmarkStart w:id="1386" w:name="Tc_YWlWOt3pgEK_rOSNeu5a7w_4_0"/>
      <w:bookmarkStart w:id="1387" w:name="Tc_NX9-O_rvXEKy_ffO_PdWDQ_3_1"/>
      <w:bookmarkStart w:id="1388" w:name="Tc_RhZFoPgkg0qS7jyqcUw6Pw_2_4"/>
      <w:bookmarkStart w:id="1389" w:name="Tc_7x_xZgqc1k6BpUzCwBJiFQ_2_1"/>
      <w:bookmarkStart w:id="1390" w:name="Tc_RJYOX5jGVESbQbzGJuBj7Q_1_1"/>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r>
        <w:rPr>
          <w:rFonts w:ascii="Times New Roman;Times;serif" w:hAnsi="Times New Roman;Times;serif"/>
          <w:sz w:val="20"/>
        </w:rPr>
        <w:t>these exercises. During this period, the Company also issued 863 shares of Class A common stock in connection with the vesting of RSUs, net of 545 shares returned to the Company in lieu of payment of taxes due on the vesting of these RSUs.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Treasury Stock</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The Repurchase Program</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On October 30, 2025, the board of directors (the “Board”) authorized a stock repurchase program for up to $150,000 of the Company’s outstanding shares of Class A common stock (the “Repurchase Program”). Under the Repurchase Program, share repurchases may be made from time to time in one or more open market or privately negotiated transactions, and/or through other legally permissible means in accordance with applicable rules and regulations promulgated under the Securities Exchange Act of 1934, as amended (the “Exchange Act”). The timing and amount of any shares repurchased will be determined by the Company’s management based on its evaluation of market conditions and other factors. Repurchases may also be made under a Rule 10b5-1 plan, which would permit shares to be repurchased when the Company might otherwise be precluded from doing so under insider trading laws. Any repurchased shares will be available for use in connection with the Company’s stock plans and for other corporate purposes. The Repurchase Program has no termination date and may be modified, suspended or discontinued at any time.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table below sets forth information regarding repurchase of shares under the Repurchase Program (in thousands, except per share data): </w:t>
      </w:r>
    </w:p>
    <w:p>
      <w:pPr>
        <w:pStyle w:val="TextBody"/>
        <w:bidi w:val="0"/>
        <w:spacing w:before="0" w:after="0"/>
        <w:ind w:left="0" w:right="0" w:hanging="0"/>
        <w:jc w:val="left"/>
        <w:rPr/>
      </w:pPr>
      <w:r>
        <w:rPr/>
        <w:t>​</w:t>
      </w:r>
    </w:p>
    <w:tbl>
      <w:tblPr>
        <w:tblW w:w="5971" w:type="dxa"/>
        <w:jc w:val="left"/>
        <w:tblInd w:w="0" w:type="dxa"/>
        <w:tblLayout w:type="fixed"/>
        <w:tblCellMar>
          <w:top w:w="0" w:type="dxa"/>
          <w:left w:w="0" w:type="dxa"/>
          <w:bottom w:w="0" w:type="dxa"/>
          <w:right w:w="0" w:type="dxa"/>
        </w:tblCellMar>
      </w:tblPr>
      <w:tblGrid>
        <w:gridCol w:w="2986"/>
        <w:gridCol w:w="343"/>
        <w:gridCol w:w="1100"/>
        <w:gridCol w:w="563"/>
        <w:gridCol w:w="343"/>
        <w:gridCol w:w="636"/>
      </w:tblGrid>
      <w:tr>
        <w:trPr/>
        <w:tc>
          <w:tcPr>
            <w:tcW w:w="2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896110" cy="175260"/>
                      <wp:effectExtent l="0" t="0" r="0" b="0"/>
                      <wp:wrapNone/>
                      <wp:docPr id="251" name="Frame251"/>
                      <a:graphic xmlns:a="http://schemas.openxmlformats.org/drawingml/2006/main">
                        <a:graphicData uri="http://schemas.microsoft.com/office/word/2010/wordprocessingShape">
                          <wps:wsp>
                            <wps:cNvSpPr txBox="1"/>
                            <wps:spPr>
                              <a:xfrm>
                                <a:off x="0" y="0"/>
                                <a:ext cx="1896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17805" cy="175260"/>
                      <wp:effectExtent l="0" t="0" r="0" b="0"/>
                      <wp:wrapNone/>
                      <wp:docPr id="252" name="Frame252"/>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98500" cy="175260"/>
                      <wp:effectExtent l="0" t="0" r="0" b="0"/>
                      <wp:wrapNone/>
                      <wp:docPr id="253" name="Frame253"/>
                      <a:graphic xmlns:a="http://schemas.openxmlformats.org/drawingml/2006/main">
                        <a:graphicData uri="http://schemas.microsoft.com/office/word/2010/wordprocessingShape">
                          <wps:wsp>
                            <wps:cNvSpPr txBox="1"/>
                            <wps:spPr>
                              <a:xfrm>
                                <a:off x="0" y="0"/>
                                <a:ext cx="698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357505" cy="175260"/>
                      <wp:effectExtent l="0" t="0" r="0" b="0"/>
                      <wp:wrapNone/>
                      <wp:docPr id="254" name="Frame254"/>
                      <a:graphic xmlns:a="http://schemas.openxmlformats.org/drawingml/2006/main">
                        <a:graphicData uri="http://schemas.microsoft.com/office/word/2010/wordprocessingShape">
                          <wps:wsp>
                            <wps:cNvSpPr txBox="1"/>
                            <wps:spPr>
                              <a:xfrm>
                                <a:off x="0" y="0"/>
                                <a:ext cx="357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17805" cy="175260"/>
                      <wp:effectExtent l="0" t="0" r="0" b="0"/>
                      <wp:wrapNone/>
                      <wp:docPr id="255" name="Frame255"/>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403860" cy="175260"/>
                      <wp:effectExtent l="0" t="0" r="0" b="0"/>
                      <wp:wrapNone/>
                      <wp:docPr id="256" name="Frame256"/>
                      <a:graphic xmlns:a="http://schemas.openxmlformats.org/drawingml/2006/main">
                        <a:graphicData uri="http://schemas.microsoft.com/office/word/2010/wordprocessingShape">
                          <wps:wsp>
                            <wps:cNvSpPr txBox="1"/>
                            <wps:spPr>
                              <a:xfrm>
                                <a:off x="0" y="0"/>
                                <a:ext cx="403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86" w:type="dxa"/>
            <w:tcBorders/>
            <w:vAlign w:val="center"/>
          </w:tcPr>
          <w:p>
            <w:pPr>
              <w:pStyle w:val="TableContents"/>
              <w:bidi w:val="0"/>
              <w:spacing w:before="0" w:after="0"/>
              <w:ind w:left="0" w:right="0" w:hanging="0"/>
              <w:jc w:val="left"/>
              <w:rPr/>
            </w:pPr>
            <w:r>
              <w:rPr/>
              <w:t>​</w:t>
            </w:r>
          </w:p>
        </w:tc>
        <w:tc>
          <w:tcPr>
            <w:tcW w:w="29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 </w:t>
            </w:r>
          </w:p>
        </w:tc>
      </w:tr>
      <w:tr>
        <w:trPr/>
        <w:tc>
          <w:tcPr>
            <w:tcW w:w="2986" w:type="dxa"/>
            <w:tcBorders/>
            <w:vAlign w:val="center"/>
          </w:tcPr>
          <w:p>
            <w:pPr>
              <w:pStyle w:val="TableContents"/>
              <w:bidi w:val="0"/>
              <w:spacing w:before="0" w:after="0"/>
              <w:ind w:left="0" w:right="0" w:hanging="0"/>
              <w:jc w:val="left"/>
              <w:rPr/>
            </w:pPr>
            <w:r>
              <w:rPr/>
              <w:t>​</w:t>
            </w:r>
          </w:p>
        </w:tc>
        <w:tc>
          <w:tcPr>
            <w:tcW w:w="14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63" w:type="dxa"/>
            <w:tcBorders/>
            <w:vAlign w:val="center"/>
          </w:tcPr>
          <w:p>
            <w:pPr>
              <w:pStyle w:val="TableContents"/>
              <w:bidi w:val="0"/>
              <w:spacing w:before="0" w:after="0"/>
              <w:ind w:left="0" w:right="0" w:hanging="0"/>
              <w:jc w:val="left"/>
              <w:rPr/>
            </w:pPr>
            <w:r>
              <w:rPr/>
              <w:t>  ​ ​ ​</w:t>
            </w:r>
          </w:p>
        </w:tc>
        <w:tc>
          <w:tcPr>
            <w:tcW w:w="9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971" w:type="dxa"/>
            <w:gridSpan w:val="6"/>
            <w:tcBorders/>
            <w:vAlign w:val="center"/>
          </w:tcPr>
          <w:p>
            <w:pPr>
              <w:pStyle w:val="TableContents"/>
              <w:bidi w:val="0"/>
              <w:spacing w:before="0" w:after="283"/>
              <w:ind w:left="0" w:right="0" w:hanging="0"/>
              <w:jc w:val="left"/>
              <w:rPr>
                <w:sz w:val="4"/>
                <w:szCs w:val="4"/>
              </w:rPr>
            </w:pPr>
            <w:r>
              <w:rPr>
                <w:sz w:val="4"/>
                <w:szCs w:val="4"/>
              </w:rPr>
            </w:r>
          </w:p>
        </w:tc>
      </w:tr>
      <w:tr>
        <w:trPr/>
        <w:tc>
          <w:tcPr>
            <w:tcW w:w="2986" w:type="dxa"/>
            <w:tcBorders/>
            <w:vAlign w:val="center"/>
          </w:tcPr>
          <w:p>
            <w:pPr>
              <w:pStyle w:val="TableContents"/>
              <w:bidi w:val="0"/>
              <w:spacing w:before="0" w:after="0"/>
              <w:ind w:left="0" w:right="0" w:hanging="0"/>
              <w:jc w:val="left"/>
              <w:rPr/>
            </w:pPr>
            <w:r>
              <w:rPr/>
              <w:t>​</w:t>
            </w:r>
          </w:p>
        </w:tc>
        <w:tc>
          <w:tcPr>
            <w:tcW w:w="298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29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number of shares repurchased</w:t>
            </w:r>
          </w:p>
        </w:tc>
        <w:tc>
          <w:tcPr>
            <w:tcW w:w="343" w:type="dxa"/>
            <w:tcBorders/>
            <w:shd w:fill="CCEEFF" w:val="clear"/>
            <w:vAlign w:val="center"/>
          </w:tcPr>
          <w:p>
            <w:pPr>
              <w:pStyle w:val="TableContents"/>
              <w:bidi w:val="0"/>
              <w:spacing w:before="0" w:after="0"/>
              <w:ind w:left="0" w:right="0" w:hanging="0"/>
              <w:jc w:val="left"/>
              <w:rPr/>
            </w:pPr>
            <w:r>
              <w:rPr/>
              <w:t>​</w:t>
            </w:r>
          </w:p>
        </w:tc>
        <w:tc>
          <w:tcPr>
            <w:tcW w:w="11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1,371</w:t>
            </w:r>
          </w:p>
        </w:tc>
        <w:tc>
          <w:tcPr>
            <w:tcW w:w="563"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pPr>
            <w:r>
              <w:rPr/>
              <w:t>​</w:t>
            </w:r>
          </w:p>
        </w:tc>
        <w:tc>
          <w:tcPr>
            <w:tcW w:w="636" w:type="dxa"/>
            <w:tcBorders/>
            <w:shd w:fill="CCEEFF" w:val="clear"/>
            <w:vAlign w:val="center"/>
          </w:tcPr>
          <w:p>
            <w:pPr>
              <w:pStyle w:val="TableContents"/>
              <w:bidi w:val="0"/>
              <w:spacing w:before="0" w:after="0"/>
              <w:ind w:left="0" w:right="0" w:hanging="0"/>
              <w:jc w:val="right"/>
              <w:rPr/>
            </w:pPr>
            <w:r>
              <w:rPr/>
              <w:t>—</w:t>
            </w:r>
          </w:p>
        </w:tc>
      </w:tr>
      <w:tr>
        <w:trPr/>
        <w:tc>
          <w:tcPr>
            <w:tcW w:w="298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Average price paid per share </w:t>
            </w:r>
            <w:r>
              <w:rPr>
                <w:rFonts w:ascii="Times New Roman;Times;serif" w:hAnsi="Times New Roman;Times;serif"/>
                <w:sz w:val="15"/>
              </w:rPr>
              <w:t>(1)</w:t>
            </w:r>
          </w:p>
        </w:tc>
        <w:tc>
          <w:tcPr>
            <w:tcW w:w="3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14.59</w:t>
            </w:r>
          </w:p>
        </w:tc>
        <w:tc>
          <w:tcPr>
            <w:tcW w:w="563"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vAlign w:val="center"/>
          </w:tcPr>
          <w:p>
            <w:pPr>
              <w:pStyle w:val="TableContents"/>
              <w:bidi w:val="0"/>
              <w:spacing w:before="0" w:after="0"/>
              <w:ind w:left="0" w:right="0" w:hanging="0"/>
              <w:jc w:val="right"/>
              <w:rPr/>
            </w:pPr>
            <w:r>
              <w:rPr/>
              <w:t>—</w:t>
            </w:r>
          </w:p>
        </w:tc>
      </w:tr>
      <w:tr>
        <w:trPr/>
        <w:tc>
          <w:tcPr>
            <w:tcW w:w="298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Amount repurchased </w:t>
            </w:r>
            <w:r>
              <w:rPr>
                <w:rFonts w:ascii="Times New Roman;Times;serif" w:hAnsi="Times New Roman;Times;serif"/>
                <w:sz w:val="15"/>
              </w:rPr>
              <w:t>(1)</w:t>
            </w:r>
          </w:p>
        </w:tc>
        <w:tc>
          <w:tcPr>
            <w:tcW w:w="3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20,000</w:t>
            </w:r>
          </w:p>
        </w:tc>
        <w:tc>
          <w:tcPr>
            <w:tcW w:w="563"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CCEEFF" w:val="clear"/>
            <w:vAlign w:val="center"/>
          </w:tcPr>
          <w:p>
            <w:pPr>
              <w:pStyle w:val="TableContents"/>
              <w:bidi w:val="0"/>
              <w:spacing w:before="0" w:after="0"/>
              <w:ind w:left="0" w:right="0" w:hanging="0"/>
              <w:jc w:val="right"/>
              <w:rPr/>
            </w:pPr>
            <w:r>
              <w:rPr/>
              <w:t>—</w:t>
            </w:r>
          </w:p>
        </w:tc>
      </w:tr>
      <w:tr>
        <w:trPr/>
        <w:tc>
          <w:tcPr>
            <w:tcW w:w="5971" w:type="dxa"/>
            <w:gridSpan w:val="6"/>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4"/>
              </w:rPr>
              <w:t>(1)</w:t>
            </w:r>
            <w:r>
              <w:rPr>
                <w:rFonts w:ascii="Times New Roman;Times;serif" w:hAnsi="Times New Roman;Times;serif"/>
                <w:sz w:val="18"/>
              </w:rPr>
              <w:t xml:space="preserve"> Amount excludes excise tax and commissions.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766" w:type="dxa"/>
        <w:jc w:val="left"/>
        <w:tblInd w:w="0" w:type="dxa"/>
        <w:tblLayout w:type="fixed"/>
        <w:tblCellMar>
          <w:top w:w="0" w:type="dxa"/>
          <w:left w:w="0" w:type="dxa"/>
          <w:bottom w:w="0" w:type="dxa"/>
          <w:right w:w="0" w:type="dxa"/>
        </w:tblCellMar>
      </w:tblPr>
      <w:tblGrid>
        <w:gridCol w:w="6766"/>
      </w:tblGrid>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1391" w:name="Tc_QteZoRajNUaDqBQMnpjazw_10_0"/>
      <w:bookmarkStart w:id="1392" w:name="Tc_8DRnf__VfE2gafWm8cGIHw_9_0"/>
      <w:bookmarkStart w:id="1393" w:name="Tc_5x3rS7MKvkm8dKBGtj8Waw_8_5"/>
      <w:bookmarkStart w:id="1394" w:name="Tc_DEp4695oqka7MCQlGri4Xw_8_0"/>
      <w:bookmarkStart w:id="1395" w:name="Tc_w0kqG1iZHk6kIubjNk7NmA_7_5"/>
      <w:bookmarkStart w:id="1396" w:name="Tc_-St6SQLWjEe7akjdsSSBEQ_7_0"/>
      <w:bookmarkStart w:id="1397" w:name="Tc_QIxJ7zJeL0auP0ZnlOugOg_6_5"/>
      <w:bookmarkStart w:id="1398" w:name="Tc_hpcfgmlUkEiWfdU3sx41yA_6_0"/>
      <w:bookmarkStart w:id="1399" w:name="Tc_X4GPZyAJCEWgopWH1JS9GQ_5_5"/>
      <w:bookmarkStart w:id="1400" w:name="Tc_DYz0S4omIEGYhHrVyCA9Dg_5_0"/>
      <w:bookmarkStart w:id="1401" w:name="Tc_lMevDj42BU-sRawtaJVTgA_4_5"/>
      <w:bookmarkStart w:id="1402" w:name="Tc_Tp_HC5bN-kmlYlmRQ2dd8w_4_0"/>
      <w:bookmarkStart w:id="1403" w:name="Tc_gxzo8_OehUigmTcZg5E7iQ_3_1"/>
      <w:bookmarkStart w:id="1404" w:name="Tc_wKiDqhHh3kukHQvc17VO0g_2_5"/>
      <w:bookmarkStart w:id="1405" w:name="Tc_pibXKFe6Y0OinJrBY0bv0g_2_1"/>
      <w:bookmarkStart w:id="1406" w:name="Tc_KppYdn0ki0iAn31LE3MldA_1_1"/>
      <w:bookmarkStart w:id="1407" w:name="Tc_-5mB1D4gcES5GG6SN4qT_Q_21_0"/>
      <w:bookmarkStart w:id="1408" w:name="Tc_YpxZs_20D0mljGo2QrOUqg_20_10"/>
      <w:bookmarkStart w:id="1409" w:name="Tc_dLkkYn_7F06m2DUE-45BxQ_20_7"/>
      <w:bookmarkStart w:id="1410" w:name="Tc_fXLl5HQjpU6cjxBOGYTG-Q_20_4"/>
      <w:bookmarkStart w:id="1411" w:name="Tc_TUAUdWcxOUycUuSIgmQcqQ_20_1"/>
      <w:bookmarkStart w:id="1412" w:name="Tc_Z9EfwQTONkqOZ4lp_X7_SA_20_0"/>
      <w:bookmarkStart w:id="1413" w:name="Tc_u4HTlrVkEE6_R6SvVwrOhg_19_0"/>
      <w:bookmarkStart w:id="1414" w:name="Tc_iidbOnNxcEusxWdCS3zalQ_18_11"/>
      <w:bookmarkStart w:id="1415" w:name="Tc_6cIMZQX510WPLAmYSNTwZQ_18_5"/>
      <w:bookmarkStart w:id="1416" w:name="Tc_ehi78m3a10iPL2pqqNuCVA_18_2"/>
      <w:bookmarkStart w:id="1417" w:name="Tc_ro61WgwRXU2RQjTDw91TNQ_18_0"/>
      <w:bookmarkStart w:id="1418" w:name="Tc_hvJ0cFUxb06lqvbXebQvQA_17_0"/>
      <w:bookmarkStart w:id="1419" w:name="Tc_WKJC0Xa2UkOYay7Gf41x6g_16_0"/>
      <w:bookmarkStart w:id="1420" w:name="Tc_kNwyuWHLxUafId1lGGjrnQ_15_10"/>
      <w:bookmarkStart w:id="1421" w:name="Tc_bT6iUGZWy0O82YVaU_mCQg_15_7"/>
      <w:bookmarkStart w:id="1422" w:name="Tc_7kTqMhI53UCFKpPPxygOAQ_15_4"/>
      <w:bookmarkStart w:id="1423" w:name="Tc_bZw4vio8V06klL8EefSmrg_15_1"/>
      <w:bookmarkStart w:id="1424" w:name="Tc_X0o31jr4lUC9FBRdli7W_g_15_0"/>
      <w:bookmarkStart w:id="1425" w:name="Tc_PjiK8m8vwUC8raqPUAxYiA_14_10"/>
      <w:bookmarkStart w:id="1426" w:name="Tc_7Ht8meZF4U27CrcWTtRkGQ_14_7"/>
      <w:bookmarkStart w:id="1427" w:name="Tc_KPiS_fP8nU25-tT5XgJyVA_14_4"/>
      <w:bookmarkStart w:id="1428" w:name="Tc_sQYfffO35EOBzG0YaB41mQ_14_1"/>
      <w:bookmarkStart w:id="1429" w:name="Tc_QlVFlxp3_0mUA2WQIGMnhg_14_0"/>
      <w:bookmarkStart w:id="1430" w:name="Tc_6E7JVRYuYk-UehxEdUyTXw_13_0"/>
      <w:bookmarkStart w:id="1431" w:name="Tc_QSIWmFmNe066Gfk7VhyR_g_12_0"/>
      <w:bookmarkStart w:id="1432" w:name="Tc_taLZrsaBEkezxmunwEaW6A_10_10"/>
      <w:bookmarkStart w:id="1433" w:name="Tc_cIJjj0Slhk6nncmAcCpW2g_10_7"/>
      <w:bookmarkStart w:id="1434" w:name="Tc_f-YLTqUcb0ecKaGWe_rZWA_10_4"/>
      <w:bookmarkStart w:id="1435" w:name="Tc_LW4W2r06n0CAFMpzTqniXg_10_1"/>
      <w:bookmarkStart w:id="1436" w:name="Tc_Lcc1xz_kL0qAs7axJwrvfA_10_0"/>
      <w:bookmarkStart w:id="1437" w:name="Tc_qY3pQ3Iou0ur9V4o693G2g_9_0"/>
      <w:bookmarkStart w:id="1438" w:name="Tc_W0TX32mRD0GQ_8phytmMgQ_8_0"/>
      <w:bookmarkStart w:id="1439" w:name="Tc_oLTzBErLr0-3jI_WmjfnOA_7_10"/>
      <w:bookmarkStart w:id="1440" w:name="Tc_xyboxf2-TkSLJbBrva9btA_7_7"/>
      <w:bookmarkStart w:id="1441" w:name="Tc_W04DV_cvyki6agSj_jzrkQ_7_4"/>
      <w:bookmarkStart w:id="1442" w:name="Tc_bPNgnGYbokeqv2oiPHP8bw_7_1"/>
      <w:bookmarkStart w:id="1443" w:name="Tc_kzV1A_-vsUy5a-lG-eG4Zw_7_0"/>
      <w:bookmarkStart w:id="1444" w:name="Tc_kNVJXmALh0qe7lAKKJQ6RA_6_0"/>
      <w:bookmarkStart w:id="1445" w:name="Tc_1N_AbjiVwkabJuVL99QojQ_5_0"/>
      <w:bookmarkStart w:id="1446" w:name="Tc_qO7BfoBAH0COSrZBvFD97g_4_1"/>
      <w:bookmarkStart w:id="1447" w:name="Tc_Kput7uWZtEOOIjU_g-WbAQ_3_11"/>
      <w:bookmarkStart w:id="1448" w:name="Tc_NWLJtwIehkK0CYVwi_rfoA_3_8"/>
      <w:bookmarkStart w:id="1449" w:name="Tc_j4dr-obp30S2b_vxkN8nyw_3_5"/>
      <w:bookmarkStart w:id="1450" w:name="Tc_DWs-fMJUI0e1VvxsO3pFyQ_3_2"/>
      <w:bookmarkStart w:id="1451" w:name="Tc_lQ7S5Wu2SkOX3jvdQTyzBg_2_7"/>
      <w:bookmarkStart w:id="1452" w:name="Tc_VrusVlOxg0WRxTvBU9eZnQ_2_1"/>
      <w:bookmarkStart w:id="1453" w:name="Tc_YjeLKhfgQkGyuQYBU5y2Jw_1_1"/>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r>
        <w:rPr>
          <w:rFonts w:ascii="Times New Roman;Times;serif" w:hAnsi="Times New Roman;Times;serif"/>
          <w:b/>
          <w:sz w:val="20"/>
        </w:rPr>
        <w:t xml:space="preserve">10.    EARNINGS PER SHARE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tables below illustrate the calculation of basic and diluted net income per common share for the Class A common stock and Class B common stock for the periods reflected below.</w:t>
      </w:r>
      <w:r>
        <w:rPr>
          <w:rFonts w:ascii="Times New Roman;Times;serif" w:hAnsi="Times New Roman;Times;serif"/>
          <w:color w:val="FF0000"/>
          <w:sz w:val="20"/>
        </w:rPr>
        <w:t xml:space="preserve">  </w:t>
      </w:r>
    </w:p>
    <w:p>
      <w:pPr>
        <w:pStyle w:val="TextBody"/>
        <w:bidi w:val="0"/>
        <w:spacing w:before="0" w:after="0"/>
        <w:ind w:left="0" w:right="0" w:hanging="0"/>
        <w:jc w:val="both"/>
        <w:rPr/>
      </w:pPr>
      <w:r>
        <w:rPr/>
        <w:t>​</w:t>
      </w:r>
    </w:p>
    <w:tbl>
      <w:tblPr>
        <w:tblW w:w="7806" w:type="dxa"/>
        <w:jc w:val="left"/>
        <w:tblInd w:w="0" w:type="dxa"/>
        <w:tblLayout w:type="fixed"/>
        <w:tblCellMar>
          <w:top w:w="0" w:type="dxa"/>
          <w:left w:w="0" w:type="dxa"/>
          <w:bottom w:w="0" w:type="dxa"/>
          <w:right w:w="0" w:type="dxa"/>
        </w:tblCellMar>
      </w:tblPr>
      <w:tblGrid>
        <w:gridCol w:w="4006"/>
        <w:gridCol w:w="196"/>
        <w:gridCol w:w="646"/>
        <w:gridCol w:w="109"/>
        <w:gridCol w:w="196"/>
        <w:gridCol w:w="676"/>
        <w:gridCol w:w="109"/>
        <w:gridCol w:w="196"/>
        <w:gridCol w:w="646"/>
        <w:gridCol w:w="109"/>
        <w:gridCol w:w="196"/>
        <w:gridCol w:w="721"/>
      </w:tblGrid>
      <w:tr>
        <w:trPr/>
        <w:tc>
          <w:tcPr>
            <w:tcW w:w="4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543810" cy="175260"/>
                      <wp:effectExtent l="0" t="0" r="0" b="0"/>
                      <wp:wrapNone/>
                      <wp:docPr id="257" name="Frame257"/>
                      <a:graphic xmlns:a="http://schemas.openxmlformats.org/drawingml/2006/main">
                        <a:graphicData uri="http://schemas.microsoft.com/office/word/2010/wordprocessingShape">
                          <wps:wsp>
                            <wps:cNvSpPr txBox="1"/>
                            <wps:spPr>
                              <a:xfrm>
                                <a:off x="0" y="0"/>
                                <a:ext cx="2543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24460" cy="175260"/>
                      <wp:effectExtent l="0" t="0" r="0" b="0"/>
                      <wp:wrapNone/>
                      <wp:docPr id="258" name="Frame25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410210" cy="175260"/>
                      <wp:effectExtent l="0" t="0" r="0" b="0"/>
                      <wp:wrapNone/>
                      <wp:docPr id="259" name="Frame259"/>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9215" cy="175260"/>
                      <wp:effectExtent l="0" t="0" r="0" b="0"/>
                      <wp:wrapNone/>
                      <wp:docPr id="260" name="Frame2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24460" cy="175260"/>
                      <wp:effectExtent l="0" t="0" r="0" b="0"/>
                      <wp:wrapNone/>
                      <wp:docPr id="261" name="Frame26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429260" cy="175260"/>
                      <wp:effectExtent l="0" t="0" r="0" b="0"/>
                      <wp:wrapNone/>
                      <wp:docPr id="262" name="Frame26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9215" cy="175260"/>
                      <wp:effectExtent l="0" t="0" r="0" b="0"/>
                      <wp:wrapNone/>
                      <wp:docPr id="263" name="Frame2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24460" cy="175260"/>
                      <wp:effectExtent l="0" t="0" r="0" b="0"/>
                      <wp:wrapNone/>
                      <wp:docPr id="264" name="Frame26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410210" cy="175260"/>
                      <wp:effectExtent l="0" t="0" r="0" b="0"/>
                      <wp:wrapNone/>
                      <wp:docPr id="265" name="Frame265"/>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9215" cy="175260"/>
                      <wp:effectExtent l="0" t="0" r="0" b="0"/>
                      <wp:wrapNone/>
                      <wp:docPr id="266" name="Frame2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24460" cy="175260"/>
                      <wp:effectExtent l="0" t="0" r="0" b="0"/>
                      <wp:wrapNone/>
                      <wp:docPr id="267" name="Frame26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457835" cy="175260"/>
                      <wp:effectExtent l="0" t="0" r="0" b="0"/>
                      <wp:wrapNone/>
                      <wp:docPr id="268" name="Frame268"/>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06" w:type="dxa"/>
            <w:tcBorders/>
            <w:vAlign w:val="center"/>
          </w:tcPr>
          <w:p>
            <w:pPr>
              <w:pStyle w:val="TableContents"/>
              <w:bidi w:val="0"/>
              <w:spacing w:before="0" w:after="0"/>
              <w:ind w:left="0" w:right="0" w:hanging="0"/>
              <w:jc w:val="left"/>
              <w:rPr/>
            </w:pPr>
            <w:r>
              <w:rPr/>
              <w:t>​</w:t>
            </w:r>
          </w:p>
        </w:tc>
        <w:tc>
          <w:tcPr>
            <w:tcW w:w="3800"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 </w:t>
            </w:r>
          </w:p>
        </w:tc>
      </w:tr>
      <w:tr>
        <w:trPr/>
        <w:tc>
          <w:tcPr>
            <w:tcW w:w="4006" w:type="dxa"/>
            <w:tcBorders/>
            <w:vAlign w:val="center"/>
          </w:tcPr>
          <w:p>
            <w:pPr>
              <w:pStyle w:val="TableContents"/>
              <w:bidi w:val="0"/>
              <w:spacing w:before="0" w:after="0"/>
              <w:ind w:left="0" w:right="0" w:hanging="0"/>
              <w:jc w:val="left"/>
              <w:rPr/>
            </w:pPr>
            <w:r>
              <w:rPr/>
              <w:t>​</w:t>
            </w:r>
          </w:p>
        </w:tc>
        <w:tc>
          <w:tcPr>
            <w:tcW w:w="182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center"/>
              <w:rPr/>
            </w:pPr>
            <w:r>
              <w:rPr/>
              <w:t>​</w:t>
            </w:r>
          </w:p>
        </w:tc>
        <w:tc>
          <w:tcPr>
            <w:tcW w:w="186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00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Class B </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Class B </w:t>
            </w:r>
          </w:p>
        </w:tc>
      </w:tr>
      <w:tr>
        <w:trPr/>
        <w:tc>
          <w:tcPr>
            <w:tcW w:w="7806"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4006" w:type="dxa"/>
            <w:tcBorders/>
            <w:vAlign w:val="center"/>
          </w:tcPr>
          <w:p>
            <w:pPr>
              <w:pStyle w:val="TableContents"/>
              <w:bidi w:val="0"/>
              <w:spacing w:before="0" w:after="0"/>
              <w:ind w:left="0" w:right="0" w:hanging="0"/>
              <w:jc w:val="left"/>
              <w:rPr/>
            </w:pPr>
            <w:r>
              <w:rPr/>
              <w:t>​</w:t>
            </w:r>
          </w:p>
        </w:tc>
        <w:tc>
          <w:tcPr>
            <w:tcW w:w="3800" w:type="dxa"/>
            <w:gridSpan w:val="11"/>
            <w:tcBorders/>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(unaudited)</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Basic net income (loss) per share:</w:t>
            </w:r>
          </w:p>
        </w:tc>
        <w:tc>
          <w:tcPr>
            <w:tcW w:w="19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center"/>
              <w:rPr/>
            </w:pPr>
            <w:r>
              <w:rPr/>
              <w:t>​</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Numerator</w:t>
            </w:r>
          </w:p>
        </w:tc>
        <w:tc>
          <w:tcPr>
            <w:tcW w:w="19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r>
      <w:tr>
        <w:trPr/>
        <w:tc>
          <w:tcPr>
            <w:tcW w:w="400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7"/>
              </w:rPr>
              <w:t xml:space="preserve">Allocation of net income (loss) </w:t>
            </w:r>
            <w:r>
              <w:rPr>
                <w:rFonts w:ascii="Times New Roman;Times;serif" w:hAnsi="Times New Roman;Times;serif"/>
                <w:sz w:val="13"/>
              </w:rPr>
              <w:t>(1)</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(1,224)</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(1,286)</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5,029</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6,101</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Denominator</w:t>
            </w:r>
          </w:p>
        </w:tc>
        <w:tc>
          <w:tcPr>
            <w:tcW w:w="19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 xml:space="preserve">Total shares used in per share computation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78,241</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82,156</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71,288</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86,481</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Basic net income (loss) per share:</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(0.02)</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(0.02)</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0.07</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0.07</w:t>
            </w:r>
          </w:p>
        </w:tc>
      </w:tr>
      <w:tr>
        <w:trPr/>
        <w:tc>
          <w:tcPr>
            <w:tcW w:w="40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Diluted net income (loss) per share:</w:t>
            </w:r>
          </w:p>
        </w:tc>
        <w:tc>
          <w:tcPr>
            <w:tcW w:w="19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Numerator</w:t>
            </w:r>
          </w:p>
        </w:tc>
        <w:tc>
          <w:tcPr>
            <w:tcW w:w="19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400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7"/>
              </w:rPr>
              <w:t xml:space="preserve">Allocation of net income (loss) </w:t>
            </w:r>
            <w:r>
              <w:rPr>
                <w:rFonts w:ascii="Times New Roman;Times;serif" w:hAnsi="Times New Roman;Times;serif"/>
                <w:sz w:val="13"/>
              </w:rPr>
              <w:t>(1)</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(1,224)</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(1,286)</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5,215</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5,915</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 xml:space="preserve">Total net income (loss) used in per diluted computation </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(1,224)</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(1,286)</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5,215</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5,915</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Denominator</w:t>
            </w:r>
          </w:p>
        </w:tc>
        <w:tc>
          <w:tcPr>
            <w:tcW w:w="19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 xml:space="preserve">Number shares used in basic per share computation </w:t>
            </w:r>
          </w:p>
        </w:tc>
        <w:tc>
          <w:tcPr>
            <w:tcW w:w="19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78,241</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82,156</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71,288</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86,481</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Dilutive effect of common stock equivalents</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4,955</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Total shares used in per share computation</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78,241</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82,156</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76,243</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86,481</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Dilutive net income (loss) per share:</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(0.02)</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(0.02)</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0.07</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0.07</w:t>
            </w:r>
          </w:p>
        </w:tc>
      </w:tr>
      <w:tr>
        <w:trPr/>
        <w:tc>
          <w:tcPr>
            <w:tcW w:w="7806" w:type="dxa"/>
            <w:gridSpan w:val="12"/>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2"/>
              </w:rPr>
              <w:t>(1)</w:t>
            </w:r>
            <w:r>
              <w:rPr>
                <w:rFonts w:ascii="Times New Roman;Times;serif" w:hAnsi="Times New Roman;Times;serif"/>
                <w:sz w:val="16"/>
              </w:rPr>
              <w:t xml:space="preserve"> Allocation of net income (loss) is based on the percentage of shares outstanding.</w:t>
            </w:r>
          </w:p>
        </w:tc>
      </w:tr>
    </w:tbl>
    <w:p>
      <w:pPr>
        <w:pStyle w:val="TextBody"/>
        <w:bidi w:val="0"/>
        <w:spacing w:before="0" w:after="0"/>
        <w:ind w:left="450" w:right="0" w:hanging="0"/>
        <w:jc w:val="left"/>
        <w:rPr>
          <w:color w:val="FF0000"/>
        </w:rPr>
      </w:pPr>
      <w:r>
        <w:rPr>
          <w:color w:val="FF0000"/>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weighted-average outstanding shares of Class A common stock equivalents by award type were excluded from the computation of diluted net loss per share attributable to Class A common stock stockholders, as the impact of including them would have been anti-dilutive.</w:t>
      </w:r>
    </w:p>
    <w:p>
      <w:pPr>
        <w:pStyle w:val="TextBody"/>
        <w:bidi w:val="0"/>
        <w:spacing w:before="0" w:after="0"/>
        <w:ind w:left="0" w:right="0" w:hanging="0"/>
        <w:jc w:val="left"/>
        <w:rPr/>
      </w:pPr>
      <w:r>
        <w:rPr/>
        <w:t>​</w:t>
      </w:r>
    </w:p>
    <w:tbl>
      <w:tblPr>
        <w:tblW w:w="6584" w:type="dxa"/>
        <w:jc w:val="left"/>
        <w:tblInd w:w="0" w:type="dxa"/>
        <w:tblLayout w:type="fixed"/>
        <w:tblCellMar>
          <w:top w:w="0" w:type="dxa"/>
          <w:left w:w="0" w:type="dxa"/>
          <w:bottom w:w="0" w:type="dxa"/>
          <w:right w:w="0" w:type="dxa"/>
        </w:tblCellMar>
      </w:tblPr>
      <w:tblGrid>
        <w:gridCol w:w="3601"/>
        <w:gridCol w:w="185"/>
        <w:gridCol w:w="973"/>
        <w:gridCol w:w="185"/>
        <w:gridCol w:w="590"/>
        <w:gridCol w:w="1050"/>
      </w:tblGrid>
      <w:tr>
        <w:trPr/>
        <w:tc>
          <w:tcPr>
            <w:tcW w:w="3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286635" cy="175260"/>
                      <wp:effectExtent l="0" t="0" r="0" b="0"/>
                      <wp:wrapNone/>
                      <wp:docPr id="269" name="Frame269"/>
                      <a:graphic xmlns:a="http://schemas.openxmlformats.org/drawingml/2006/main">
                        <a:graphicData uri="http://schemas.microsoft.com/office/word/2010/wordprocessingShape">
                          <wps:wsp>
                            <wps:cNvSpPr txBox="1"/>
                            <wps:spPr>
                              <a:xfrm>
                                <a:off x="0" y="0"/>
                                <a:ext cx="2286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17475" cy="175260"/>
                      <wp:effectExtent l="0" t="0" r="0" b="0"/>
                      <wp:wrapNone/>
                      <wp:docPr id="270" name="Frame270"/>
                      <a:graphic xmlns:a="http://schemas.openxmlformats.org/drawingml/2006/main">
                        <a:graphicData uri="http://schemas.microsoft.com/office/word/2010/wordprocessingShape">
                          <wps:wsp>
                            <wps:cNvSpPr txBox="1"/>
                            <wps:spPr>
                              <a:xfrm>
                                <a:off x="0" y="0"/>
                                <a:ext cx="117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17855" cy="175260"/>
                      <wp:effectExtent l="0" t="0" r="0" b="0"/>
                      <wp:wrapNone/>
                      <wp:docPr id="271" name="Frame271"/>
                      <a:graphic xmlns:a="http://schemas.openxmlformats.org/drawingml/2006/main">
                        <a:graphicData uri="http://schemas.microsoft.com/office/word/2010/wordprocessingShape">
                          <wps:wsp>
                            <wps:cNvSpPr txBox="1"/>
                            <wps:spPr>
                              <a:xfrm>
                                <a:off x="0" y="0"/>
                                <a:ext cx="617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17475" cy="175260"/>
                      <wp:effectExtent l="0" t="0" r="0" b="0"/>
                      <wp:wrapNone/>
                      <wp:docPr id="272" name="Frame272"/>
                      <a:graphic xmlns:a="http://schemas.openxmlformats.org/drawingml/2006/main">
                        <a:graphicData uri="http://schemas.microsoft.com/office/word/2010/wordprocessingShape">
                          <wps:wsp>
                            <wps:cNvSpPr txBox="1"/>
                            <wps:spPr>
                              <a:xfrm>
                                <a:off x="0" y="0"/>
                                <a:ext cx="117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374650" cy="175260"/>
                      <wp:effectExtent l="0" t="0" r="0" b="0"/>
                      <wp:wrapNone/>
                      <wp:docPr id="273" name="Frame273"/>
                      <a:graphic xmlns:a="http://schemas.openxmlformats.org/drawingml/2006/main">
                        <a:graphicData uri="http://schemas.microsoft.com/office/word/2010/wordprocessingShape">
                          <wps:wsp>
                            <wps:cNvSpPr txBox="1"/>
                            <wps:spPr>
                              <a:xfrm>
                                <a:off x="0" y="0"/>
                                <a:ext cx="374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66750" cy="175260"/>
                      <wp:effectExtent l="0" t="0" r="0" b="0"/>
                      <wp:wrapNone/>
                      <wp:docPr id="274" name="Frame274"/>
                      <a:graphic xmlns:a="http://schemas.openxmlformats.org/drawingml/2006/main">
                        <a:graphicData uri="http://schemas.microsoft.com/office/word/2010/wordprocessingShape">
                          <wps:wsp>
                            <wps:cNvSpPr txBox="1"/>
                            <wps:spPr>
                              <a:xfrm>
                                <a:off x="0" y="0"/>
                                <a:ext cx="666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01" w:type="dxa"/>
            <w:tcBorders/>
            <w:vAlign w:val="center"/>
          </w:tcPr>
          <w:p>
            <w:pPr>
              <w:pStyle w:val="TableContents"/>
              <w:bidi w:val="0"/>
              <w:spacing w:before="0" w:after="0"/>
              <w:ind w:left="0" w:right="0" w:hanging="0"/>
              <w:jc w:val="left"/>
              <w:rPr/>
            </w:pPr>
            <w:r>
              <w:rPr/>
              <w:t>​</w:t>
            </w:r>
          </w:p>
        </w:tc>
        <w:tc>
          <w:tcPr>
            <w:tcW w:w="29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 </w:t>
            </w:r>
          </w:p>
        </w:tc>
      </w:tr>
      <w:tr>
        <w:trPr/>
        <w:tc>
          <w:tcPr>
            <w:tcW w:w="3601" w:type="dxa"/>
            <w:tcBorders/>
            <w:vAlign w:val="center"/>
          </w:tcPr>
          <w:p>
            <w:pPr>
              <w:pStyle w:val="TableContents"/>
              <w:bidi w:val="0"/>
              <w:spacing w:before="0" w:after="0"/>
              <w:ind w:left="0" w:right="0" w:hanging="0"/>
              <w:jc w:val="left"/>
              <w:rPr/>
            </w:pPr>
            <w:r>
              <w:rPr/>
              <w:t>​</w:t>
            </w:r>
          </w:p>
        </w:tc>
        <w:tc>
          <w:tcPr>
            <w:tcW w:w="134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90" w:type="dxa"/>
            <w:tcBorders/>
            <w:vAlign w:val="center"/>
          </w:tcPr>
          <w:p>
            <w:pPr>
              <w:pStyle w:val="TableContents"/>
              <w:bidi w:val="0"/>
              <w:spacing w:before="0" w:after="0"/>
              <w:ind w:left="0" w:right="0" w:hanging="0"/>
              <w:jc w:val="left"/>
              <w:rPr/>
            </w:pPr>
            <w:r>
              <w:rPr/>
              <w:t>  ​ ​ ​</w:t>
            </w:r>
          </w:p>
        </w:tc>
        <w:tc>
          <w:tcPr>
            <w:tcW w:w="10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584" w:type="dxa"/>
            <w:gridSpan w:val="6"/>
            <w:tcBorders/>
            <w:vAlign w:val="center"/>
          </w:tcPr>
          <w:p>
            <w:pPr>
              <w:pStyle w:val="TableContents"/>
              <w:bidi w:val="0"/>
              <w:spacing w:before="0" w:after="283"/>
              <w:ind w:left="0" w:right="0" w:hanging="0"/>
              <w:jc w:val="left"/>
              <w:rPr>
                <w:sz w:val="4"/>
                <w:szCs w:val="4"/>
              </w:rPr>
            </w:pPr>
            <w:r>
              <w:rPr>
                <w:sz w:val="4"/>
                <w:szCs w:val="4"/>
              </w:rPr>
            </w:r>
          </w:p>
        </w:tc>
      </w:tr>
      <w:tr>
        <w:trPr/>
        <w:tc>
          <w:tcPr>
            <w:tcW w:w="3601" w:type="dxa"/>
            <w:tcBorders/>
            <w:vAlign w:val="center"/>
          </w:tcPr>
          <w:p>
            <w:pPr>
              <w:pStyle w:val="TableContents"/>
              <w:bidi w:val="0"/>
              <w:spacing w:before="0" w:after="0"/>
              <w:ind w:left="0" w:right="0" w:hanging="0"/>
              <w:jc w:val="left"/>
              <w:rPr/>
            </w:pPr>
            <w:r>
              <w:rPr/>
              <w:t>​</w:t>
            </w:r>
          </w:p>
        </w:tc>
        <w:tc>
          <w:tcPr>
            <w:tcW w:w="298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360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Stock Options </w:t>
            </w:r>
            <w:r>
              <w:rPr>
                <w:rFonts w:ascii="Times New Roman;Times;serif" w:hAnsi="Times New Roman;Times;serif"/>
                <w:sz w:val="15"/>
              </w:rPr>
              <w:t>(1)</w:t>
            </w:r>
          </w:p>
        </w:tc>
        <w:tc>
          <w:tcPr>
            <w:tcW w:w="1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1,404</w:t>
            </w:r>
          </w:p>
        </w:tc>
        <w:tc>
          <w:tcPr>
            <w:tcW w:w="185" w:type="dxa"/>
            <w:tcBorders/>
            <w:shd w:fill="CCEEFF" w:val="clear"/>
            <w:vAlign w:val="center"/>
          </w:tcPr>
          <w:p>
            <w:pPr>
              <w:pStyle w:val="TableContents"/>
              <w:bidi w:val="0"/>
              <w:spacing w:before="0" w:after="0"/>
              <w:ind w:left="0" w:right="0" w:hanging="0"/>
              <w:jc w:val="left"/>
              <w:rPr/>
            </w:pPr>
            <w:r>
              <w:rPr/>
              <w:t>​</w:t>
            </w:r>
          </w:p>
        </w:tc>
        <w:tc>
          <w:tcPr>
            <w:tcW w:w="59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Out-of-the Money Stock Options</w:t>
            </w:r>
          </w:p>
        </w:tc>
        <w:tc>
          <w:tcPr>
            <w:tcW w:w="185"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7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w:t>
            </w:r>
          </w:p>
        </w:tc>
        <w:tc>
          <w:tcPr>
            <w:tcW w:w="185" w:type="dxa"/>
            <w:tcBorders/>
            <w:vAlign w:val="center"/>
          </w:tcPr>
          <w:p>
            <w:pPr>
              <w:pStyle w:val="TableContents"/>
              <w:bidi w:val="0"/>
              <w:spacing w:before="0" w:after="0"/>
              <w:ind w:left="0" w:right="0" w:hanging="0"/>
              <w:jc w:val="left"/>
              <w:rPr/>
            </w:pPr>
            <w:r>
              <w:rPr/>
              <w:t>​</w:t>
            </w:r>
          </w:p>
        </w:tc>
        <w:tc>
          <w:tcPr>
            <w:tcW w:w="590"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50"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RSAs</w:t>
            </w:r>
          </w:p>
        </w:tc>
        <w:tc>
          <w:tcPr>
            <w:tcW w:w="1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w:t>
            </w:r>
          </w:p>
        </w:tc>
        <w:tc>
          <w:tcPr>
            <w:tcW w:w="185" w:type="dxa"/>
            <w:tcBorders/>
            <w:shd w:fill="CCEEFF" w:val="clear"/>
            <w:vAlign w:val="center"/>
          </w:tcPr>
          <w:p>
            <w:pPr>
              <w:pStyle w:val="TableContents"/>
              <w:bidi w:val="0"/>
              <w:spacing w:before="0" w:after="0"/>
              <w:ind w:left="0" w:right="0" w:hanging="0"/>
              <w:jc w:val="left"/>
              <w:rPr/>
            </w:pPr>
            <w:r>
              <w:rPr/>
              <w:t>​</w:t>
            </w:r>
          </w:p>
        </w:tc>
        <w:tc>
          <w:tcPr>
            <w:tcW w:w="59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w:t>
            </w:r>
          </w:p>
        </w:tc>
        <w:tc>
          <w:tcPr>
            <w:tcW w:w="185"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7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6,415</w:t>
            </w:r>
          </w:p>
        </w:tc>
        <w:tc>
          <w:tcPr>
            <w:tcW w:w="185" w:type="dxa"/>
            <w:tcBorders/>
            <w:vAlign w:val="center"/>
          </w:tcPr>
          <w:p>
            <w:pPr>
              <w:pStyle w:val="TableContents"/>
              <w:bidi w:val="0"/>
              <w:spacing w:before="0" w:after="0"/>
              <w:ind w:left="0" w:right="0" w:hanging="0"/>
              <w:jc w:val="left"/>
              <w:rPr/>
            </w:pPr>
            <w:r>
              <w:rPr/>
              <w:t>​</w:t>
            </w:r>
          </w:p>
        </w:tc>
        <w:tc>
          <w:tcPr>
            <w:tcW w:w="590"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50"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ESPP</w:t>
            </w:r>
          </w:p>
        </w:tc>
        <w:tc>
          <w:tcPr>
            <w:tcW w:w="1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185" w:type="dxa"/>
            <w:tcBorders/>
            <w:shd w:fill="CCEEFF" w:val="clear"/>
            <w:vAlign w:val="center"/>
          </w:tcPr>
          <w:p>
            <w:pPr>
              <w:pStyle w:val="TableContents"/>
              <w:bidi w:val="0"/>
              <w:spacing w:before="0" w:after="0"/>
              <w:ind w:left="0" w:right="0" w:hanging="0"/>
              <w:jc w:val="left"/>
              <w:rPr/>
            </w:pPr>
            <w:r>
              <w:rPr/>
              <w:t>​</w:t>
            </w:r>
          </w:p>
        </w:tc>
        <w:tc>
          <w:tcPr>
            <w:tcW w:w="59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Convertible Senior Notes </w:t>
            </w:r>
          </w:p>
        </w:tc>
        <w:tc>
          <w:tcPr>
            <w:tcW w:w="185"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7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9,498</w:t>
            </w:r>
          </w:p>
        </w:tc>
        <w:tc>
          <w:tcPr>
            <w:tcW w:w="185" w:type="dxa"/>
            <w:tcBorders/>
            <w:vAlign w:val="center"/>
          </w:tcPr>
          <w:p>
            <w:pPr>
              <w:pStyle w:val="TableContents"/>
              <w:bidi w:val="0"/>
              <w:spacing w:before="0" w:after="0"/>
              <w:ind w:left="0" w:right="0" w:hanging="0"/>
              <w:jc w:val="left"/>
              <w:rPr/>
            </w:pPr>
            <w:r>
              <w:rPr/>
              <w:t>​</w:t>
            </w:r>
          </w:p>
        </w:tc>
        <w:tc>
          <w:tcPr>
            <w:tcW w:w="590"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5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9,498</w:t>
            </w:r>
          </w:p>
        </w:tc>
      </w:tr>
      <w:tr>
        <w:trPr/>
        <w:tc>
          <w:tcPr>
            <w:tcW w:w="360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2"/>
              </w:rPr>
              <w:t>(1)</w:t>
            </w:r>
            <w:r>
              <w:rPr>
                <w:rFonts w:ascii="Times New Roman;Times;serif" w:hAnsi="Times New Roman;Times;serif"/>
                <w:sz w:val="16"/>
              </w:rPr>
              <w:t xml:space="preserve"> Total excludes out-of-the money stock options.</w:t>
            </w:r>
          </w:p>
        </w:tc>
        <w:tc>
          <w:tcPr>
            <w:tcW w:w="185" w:type="dxa"/>
            <w:tcBorders/>
            <w:vAlign w:val="center"/>
          </w:tcPr>
          <w:p>
            <w:pPr>
              <w:pStyle w:val="TableContents"/>
              <w:bidi w:val="0"/>
              <w:spacing w:before="0" w:after="0"/>
              <w:ind w:left="0" w:right="0" w:hanging="0"/>
              <w:jc w:val="left"/>
              <w:rPr/>
            </w:pPr>
            <w:r>
              <w:rPr/>
              <w:t>​</w:t>
            </w:r>
          </w:p>
        </w:tc>
        <w:tc>
          <w:tcPr>
            <w:tcW w:w="973" w:type="dxa"/>
            <w:tcBorders/>
            <w:vAlign w:val="center"/>
          </w:tcPr>
          <w:p>
            <w:pPr>
              <w:pStyle w:val="TableContents"/>
              <w:bidi w:val="0"/>
              <w:spacing w:before="0" w:after="0"/>
              <w:ind w:left="0" w:right="0" w:hanging="0"/>
              <w:jc w:val="left"/>
              <w:rPr/>
            </w:pPr>
            <w:r>
              <w:rPr/>
              <w:t>​</w:t>
            </w:r>
          </w:p>
        </w:tc>
        <w:tc>
          <w:tcPr>
            <w:tcW w:w="185" w:type="dxa"/>
            <w:tcBorders/>
            <w:vAlign w:val="center"/>
          </w:tcPr>
          <w:p>
            <w:pPr>
              <w:pStyle w:val="TableContents"/>
              <w:bidi w:val="0"/>
              <w:spacing w:before="0" w:after="0"/>
              <w:ind w:left="0" w:right="0" w:hanging="0"/>
              <w:jc w:val="left"/>
              <w:rPr/>
            </w:pPr>
            <w:r>
              <w:rPr/>
              <w:t>​</w:t>
            </w:r>
          </w:p>
        </w:tc>
        <w:tc>
          <w:tcPr>
            <w:tcW w:w="590" w:type="dxa"/>
            <w:tcBorders/>
            <w:vAlign w:val="center"/>
          </w:tcPr>
          <w:p>
            <w:pPr>
              <w:pStyle w:val="TableContents"/>
              <w:bidi w:val="0"/>
              <w:spacing w:before="0" w:after="0"/>
              <w:ind w:left="0" w:right="0" w:hanging="0"/>
              <w:jc w:val="left"/>
              <w:rPr/>
            </w:pPr>
            <w:r>
              <w:rPr/>
              <w:t>​</w:t>
            </w:r>
          </w:p>
        </w:tc>
        <w:tc>
          <w:tcPr>
            <w:tcW w:w="1050"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450" w:right="0" w:hanging="0"/>
        <w:jc w:val="left"/>
        <w:rPr>
          <w:color w:val="FF0000"/>
        </w:rPr>
      </w:pPr>
      <w:r>
        <w:rPr>
          <w:color w:val="FF0000"/>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lineRule="atLeast" w:line="142"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11.    STOCK-BASED AWARD PLANS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2020 Incentive Award Plan (the “2020 Plan”) provides the ability to grant cash and equity-based incentive awards to eligible employees, directors and service providers in order to attract, retain and motivate those that make important contributions to the Company. The Company issued stock options, RSAs, RSUs, and PSUs under the 2020 Plan. As of March 31, 2026, 15,159 shares of Class A common stock were available for issuance under the 2020 Plan.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766" w:type="dxa"/>
        <w:jc w:val="left"/>
        <w:tblInd w:w="0" w:type="dxa"/>
        <w:tblLayout w:type="fixed"/>
        <w:tblCellMar>
          <w:top w:w="0" w:type="dxa"/>
          <w:left w:w="0" w:type="dxa"/>
          <w:bottom w:w="0" w:type="dxa"/>
          <w:right w:w="0" w:type="dxa"/>
        </w:tblCellMar>
      </w:tblPr>
      <w:tblGrid>
        <w:gridCol w:w="6766"/>
      </w:tblGrid>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i/>
          <w:sz w:val="20"/>
        </w:rPr>
      </w:pPr>
      <w:bookmarkStart w:id="1454" w:name="Tc_h70sWHPGO0uThSaj7car-Q_16_0"/>
      <w:bookmarkStart w:id="1455" w:name="Tc_O6OgleevvkKlwogzucJ0mw_7_0"/>
      <w:bookmarkStart w:id="1456" w:name="Tc_y6QSiQb8VkGUxIgDECCPJw_6_2"/>
      <w:bookmarkStart w:id="1457" w:name="Tc_KFrnPf2cEEqVAuGg13WQiw_5_8"/>
      <w:bookmarkStart w:id="1458" w:name="Tc_lREQgBbZ90yZ2mEdeO18Jg_5_6"/>
      <w:bookmarkStart w:id="1459" w:name="Tc_JzwLje9J3kaURzDGsBz9uQ_5_4"/>
      <w:bookmarkStart w:id="1460" w:name="Tc_uj8drKvtlESllFHT0wf4UA_5_2"/>
      <w:bookmarkStart w:id="1461" w:name="Tc_h-Q2-f6DeEaehLxlbOShBg_5_0"/>
      <w:bookmarkStart w:id="1462" w:name="Tc_LUug4FpgjkCXY-PzExz5tg_4_8"/>
      <w:bookmarkStart w:id="1463" w:name="Tc_UtxwY1dExEKjcafqyalkfw_4_4"/>
      <w:bookmarkStart w:id="1464" w:name="Tc_Y8vkaRM4C0ak05llHPcF0w_3_8"/>
      <w:bookmarkStart w:id="1465" w:name="Tc_mJwA9CjAAkGOQmPlGjFaEg_3_4"/>
      <w:bookmarkStart w:id="1466" w:name="Tc_U70-82h0W0ORIF8DHibHPA_2_6"/>
      <w:bookmarkStart w:id="1467" w:name="Tc_5-N3mfaa1Uq6wd6kZHiD5Q_2_2"/>
      <w:bookmarkStart w:id="1468" w:name="Tc_uVcXkpKobEuwDJ-l26xbtA_10_9"/>
      <w:bookmarkStart w:id="1469" w:name="Tc_kUe0KUJcVU6ZmVXVK1y3Dw_10_4"/>
      <w:bookmarkStart w:id="1470" w:name="Tc_OmDeJGQu2Ea0WDj8g6fNLg_10_0"/>
      <w:bookmarkStart w:id="1471" w:name="Tc_OgQEF9zjUkuJnSoUTCV4vQ_9_9"/>
      <w:bookmarkStart w:id="1472" w:name="Tc_ZL5LA_bLpU-1A5qNsaCssQ_9_4"/>
      <w:bookmarkStart w:id="1473" w:name="Tc_2WXTiN5mUEuYhrMJTj3z2A_9_0"/>
      <w:bookmarkStart w:id="1474" w:name="Tc_p5sy_EIIWEeh57Wa9dsyLw_8_0"/>
      <w:bookmarkStart w:id="1475" w:name="Tc_If9TmNczykWbN4f6_Hik4w_7_9"/>
      <w:bookmarkStart w:id="1476" w:name="Tc_0OpeUFdr0kWveoN1q6AXDg_7_4"/>
      <w:bookmarkStart w:id="1477" w:name="Tc_PRQjtg8kakawFeYvHbbIVw_7_0"/>
      <w:bookmarkStart w:id="1478" w:name="Tc__FN-SHrE3UiyBM0-rmhFbQ_6_2"/>
      <w:bookmarkStart w:id="1479" w:name="Tc_pI5U_D_Hv0ORVnVTlg6MFg_5_9"/>
      <w:bookmarkStart w:id="1480" w:name="Tc_gIv6FyspdU-kBIXVCLizoQ_5_7"/>
      <w:bookmarkStart w:id="1481" w:name="Tc_j-4wOfoLi0G6B3ibVZzN0w_5_5"/>
      <w:bookmarkStart w:id="1482" w:name="Tc_7KdWp8UQBkKLPP8RooP8DA_5_2"/>
      <w:bookmarkStart w:id="1483" w:name="Tc_t-GD4934l0GUiWvKgI6Vgw_5_0"/>
      <w:bookmarkStart w:id="1484" w:name="Tc_kJee0nXtTEuM9KcNxnq-Ug_4_9"/>
      <w:bookmarkStart w:id="1485" w:name="Tc_BaHTw01Fw0Sq5vRzFDCpBQ_4_7"/>
      <w:bookmarkStart w:id="1486" w:name="Tc_zgTqmKTs8kCqIGkEgdFClA_4_5"/>
      <w:bookmarkStart w:id="1487" w:name="Tc_Y1jxn6eCHEOHbfFDKQMoEA_3_9"/>
      <w:bookmarkStart w:id="1488" w:name="Tc_Ji11TT_AYk-8TBclOEdS_A_3_7"/>
      <w:bookmarkStart w:id="1489" w:name="Tc_Cyl_TPr8hUyiIGlz2udrrw_3_5"/>
      <w:bookmarkStart w:id="1490" w:name="Tc_hePC8BYGAUahMfCkJPlROw_2_7"/>
      <w:bookmarkStart w:id="1491" w:name="Tc_C5q9lKF8q0W0cAC1aT01-w_2_5"/>
      <w:bookmarkStart w:id="1492" w:name="Tc_UTnLunnpE069Vn0rG_ld_g_1_7"/>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r>
        <w:rPr>
          <w:rFonts w:ascii="Times New Roman;Times;serif" w:hAnsi="Times New Roman;Times;serif"/>
          <w:i/>
          <w:sz w:val="20"/>
        </w:rPr>
        <w:t xml:space="preserve">Options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summarizes activity for options outstanding under the 2020 Plan for the three months ended March 31, 2026:</w:t>
      </w:r>
    </w:p>
    <w:p>
      <w:pPr>
        <w:pStyle w:val="TextBody"/>
        <w:bidi w:val="0"/>
        <w:spacing w:before="0" w:after="0"/>
        <w:ind w:left="0" w:right="0" w:hanging="0"/>
        <w:jc w:val="left"/>
        <w:rPr/>
      </w:pPr>
      <w:r>
        <w:rPr/>
        <w:t>​</w:t>
      </w:r>
    </w:p>
    <w:tbl>
      <w:tblPr>
        <w:tblW w:w="8237" w:type="dxa"/>
        <w:jc w:val="left"/>
        <w:tblInd w:w="0" w:type="dxa"/>
        <w:tblLayout w:type="fixed"/>
        <w:tblCellMar>
          <w:top w:w="0" w:type="dxa"/>
          <w:left w:w="0" w:type="dxa"/>
          <w:bottom w:w="0" w:type="dxa"/>
          <w:right w:w="0" w:type="dxa"/>
        </w:tblCellMar>
      </w:tblPr>
      <w:tblGrid>
        <w:gridCol w:w="4156"/>
        <w:gridCol w:w="146"/>
        <w:gridCol w:w="571"/>
        <w:gridCol w:w="109"/>
        <w:gridCol w:w="211"/>
        <w:gridCol w:w="796"/>
        <w:gridCol w:w="146"/>
        <w:gridCol w:w="991"/>
        <w:gridCol w:w="109"/>
        <w:gridCol w:w="211"/>
        <w:gridCol w:w="791"/>
      </w:tblGrid>
      <w:tr>
        <w:trPr/>
        <w:tc>
          <w:tcPr>
            <w:tcW w:w="4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639060" cy="175260"/>
                      <wp:effectExtent l="0" t="0" r="0" b="0"/>
                      <wp:wrapNone/>
                      <wp:docPr id="275" name="Frame275"/>
                      <a:graphic xmlns:a="http://schemas.openxmlformats.org/drawingml/2006/main">
                        <a:graphicData uri="http://schemas.microsoft.com/office/word/2010/wordprocessingShape">
                          <wps:wsp>
                            <wps:cNvSpPr txBox="1"/>
                            <wps:spPr>
                              <a:xfrm>
                                <a:off x="0" y="0"/>
                                <a:ext cx="2639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92710" cy="175260"/>
                      <wp:effectExtent l="0" t="0" r="0" b="0"/>
                      <wp:wrapNone/>
                      <wp:docPr id="276" name="Frame27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362585" cy="175260"/>
                      <wp:effectExtent l="0" t="0" r="0" b="0"/>
                      <wp:wrapNone/>
                      <wp:docPr id="277" name="Frame27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9215" cy="175260"/>
                      <wp:effectExtent l="0" t="0" r="0" b="0"/>
                      <wp:wrapNone/>
                      <wp:docPr id="278" name="Frame2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33985" cy="175260"/>
                      <wp:effectExtent l="0" t="0" r="0" b="0"/>
                      <wp:wrapNone/>
                      <wp:docPr id="279" name="Frame2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505460" cy="175260"/>
                      <wp:effectExtent l="0" t="0" r="0" b="0"/>
                      <wp:wrapNone/>
                      <wp:docPr id="280" name="Frame28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92710" cy="175260"/>
                      <wp:effectExtent l="0" t="0" r="0" b="0"/>
                      <wp:wrapNone/>
                      <wp:docPr id="281" name="Frame28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29285" cy="175260"/>
                      <wp:effectExtent l="0" t="0" r="0" b="0"/>
                      <wp:wrapNone/>
                      <wp:docPr id="282" name="Frame282"/>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9215" cy="175260"/>
                      <wp:effectExtent l="0" t="0" r="0" b="0"/>
                      <wp:wrapNone/>
                      <wp:docPr id="283" name="Frame2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33985" cy="175260"/>
                      <wp:effectExtent l="0" t="0" r="0" b="0"/>
                      <wp:wrapNone/>
                      <wp:docPr id="284" name="Frame2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502285" cy="175260"/>
                      <wp:effectExtent l="0" t="0" r="0" b="0"/>
                      <wp:wrapNone/>
                      <wp:docPr id="285" name="Frame285"/>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5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pPr>
            <w:r>
              <w:rPr/>
              <w:t>​</w:t>
            </w:r>
          </w:p>
        </w:tc>
      </w:tr>
      <w:tr>
        <w:trPr/>
        <w:tc>
          <w:tcPr>
            <w:tcW w:w="415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09" w:type="dxa"/>
            <w:tcBorders/>
            <w:vAlign w:val="center"/>
          </w:tcPr>
          <w:p>
            <w:pPr>
              <w:pStyle w:val="TableContents"/>
              <w:bidi w:val="0"/>
              <w:spacing w:before="0" w:after="0"/>
              <w:ind w:left="0" w:right="0" w:hanging="0"/>
              <w:jc w:val="left"/>
              <w:rPr/>
            </w:pPr>
            <w:r>
              <w:rPr/>
              <w:t>​</w:t>
            </w:r>
          </w:p>
        </w:tc>
        <w:tc>
          <w:tcPr>
            <w:tcW w:w="1002" w:type="dxa"/>
            <w:gridSpan w:val="2"/>
            <w:tcBorders/>
            <w:vAlign w:val="center"/>
          </w:tcPr>
          <w:p>
            <w:pPr>
              <w:pStyle w:val="TableContents"/>
              <w:bidi w:val="0"/>
              <w:spacing w:before="0" w:after="0"/>
              <w:ind w:left="0" w:right="0" w:hanging="0"/>
              <w:jc w:val="center"/>
              <w:rPr/>
            </w:pPr>
            <w:r>
              <w:rPr/>
              <w:t>​</w:t>
            </w:r>
          </w:p>
        </w:tc>
      </w:tr>
      <w:tr>
        <w:trPr/>
        <w:tc>
          <w:tcPr>
            <w:tcW w:w="415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109" w:type="dxa"/>
            <w:tcBorders/>
            <w:vAlign w:val="center"/>
          </w:tcPr>
          <w:p>
            <w:pPr>
              <w:pStyle w:val="TableContents"/>
              <w:bidi w:val="0"/>
              <w:spacing w:before="0" w:after="0"/>
              <w:ind w:left="0" w:right="0" w:hanging="0"/>
              <w:jc w:val="left"/>
              <w:rPr/>
            </w:pPr>
            <w:r>
              <w:rPr/>
              <w:t>​</w:t>
            </w:r>
          </w:p>
        </w:tc>
        <w:tc>
          <w:tcPr>
            <w:tcW w:w="10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415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1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109" w:type="dxa"/>
            <w:tcBorders/>
            <w:vAlign w:val="center"/>
          </w:tcPr>
          <w:p>
            <w:pPr>
              <w:pStyle w:val="TableContents"/>
              <w:bidi w:val="0"/>
              <w:spacing w:before="0" w:after="0"/>
              <w:ind w:left="0" w:right="0" w:hanging="0"/>
              <w:jc w:val="left"/>
              <w:rPr/>
            </w:pPr>
            <w:r>
              <w:rPr/>
              <w:t>​</w:t>
            </w:r>
          </w:p>
        </w:tc>
        <w:tc>
          <w:tcPr>
            <w:tcW w:w="10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2020 Plan Option Activity</w:t>
            </w:r>
          </w:p>
        </w:tc>
        <w:tc>
          <w:tcPr>
            <w:tcW w:w="14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146" w:type="dxa"/>
            <w:tcBorders/>
            <w:vAlign w:val="center"/>
          </w:tcPr>
          <w:p>
            <w:pPr>
              <w:pStyle w:val="TableContents"/>
              <w:bidi w:val="0"/>
              <w:spacing w:before="0" w:after="0"/>
              <w:ind w:left="0" w:right="0" w:hanging="0"/>
              <w:jc w:val="righ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Life (Years)</w:t>
            </w:r>
          </w:p>
        </w:tc>
        <w:tc>
          <w:tcPr>
            <w:tcW w:w="109" w:type="dxa"/>
            <w:tcBorders/>
            <w:vAlign w:val="center"/>
          </w:tcPr>
          <w:p>
            <w:pPr>
              <w:pStyle w:val="TableContents"/>
              <w:bidi w:val="0"/>
              <w:spacing w:before="0" w:after="0"/>
              <w:ind w:left="0" w:right="0" w:hanging="0"/>
              <w:jc w:val="right"/>
              <w:rPr/>
            </w:pPr>
            <w:r>
              <w:rPr/>
              <w:t>​</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8237"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415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3935" w:type="dxa"/>
            <w:gridSpan w:val="9"/>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January 1, 2026</w:t>
            </w:r>
          </w:p>
        </w:tc>
        <w:tc>
          <w:tcPr>
            <w:tcW w:w="1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w:t>
            </w:r>
          </w:p>
        </w:tc>
        <w:tc>
          <w:tcPr>
            <w:tcW w:w="1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22,526</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14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w:t>
            </w:r>
          </w:p>
        </w:tc>
        <w:tc>
          <w:tcPr>
            <w:tcW w:w="1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pPr>
            <w:r>
              <w:rPr/>
              <w:t>​</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2020 Plan options outstanding at March 31, 2026</w:t>
            </w:r>
          </w:p>
        </w:tc>
        <w:tc>
          <w:tcPr>
            <w:tcW w:w="146" w:type="dxa"/>
            <w:tcBorders/>
            <w:shd w:fill="CCEEFF" w:val="clear"/>
            <w:vAlign w:val="center"/>
          </w:tcPr>
          <w:p>
            <w:pPr>
              <w:pStyle w:val="TableContents"/>
              <w:bidi w:val="0"/>
              <w:spacing w:before="0" w:after="0"/>
              <w:ind w:left="0" w:right="0" w:hanging="0"/>
              <w:jc w:val="left"/>
              <w:rPr/>
            </w:pPr>
            <w:r>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w:t>
            </w:r>
          </w:p>
        </w:tc>
        <w:tc>
          <w:tcPr>
            <w:tcW w:w="1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11,110</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2020 Plan options exercisable at March 31, 2026</w:t>
            </w:r>
          </w:p>
        </w:tc>
        <w:tc>
          <w:tcPr>
            <w:tcW w:w="146" w:type="dxa"/>
            <w:tcBorders/>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11,110</w:t>
            </w:r>
          </w:p>
        </w:tc>
      </w:tr>
    </w:tbl>
    <w:p>
      <w:pPr>
        <w:pStyle w:val="TextBody"/>
        <w:shd w:fill="FFFFFF" w:val="clea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details of options outstanding, vested, and exercisable under the 2020 Plan as of March 31, 2026 are as follows:</w:t>
      </w:r>
    </w:p>
    <w:p>
      <w:pPr>
        <w:pStyle w:val="TextBody"/>
        <w:bidi w:val="0"/>
        <w:spacing w:before="0" w:after="0"/>
        <w:ind w:left="0" w:right="0" w:hanging="0"/>
        <w:jc w:val="left"/>
        <w:rPr/>
      </w:pPr>
      <w:r>
        <w:rPr/>
        <w:t>​</w:t>
      </w:r>
    </w:p>
    <w:tbl>
      <w:tblPr>
        <w:tblW w:w="8481" w:type="dxa"/>
        <w:jc w:val="left"/>
        <w:tblInd w:w="0" w:type="dxa"/>
        <w:tblLayout w:type="fixed"/>
        <w:tblCellMar>
          <w:top w:w="0" w:type="dxa"/>
          <w:left w:w="0" w:type="dxa"/>
          <w:bottom w:w="0" w:type="dxa"/>
          <w:right w:w="0" w:type="dxa"/>
        </w:tblCellMar>
      </w:tblPr>
      <w:tblGrid>
        <w:gridCol w:w="3466"/>
        <w:gridCol w:w="346"/>
        <w:gridCol w:w="571"/>
        <w:gridCol w:w="346"/>
        <w:gridCol w:w="976"/>
        <w:gridCol w:w="346"/>
        <w:gridCol w:w="716"/>
        <w:gridCol w:w="434"/>
        <w:gridCol w:w="1280"/>
      </w:tblGrid>
      <w:tr>
        <w:trPr/>
        <w:tc>
          <w:tcPr>
            <w:tcW w:w="3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200910" cy="175260"/>
                      <wp:effectExtent l="0" t="0" r="0" b="0"/>
                      <wp:wrapNone/>
                      <wp:docPr id="286" name="Frame286"/>
                      <a:graphic xmlns:a="http://schemas.openxmlformats.org/drawingml/2006/main">
                        <a:graphicData uri="http://schemas.microsoft.com/office/word/2010/wordprocessingShape">
                          <wps:wsp>
                            <wps:cNvSpPr txBox="1"/>
                            <wps:spPr>
                              <a:xfrm>
                                <a:off x="0" y="0"/>
                                <a:ext cx="2200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19710" cy="175260"/>
                      <wp:effectExtent l="0" t="0" r="0" b="0"/>
                      <wp:wrapNone/>
                      <wp:docPr id="287" name="Frame2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362585" cy="175260"/>
                      <wp:effectExtent l="0" t="0" r="0" b="0"/>
                      <wp:wrapNone/>
                      <wp:docPr id="288" name="Frame28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19710" cy="175260"/>
                      <wp:effectExtent l="0" t="0" r="0" b="0"/>
                      <wp:wrapNone/>
                      <wp:docPr id="289" name="Frame2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19760" cy="175260"/>
                      <wp:effectExtent l="0" t="0" r="0" b="0"/>
                      <wp:wrapNone/>
                      <wp:docPr id="290" name="Frame290"/>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19710" cy="175260"/>
                      <wp:effectExtent l="0" t="0" r="0" b="0"/>
                      <wp:wrapNone/>
                      <wp:docPr id="291" name="Frame2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454660" cy="175260"/>
                      <wp:effectExtent l="0" t="0" r="0" b="0"/>
                      <wp:wrapNone/>
                      <wp:docPr id="292" name="Frame292"/>
                      <a:graphic xmlns:a="http://schemas.openxmlformats.org/drawingml/2006/main">
                        <a:graphicData uri="http://schemas.microsoft.com/office/word/2010/wordprocessingShape">
                          <wps:wsp>
                            <wps:cNvSpPr txBox="1"/>
                            <wps:spPr>
                              <a:xfrm>
                                <a:off x="0" y="0"/>
                                <a:ext cx="454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75590" cy="175260"/>
                      <wp:effectExtent l="0" t="0" r="0" b="0"/>
                      <wp:wrapNone/>
                      <wp:docPr id="293" name="Frame293"/>
                      <a:graphic xmlns:a="http://schemas.openxmlformats.org/drawingml/2006/main">
                        <a:graphicData uri="http://schemas.microsoft.com/office/word/2010/wordprocessingShape">
                          <wps:wsp>
                            <wps:cNvSpPr txBox="1"/>
                            <wps:spPr>
                              <a:xfrm>
                                <a:off x="0" y="0"/>
                                <a:ext cx="275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812800" cy="175260"/>
                      <wp:effectExtent l="0" t="0" r="0" b="0"/>
                      <wp:wrapNone/>
                      <wp:docPr id="294" name="Frame294"/>
                      <a:graphic xmlns:a="http://schemas.openxmlformats.org/drawingml/2006/main">
                        <a:graphicData uri="http://schemas.microsoft.com/office/word/2010/wordprocessingShape">
                          <wps:wsp>
                            <wps:cNvSpPr txBox="1"/>
                            <wps:spPr>
                              <a:xfrm>
                                <a:off x="0" y="0"/>
                                <a:ext cx="812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16" w:type="dxa"/>
            <w:tcBorders/>
            <w:vAlign w:val="center"/>
          </w:tcPr>
          <w:p>
            <w:pPr>
              <w:pStyle w:val="TableContents"/>
              <w:bidi w:val="0"/>
              <w:spacing w:before="0" w:after="0"/>
              <w:ind w:left="0" w:right="0" w:hanging="0"/>
              <w:jc w:val="center"/>
              <w:rPr/>
            </w:pPr>
            <w:r>
              <w:rPr/>
              <w:t>​</w:t>
            </w:r>
          </w:p>
        </w:tc>
        <w:tc>
          <w:tcPr>
            <w:tcW w:w="434" w:type="dxa"/>
            <w:tcBorders/>
            <w:vAlign w:val="center"/>
          </w:tcPr>
          <w:p>
            <w:pPr>
              <w:pStyle w:val="TableContents"/>
              <w:bidi w:val="0"/>
              <w:spacing w:before="0" w:after="0"/>
              <w:ind w:left="0" w:right="0" w:hanging="0"/>
              <w:jc w:val="left"/>
              <w:rPr/>
            </w:pPr>
            <w:r>
              <w:rPr/>
              <w:t>​</w:t>
            </w:r>
          </w:p>
        </w:tc>
        <w:tc>
          <w:tcPr>
            <w:tcW w:w="1280" w:type="dxa"/>
            <w:tcBorders/>
            <w:vAlign w:val="center"/>
          </w:tcPr>
          <w:p>
            <w:pPr>
              <w:pStyle w:val="TableContents"/>
              <w:bidi w:val="0"/>
              <w:spacing w:before="0" w:after="0"/>
              <w:ind w:left="0" w:right="0" w:hanging="0"/>
              <w:jc w:val="center"/>
              <w:rPr/>
            </w:pPr>
            <w:r>
              <w:rPr/>
              <w:t>​</w:t>
            </w:r>
          </w:p>
        </w:tc>
      </w:tr>
      <w:tr>
        <w:trPr/>
        <w:tc>
          <w:tcPr>
            <w:tcW w:w="3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9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 Outstanding</w:t>
            </w:r>
          </w:p>
        </w:tc>
        <w:tc>
          <w:tcPr>
            <w:tcW w:w="346" w:type="dxa"/>
            <w:tcBorders/>
            <w:vAlign w:val="center"/>
          </w:tcPr>
          <w:p>
            <w:pPr>
              <w:pStyle w:val="TableContents"/>
              <w:bidi w:val="0"/>
              <w:spacing w:before="0" w:after="0"/>
              <w:ind w:left="0" w:right="0" w:hanging="0"/>
              <w:jc w:val="left"/>
              <w:rPr/>
            </w:pPr>
            <w:r>
              <w:rPr/>
              <w:t>​</w:t>
            </w:r>
          </w:p>
        </w:tc>
        <w:tc>
          <w:tcPr>
            <w:tcW w:w="243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 Vested and Exercisable</w:t>
            </w:r>
          </w:p>
        </w:tc>
      </w:tr>
      <w:tr>
        <w:trPr/>
        <w:tc>
          <w:tcPr>
            <w:tcW w:w="3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0"/>
              <w:ind w:left="0" w:right="0" w:hanging="0"/>
              <w:jc w:val="left"/>
              <w:rPr/>
            </w:pPr>
            <w:r>
              <w:rPr/>
              <w:t>  ​ ​ ​</w:t>
            </w:r>
          </w:p>
        </w:tc>
        <w:tc>
          <w:tcPr>
            <w:tcW w:w="716" w:type="dxa"/>
            <w:tcBorders/>
            <w:vAlign w:val="center"/>
          </w:tcPr>
          <w:p>
            <w:pPr>
              <w:pStyle w:val="TableContents"/>
              <w:bidi w:val="0"/>
              <w:spacing w:before="0" w:after="0"/>
              <w:ind w:left="0" w:right="0" w:hanging="0"/>
              <w:jc w:val="center"/>
              <w:rPr/>
            </w:pPr>
            <w:r>
              <w:rPr/>
              <w:t>​</w:t>
            </w:r>
          </w:p>
        </w:tc>
        <w:tc>
          <w:tcPr>
            <w:tcW w:w="434" w:type="dxa"/>
            <w:tcBorders/>
            <w:vAlign w:val="center"/>
          </w:tcPr>
          <w:p>
            <w:pPr>
              <w:pStyle w:val="TableContents"/>
              <w:bidi w:val="0"/>
              <w:spacing w:before="0" w:after="0"/>
              <w:ind w:left="0" w:right="0" w:hanging="0"/>
              <w:jc w:val="left"/>
              <w:rPr/>
            </w:pPr>
            <w:r>
              <w:rPr/>
              <w:t>  ​ ​ ​</w:t>
            </w:r>
          </w:p>
        </w:tc>
        <w:tc>
          <w:tcPr>
            <w:tcW w:w="128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34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0"/>
              <w:ind w:left="0" w:right="0" w:hanging="0"/>
              <w:jc w:val="left"/>
              <w:rPr/>
            </w:pPr>
            <w:r>
              <w:rPr/>
              <w:t>​</w:t>
            </w:r>
          </w:p>
        </w:tc>
        <w:tc>
          <w:tcPr>
            <w:tcW w:w="716" w:type="dxa"/>
            <w:tcBorders/>
            <w:vAlign w:val="center"/>
          </w:tcPr>
          <w:p>
            <w:pPr>
              <w:pStyle w:val="TableContents"/>
              <w:bidi w:val="0"/>
              <w:spacing w:before="0" w:after="0"/>
              <w:ind w:left="0" w:right="0" w:hanging="0"/>
              <w:jc w:val="center"/>
              <w:rPr/>
            </w:pPr>
            <w:r>
              <w:rPr/>
              <w:t>​</w:t>
            </w:r>
          </w:p>
        </w:tc>
        <w:tc>
          <w:tcPr>
            <w:tcW w:w="434" w:type="dxa"/>
            <w:tcBorders/>
            <w:vAlign w:val="center"/>
          </w:tcPr>
          <w:p>
            <w:pPr>
              <w:pStyle w:val="TableContents"/>
              <w:bidi w:val="0"/>
              <w:spacing w:before="0" w:after="0"/>
              <w:ind w:left="0" w:right="0" w:hanging="0"/>
              <w:jc w:val="left"/>
              <w:rPr/>
            </w:pPr>
            <w:r>
              <w:rPr/>
              <w:t>​</w:t>
            </w:r>
          </w:p>
        </w:tc>
        <w:tc>
          <w:tcPr>
            <w:tcW w:w="128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34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Exercise Prices</w:t>
            </w:r>
          </w:p>
        </w:tc>
        <w:tc>
          <w:tcPr>
            <w:tcW w:w="34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346" w:type="dxa"/>
            <w:tcBorders/>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Life (Years)</w:t>
            </w:r>
          </w:p>
        </w:tc>
        <w:tc>
          <w:tcPr>
            <w:tcW w:w="346" w:type="dxa"/>
            <w:tcBorders/>
            <w:vAlign w:val="center"/>
          </w:tcPr>
          <w:p>
            <w:pPr>
              <w:pStyle w:val="TableContents"/>
              <w:bidi w:val="0"/>
              <w:spacing w:before="0" w:after="0"/>
              <w:ind w:left="0" w:right="0" w:hanging="0"/>
              <w:jc w:val="left"/>
              <w:rPr/>
            </w:pPr>
            <w:r>
              <w:rPr/>
              <w:t>​</w:t>
            </w:r>
          </w:p>
        </w:tc>
        <w:tc>
          <w:tcPr>
            <w:tcW w:w="7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434" w:type="dxa"/>
            <w:tcBorders/>
            <w:vAlign w:val="center"/>
          </w:tcPr>
          <w:p>
            <w:pPr>
              <w:pStyle w:val="TableContents"/>
              <w:bidi w:val="0"/>
              <w:spacing w:before="0" w:after="0"/>
              <w:ind w:left="0" w:right="0" w:hanging="0"/>
              <w:jc w:val="left"/>
              <w:rPr/>
            </w:pPr>
            <w:r>
              <w:rPr/>
              <w:t>​</w:t>
            </w:r>
          </w:p>
        </w:tc>
        <w:tc>
          <w:tcPr>
            <w:tcW w:w="128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Life (Years)</w:t>
            </w:r>
          </w:p>
        </w:tc>
      </w:tr>
      <w:tr>
        <w:trPr/>
        <w:tc>
          <w:tcPr>
            <w:tcW w:w="8481" w:type="dxa"/>
            <w:gridSpan w:val="9"/>
            <w:tcBorders/>
            <w:vAlign w:val="center"/>
          </w:tcPr>
          <w:p>
            <w:pPr>
              <w:pStyle w:val="TableContents"/>
              <w:bidi w:val="0"/>
              <w:spacing w:before="0" w:after="283"/>
              <w:ind w:left="0" w:right="0" w:hanging="0"/>
              <w:jc w:val="left"/>
              <w:rPr>
                <w:sz w:val="4"/>
                <w:szCs w:val="4"/>
              </w:rPr>
            </w:pPr>
            <w:r>
              <w:rPr>
                <w:sz w:val="4"/>
                <w:szCs w:val="4"/>
              </w:rPr>
            </w:r>
          </w:p>
        </w:tc>
      </w:tr>
      <w:tr>
        <w:trPr/>
        <w:tc>
          <w:tcPr>
            <w:tcW w:w="3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669"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$0.15 to $0.71</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w:t>
            </w:r>
          </w:p>
        </w:tc>
        <w:tc>
          <w:tcPr>
            <w:tcW w:w="434" w:type="dxa"/>
            <w:tcBorders/>
            <w:shd w:fill="CCEEFF" w:val="clear"/>
            <w:vAlign w:val="center"/>
          </w:tcPr>
          <w:p>
            <w:pPr>
              <w:pStyle w:val="TableContents"/>
              <w:bidi w:val="0"/>
              <w:spacing w:before="0" w:after="0"/>
              <w:ind w:left="0" w:right="0" w:hanging="0"/>
              <w:jc w:val="left"/>
              <w:rPr/>
            </w:pPr>
            <w:r>
              <w:rPr/>
              <w:t>​</w:t>
            </w:r>
          </w:p>
        </w:tc>
        <w:tc>
          <w:tcPr>
            <w:tcW w:w="1280"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$3.17 </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vAlign w:val="center"/>
          </w:tcPr>
          <w:p>
            <w:pPr>
              <w:pStyle w:val="TableContents"/>
              <w:bidi w:val="0"/>
              <w:spacing w:before="0" w:after="0"/>
              <w:ind w:left="0" w:right="0" w:hanging="0"/>
              <w:jc w:val="left"/>
              <w:rPr/>
            </w:pPr>
            <w:r>
              <w:rPr/>
              <w:t>​</w:t>
            </w:r>
          </w:p>
        </w:tc>
        <w:tc>
          <w:tcPr>
            <w:tcW w:w="7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434" w:type="dxa"/>
            <w:tcBorders/>
            <w:vAlign w:val="center"/>
          </w:tcPr>
          <w:p>
            <w:pPr>
              <w:pStyle w:val="TableContents"/>
              <w:bidi w:val="0"/>
              <w:spacing w:before="0" w:after="0"/>
              <w:ind w:left="0" w:right="0" w:hanging="0"/>
              <w:jc w:val="left"/>
              <w:rPr/>
            </w:pPr>
            <w:r>
              <w:rPr/>
              <w:t>​</w:t>
            </w:r>
          </w:p>
        </w:tc>
        <w:tc>
          <w:tcPr>
            <w:tcW w:w="12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$3.73 </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shd w:fill="CCEEFF" w:val="clear"/>
            <w:vAlign w:val="center"/>
          </w:tcPr>
          <w:p>
            <w:pPr>
              <w:pStyle w:val="TableContents"/>
              <w:bidi w:val="0"/>
              <w:spacing w:before="0" w:after="0"/>
              <w:ind w:left="0" w:right="0" w:hanging="0"/>
              <w:jc w:val="left"/>
              <w:rPr/>
            </w:pPr>
            <w:r>
              <w:rPr/>
              <w:t>​</w:t>
            </w:r>
          </w:p>
        </w:tc>
        <w:tc>
          <w:tcPr>
            <w:tcW w:w="7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w:t>
            </w:r>
          </w:p>
        </w:tc>
        <w:tc>
          <w:tcPr>
            <w:tcW w:w="434" w:type="dxa"/>
            <w:tcBorders/>
            <w:shd w:fill="CCEEFF" w:val="clear"/>
            <w:vAlign w:val="center"/>
          </w:tcPr>
          <w:p>
            <w:pPr>
              <w:pStyle w:val="TableContents"/>
              <w:bidi w:val="0"/>
              <w:spacing w:before="0" w:after="0"/>
              <w:ind w:left="0" w:right="0" w:hanging="0"/>
              <w:jc w:val="left"/>
              <w:rPr/>
            </w:pPr>
            <w:r>
              <w:rPr/>
              <w:t>​</w:t>
            </w:r>
          </w:p>
        </w:tc>
        <w:tc>
          <w:tcPr>
            <w:tcW w:w="12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$4.70 </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46" w:type="dxa"/>
            <w:tcBorders/>
            <w:vAlign w:val="center"/>
          </w:tcPr>
          <w:p>
            <w:pPr>
              <w:pStyle w:val="TableContents"/>
              <w:bidi w:val="0"/>
              <w:spacing w:before="0" w:after="0"/>
              <w:ind w:left="0" w:right="0" w:hanging="0"/>
              <w:jc w:val="left"/>
              <w:rPr/>
            </w:pPr>
            <w:r>
              <w:rPr/>
              <w:t>​</w:t>
            </w:r>
          </w:p>
        </w:tc>
        <w:tc>
          <w:tcPr>
            <w:tcW w:w="7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w:t>
            </w:r>
          </w:p>
        </w:tc>
        <w:tc>
          <w:tcPr>
            <w:tcW w:w="434" w:type="dxa"/>
            <w:tcBorders/>
            <w:vAlign w:val="center"/>
          </w:tcPr>
          <w:p>
            <w:pPr>
              <w:pStyle w:val="TableContents"/>
              <w:bidi w:val="0"/>
              <w:spacing w:before="0" w:after="0"/>
              <w:ind w:left="0" w:right="0" w:hanging="0"/>
              <w:jc w:val="left"/>
              <w:rPr/>
            </w:pPr>
            <w:r>
              <w:rPr/>
              <w:t>​</w:t>
            </w:r>
          </w:p>
        </w:tc>
        <w:tc>
          <w:tcPr>
            <w:tcW w:w="12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$18.47 </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46" w:type="dxa"/>
            <w:tcBorders/>
            <w:shd w:fill="CCEEFF" w:val="clear"/>
            <w:vAlign w:val="center"/>
          </w:tcPr>
          <w:p>
            <w:pPr>
              <w:pStyle w:val="TableContents"/>
              <w:bidi w:val="0"/>
              <w:spacing w:before="0" w:after="0"/>
              <w:ind w:left="0" w:right="0" w:hanging="0"/>
              <w:jc w:val="left"/>
              <w:rPr/>
            </w:pPr>
            <w:r>
              <w:rPr/>
              <w:t>​</w:t>
            </w:r>
          </w:p>
        </w:tc>
        <w:tc>
          <w:tcPr>
            <w:tcW w:w="7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434" w:type="dxa"/>
            <w:tcBorders/>
            <w:shd w:fill="CCEEFF" w:val="clear"/>
            <w:vAlign w:val="center"/>
          </w:tcPr>
          <w:p>
            <w:pPr>
              <w:pStyle w:val="TableContents"/>
              <w:bidi w:val="0"/>
              <w:spacing w:before="0" w:after="0"/>
              <w:ind w:left="0" w:right="0" w:hanging="0"/>
              <w:jc w:val="left"/>
              <w:rPr/>
            </w:pPr>
            <w:r>
              <w:rPr/>
              <w:t>​</w:t>
            </w:r>
          </w:p>
        </w:tc>
        <w:tc>
          <w:tcPr>
            <w:tcW w:w="12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$18.96 </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vAlign w:val="center"/>
          </w:tcPr>
          <w:p>
            <w:pPr>
              <w:pStyle w:val="TableContents"/>
              <w:bidi w:val="0"/>
              <w:spacing w:before="0" w:after="0"/>
              <w:ind w:left="0" w:right="0" w:hanging="0"/>
              <w:jc w:val="left"/>
              <w:rPr/>
            </w:pPr>
            <w:r>
              <w:rPr/>
              <w:t>​</w:t>
            </w:r>
          </w:p>
        </w:tc>
        <w:tc>
          <w:tcPr>
            <w:tcW w:w="7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434" w:type="dxa"/>
            <w:tcBorders/>
            <w:vAlign w:val="center"/>
          </w:tcPr>
          <w:p>
            <w:pPr>
              <w:pStyle w:val="TableContents"/>
              <w:bidi w:val="0"/>
              <w:spacing w:before="0" w:after="0"/>
              <w:ind w:left="0" w:right="0" w:hanging="0"/>
              <w:jc w:val="left"/>
              <w:rPr/>
            </w:pPr>
            <w:r>
              <w:rPr/>
              <w:t>​</w:t>
            </w:r>
          </w:p>
        </w:tc>
        <w:tc>
          <w:tcPr>
            <w:tcW w:w="12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$19.00 </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46" w:type="dxa"/>
            <w:tcBorders/>
            <w:shd w:fill="CCEEFF" w:val="clear"/>
            <w:vAlign w:val="center"/>
          </w:tcPr>
          <w:p>
            <w:pPr>
              <w:pStyle w:val="TableContents"/>
              <w:bidi w:val="0"/>
              <w:spacing w:before="0" w:after="0"/>
              <w:ind w:left="0" w:right="0" w:hanging="0"/>
              <w:jc w:val="left"/>
              <w:rPr/>
            </w:pPr>
            <w:r>
              <w:rPr/>
              <w:t>​</w:t>
            </w:r>
          </w:p>
        </w:tc>
        <w:tc>
          <w:tcPr>
            <w:tcW w:w="7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434" w:type="dxa"/>
            <w:tcBorders/>
            <w:shd w:fill="CCEEFF" w:val="clear"/>
            <w:vAlign w:val="center"/>
          </w:tcPr>
          <w:p>
            <w:pPr>
              <w:pStyle w:val="TableContents"/>
              <w:bidi w:val="0"/>
              <w:spacing w:before="0" w:after="0"/>
              <w:ind w:left="0" w:right="0" w:hanging="0"/>
              <w:jc w:val="left"/>
              <w:rPr/>
            </w:pPr>
            <w:r>
              <w:rPr/>
              <w:t>​</w:t>
            </w:r>
          </w:p>
        </w:tc>
        <w:tc>
          <w:tcPr>
            <w:tcW w:w="12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$32.16 </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46" w:type="dxa"/>
            <w:tcBorders/>
            <w:vAlign w:val="center"/>
          </w:tcPr>
          <w:p>
            <w:pPr>
              <w:pStyle w:val="TableContents"/>
              <w:bidi w:val="0"/>
              <w:spacing w:before="0" w:after="0"/>
              <w:ind w:left="0" w:right="0" w:hanging="0"/>
              <w:jc w:val="left"/>
              <w:rPr/>
            </w:pPr>
            <w:r>
              <w:rPr/>
              <w:t>​</w:t>
            </w:r>
          </w:p>
        </w:tc>
        <w:tc>
          <w:tcPr>
            <w:tcW w:w="7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434" w:type="dxa"/>
            <w:tcBorders/>
            <w:vAlign w:val="center"/>
          </w:tcPr>
          <w:p>
            <w:pPr>
              <w:pStyle w:val="TableContents"/>
              <w:bidi w:val="0"/>
              <w:spacing w:before="0" w:after="0"/>
              <w:ind w:left="0" w:right="0" w:hanging="0"/>
              <w:jc w:val="left"/>
              <w:rPr/>
            </w:pPr>
            <w:r>
              <w:rPr/>
              <w:t>​</w:t>
            </w:r>
          </w:p>
        </w:tc>
        <w:tc>
          <w:tcPr>
            <w:tcW w:w="12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34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1,663</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1,663</w:t>
            </w:r>
          </w:p>
        </w:tc>
        <w:tc>
          <w:tcPr>
            <w:tcW w:w="434" w:type="dxa"/>
            <w:tcBorders/>
            <w:shd w:fill="CCEEFF" w:val="clear"/>
            <w:vAlign w:val="center"/>
          </w:tcPr>
          <w:p>
            <w:pPr>
              <w:pStyle w:val="TableContents"/>
              <w:bidi w:val="0"/>
              <w:spacing w:before="0" w:after="0"/>
              <w:ind w:left="0" w:right="0" w:hanging="0"/>
              <w:jc w:val="left"/>
              <w:rPr/>
            </w:pPr>
            <w:r>
              <w:rPr/>
              <w:t>​</w:t>
            </w:r>
          </w:p>
        </w:tc>
        <w:tc>
          <w:tcPr>
            <w:tcW w:w="1280" w:type="dxa"/>
            <w:tcBorders/>
            <w:shd w:fill="CCEEFF" w:val="clear"/>
            <w:vAlign w:val="center"/>
          </w:tcPr>
          <w:p>
            <w:pPr>
              <w:pStyle w:val="TableContents"/>
              <w:bidi w:val="0"/>
              <w:spacing w:before="0" w:after="0"/>
              <w:ind w:left="0" w:right="0" w:hanging="0"/>
              <w:jc w:val="left"/>
              <w:rPr/>
            </w:pPr>
            <w:r>
              <w:rPr/>
              <w:t>​</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*These options have indefinite contractual lives.</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16" w:type="dxa"/>
            <w:tcBorders/>
            <w:vAlign w:val="center"/>
          </w:tcPr>
          <w:p>
            <w:pPr>
              <w:pStyle w:val="TableContents"/>
              <w:bidi w:val="0"/>
              <w:spacing w:before="0" w:after="0"/>
              <w:ind w:left="0" w:right="0" w:hanging="0"/>
              <w:jc w:val="left"/>
              <w:rPr/>
            </w:pPr>
            <w:r>
              <w:rPr/>
              <w:t>​</w:t>
            </w:r>
          </w:p>
        </w:tc>
        <w:tc>
          <w:tcPr>
            <w:tcW w:w="434" w:type="dxa"/>
            <w:tcBorders/>
            <w:vAlign w:val="center"/>
          </w:tcPr>
          <w:p>
            <w:pPr>
              <w:pStyle w:val="TableContents"/>
              <w:bidi w:val="0"/>
              <w:spacing w:before="0" w:after="0"/>
              <w:ind w:left="0" w:right="0" w:hanging="0"/>
              <w:jc w:val="left"/>
              <w:rPr/>
            </w:pPr>
            <w:r>
              <w:rPr/>
              <w:t>​</w:t>
            </w:r>
          </w:p>
        </w:tc>
        <w:tc>
          <w:tcPr>
            <w:tcW w:w="1280"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Board intends all options granted to be exercisable at a price per share not less than the per share fair market value of the Company’s Class A common stock underlying the options on the date of grant. Compensation expense for option awards are measured based on the grant date fair value of the awards and recognized in the condensed consolidated statements of comprehensive income (loss) over the period during which the participant is required to perform the requisite services. The vesting period is generally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four years. The grant date fair value of options is estimated using the Black-Scholes model.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766" w:type="dxa"/>
        <w:jc w:val="left"/>
        <w:tblInd w:w="0" w:type="dxa"/>
        <w:tblLayout w:type="fixed"/>
        <w:tblCellMar>
          <w:top w:w="0" w:type="dxa"/>
          <w:left w:w="0" w:type="dxa"/>
          <w:bottom w:w="0" w:type="dxa"/>
          <w:right w:w="0" w:type="dxa"/>
        </w:tblCellMar>
      </w:tblPr>
      <w:tblGrid>
        <w:gridCol w:w="6766"/>
      </w:tblGrid>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bookmarkStart w:id="1493" w:name="Tc_C7jH4vRrh0evaZ8JGiZh9Q_9_4"/>
      <w:bookmarkStart w:id="1494" w:name="Tc_4os_rmSc4UemdqQweL9PHQ_9_0"/>
      <w:bookmarkStart w:id="1495" w:name="Tc_QE17ZBOqNEy8hXFfakhv9Q_8_0"/>
      <w:bookmarkStart w:id="1496" w:name="Tc_-OlTZyGXV0ymdfw7IStWTQ_7_4"/>
      <w:bookmarkStart w:id="1497" w:name="Tc_dHQKP-8H60CdeV-a_N7u4A_7_0"/>
      <w:bookmarkStart w:id="1498" w:name="Tc_rWZzey-6R0O8SHFh8hYdVw_6_2"/>
      <w:bookmarkStart w:id="1499" w:name="Tc_2MaFXRVExU6Zys1wLadR4w_5_4"/>
      <w:bookmarkStart w:id="1500" w:name="Tc_1M5RGBz6IU2d38bCIsZa7g_5_2"/>
      <w:bookmarkStart w:id="1501" w:name="Tc_hqS-uC0yk0Gna9BpG6Yk6w_4_4"/>
      <w:bookmarkStart w:id="1502" w:name="Tc_ivIiJwizvUuwNwpck_dl_Q_3_4"/>
      <w:bookmarkStart w:id="1503" w:name="Tc_6sroJW2hbEipY1Y_EGxUQQ_2_4"/>
      <w:bookmarkStart w:id="1504" w:name="Tc_jRIdVcYXwEqPklX370MFjw_10_4"/>
      <w:bookmarkStart w:id="1505" w:name="Tc_9ehzKoMRTkqhmp23TDS0wA_10_0"/>
      <w:bookmarkStart w:id="1506" w:name="Tc_Q53-C0K6_UaUEejsEn3PHQ_9_0"/>
      <w:bookmarkStart w:id="1507" w:name="Tc_5kSIyMqNVk2hB627Fn29FQ_8_0"/>
      <w:bookmarkStart w:id="1508" w:name="Tc_IbBIE4OCckevg9GkiIeTqg_7_0"/>
      <w:bookmarkStart w:id="1509" w:name="Tc_RpWj1rfJtECoWi6IFRyB7g_6_4"/>
      <w:bookmarkStart w:id="1510" w:name="Tc_SLk2YgL_Uke5i6htqEsHfg_6_0"/>
      <w:bookmarkStart w:id="1511" w:name="Tc_wyQSBOiS6E-46bPlGcdxGA_5_2"/>
      <w:bookmarkStart w:id="1512" w:name="Tc_wbdY-5ssRk2AplHraH9aTw_4_4"/>
      <w:bookmarkStart w:id="1513" w:name="Tc_lwQPbsD_yUe30A8JMAt3uQ_4_2"/>
      <w:bookmarkStart w:id="1514" w:name="Tc_xTv9IBZj6kG1WJLftAZ6vQ_3_4"/>
      <w:bookmarkStart w:id="1515" w:name="Tc_PupEiXtA3kS2izHqIQAQpw_2_4"/>
      <w:bookmarkStart w:id="1516" w:name="Tc_QWAxFKJlv0GlhM4xqQgRHg_1_4"/>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r>
        <w:rPr>
          <w:rFonts w:ascii="Times New Roman;Times;serif" w:hAnsi="Times New Roman;Times;serif"/>
          <w:sz w:val="20"/>
        </w:rPr>
        <w:t>There were no options issued under the 2020 Plan during the three months ended March 31, 2026 or 2025. At March 31, 2026, all compensation expense associated with the options was fully recognized.</w:t>
      </w:r>
    </w:p>
    <w:p>
      <w:pPr>
        <w:pStyle w:val="TextBody"/>
        <w:bidi w:val="0"/>
        <w:spacing w:before="0" w:after="0"/>
        <w:ind w:left="0" w:right="0" w:hanging="0"/>
        <w:jc w:val="both"/>
        <w:rPr/>
      </w:pPr>
      <w:r>
        <w:rPr/>
        <w:t>​</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Restricted Stock Units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summarizes RSU activity for the three months ended March 31, 2026:</w:t>
      </w:r>
    </w:p>
    <w:p>
      <w:pPr>
        <w:pStyle w:val="TextBody"/>
        <w:bidi w:val="0"/>
        <w:spacing w:before="0" w:after="0"/>
        <w:ind w:left="0" w:right="0" w:hanging="0"/>
        <w:jc w:val="left"/>
        <w:rPr/>
      </w:pPr>
      <w:r>
        <w:rPr/>
        <w:t>​</w:t>
      </w:r>
    </w:p>
    <w:tbl>
      <w:tblPr>
        <w:tblW w:w="4953" w:type="dxa"/>
        <w:jc w:val="left"/>
        <w:tblInd w:w="0" w:type="dxa"/>
        <w:tblLayout w:type="fixed"/>
        <w:tblCellMar>
          <w:top w:w="0" w:type="dxa"/>
          <w:left w:w="0" w:type="dxa"/>
          <w:bottom w:w="0" w:type="dxa"/>
          <w:right w:w="0" w:type="dxa"/>
        </w:tblCellMar>
      </w:tblPr>
      <w:tblGrid>
        <w:gridCol w:w="2656"/>
        <w:gridCol w:w="146"/>
        <w:gridCol w:w="691"/>
        <w:gridCol w:w="109"/>
        <w:gridCol w:w="317"/>
        <w:gridCol w:w="1034"/>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686560" cy="175260"/>
                      <wp:effectExtent l="0" t="0" r="0" b="0"/>
                      <wp:wrapNone/>
                      <wp:docPr id="295" name="Frame295"/>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92710" cy="175260"/>
                      <wp:effectExtent l="0" t="0" r="0" b="0"/>
                      <wp:wrapNone/>
                      <wp:docPr id="296" name="Frame29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438785" cy="175260"/>
                      <wp:effectExtent l="0" t="0" r="0" b="0"/>
                      <wp:wrapNone/>
                      <wp:docPr id="297" name="Frame29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9215" cy="175260"/>
                      <wp:effectExtent l="0" t="0" r="0" b="0"/>
                      <wp:wrapNone/>
                      <wp:docPr id="298" name="Frame2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01295" cy="175260"/>
                      <wp:effectExtent l="0" t="0" r="0" b="0"/>
                      <wp:wrapNone/>
                      <wp:docPr id="299" name="Frame299"/>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56590" cy="175260"/>
                      <wp:effectExtent l="0" t="0" r="0" b="0"/>
                      <wp:wrapNone/>
                      <wp:docPr id="300" name="Frame300"/>
                      <a:graphic xmlns:a="http://schemas.openxmlformats.org/drawingml/2006/main">
                        <a:graphicData uri="http://schemas.microsoft.com/office/word/2010/wordprocessingShape">
                          <wps:wsp>
                            <wps:cNvSpPr txBox="1"/>
                            <wps:spPr>
                              <a:xfrm>
                                <a:off x="0" y="0"/>
                                <a:ext cx="656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65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265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 Fair</w:t>
            </w:r>
          </w:p>
        </w:tc>
      </w:tr>
      <w:tr>
        <w:trPr/>
        <w:tc>
          <w:tcPr>
            <w:tcW w:w="265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109" w:type="dxa"/>
            <w:tcBorders/>
            <w:vAlign w:val="center"/>
          </w:tcPr>
          <w:p>
            <w:pPr>
              <w:pStyle w:val="TableContents"/>
              <w:bidi w:val="0"/>
              <w:spacing w:before="0" w:after="0"/>
              <w:ind w:left="0" w:right="0" w:hanging="0"/>
              <w:jc w:val="left"/>
              <w:rPr/>
            </w:pPr>
            <w:r>
              <w:rPr/>
              <w:t>​</w:t>
            </w:r>
          </w:p>
        </w:tc>
        <w:tc>
          <w:tcPr>
            <w:tcW w:w="13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Per Share</w:t>
            </w:r>
          </w:p>
        </w:tc>
      </w:tr>
      <w:tr>
        <w:trPr/>
        <w:tc>
          <w:tcPr>
            <w:tcW w:w="4953" w:type="dxa"/>
            <w:gridSpan w:val="6"/>
            <w:tcBorders/>
            <w:vAlign w:val="center"/>
          </w:tcPr>
          <w:p>
            <w:pPr>
              <w:pStyle w:val="TableContents"/>
              <w:bidi w:val="0"/>
              <w:spacing w:before="0" w:after="283"/>
              <w:ind w:left="0" w:right="0" w:hanging="0"/>
              <w:jc w:val="left"/>
              <w:rPr>
                <w:sz w:val="4"/>
                <w:szCs w:val="4"/>
              </w:rPr>
            </w:pPr>
            <w:r>
              <w:rPr>
                <w:sz w:val="4"/>
                <w:szCs w:val="4"/>
              </w:rPr>
            </w:r>
          </w:p>
        </w:tc>
      </w:tr>
      <w:tr>
        <w:trPr/>
        <w:tc>
          <w:tcPr>
            <w:tcW w:w="265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151"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January 1, 2026</w:t>
            </w:r>
          </w:p>
        </w:tc>
        <w:tc>
          <w:tcPr>
            <w:tcW w:w="1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5,412</w:t>
            </w:r>
          </w:p>
        </w:tc>
        <w:tc>
          <w:tcPr>
            <w:tcW w:w="109"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25.05</w:t>
            </w:r>
          </w:p>
        </w:tc>
      </w:tr>
      <w:tr>
        <w:trPr/>
        <w:tc>
          <w:tcPr>
            <w:tcW w:w="265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Granted </w:t>
            </w:r>
          </w:p>
        </w:tc>
        <w:tc>
          <w:tcPr>
            <w:tcW w:w="1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3,728</w:t>
            </w:r>
          </w:p>
        </w:tc>
        <w:tc>
          <w:tcPr>
            <w:tcW w:w="109" w:type="dxa"/>
            <w:tcBorders/>
            <w:vAlign w:val="center"/>
          </w:tcPr>
          <w:p>
            <w:pPr>
              <w:pStyle w:val="TableContents"/>
              <w:bidi w:val="0"/>
              <w:spacing w:before="0" w:after="0"/>
              <w:ind w:left="0" w:right="0" w:hanging="0"/>
              <w:jc w:val="center"/>
              <w:rPr/>
            </w:pPr>
            <w:r>
              <w:rPr/>
              <w:t>​</w:t>
            </w:r>
          </w:p>
        </w:tc>
        <w:tc>
          <w:tcPr>
            <w:tcW w:w="317" w:type="dxa"/>
            <w:tcBorders/>
            <w:vAlign w:val="center"/>
          </w:tcPr>
          <w:p>
            <w:pPr>
              <w:pStyle w:val="TableContents"/>
              <w:bidi w:val="0"/>
              <w:spacing w:before="0" w:after="0"/>
              <w:ind w:left="0" w:right="0" w:hanging="0"/>
              <w:jc w:val="center"/>
              <w:rPr/>
            </w:pPr>
            <w:r>
              <w:rPr/>
              <w:t>​</w:t>
            </w:r>
          </w:p>
        </w:tc>
        <w:tc>
          <w:tcPr>
            <w:tcW w:w="10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12.83</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1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(1,490)</w:t>
            </w:r>
          </w:p>
        </w:tc>
        <w:tc>
          <w:tcPr>
            <w:tcW w:w="109" w:type="dxa"/>
            <w:tcBorders/>
            <w:shd w:fill="CCEEFF" w:val="clear"/>
            <w:vAlign w:val="center"/>
          </w:tcPr>
          <w:p>
            <w:pPr>
              <w:pStyle w:val="TableContents"/>
              <w:bidi w:val="0"/>
              <w:spacing w:before="0" w:after="0"/>
              <w:ind w:left="0" w:right="0" w:hanging="0"/>
              <w:jc w:val="center"/>
              <w:rPr/>
            </w:pPr>
            <w:r>
              <w:rPr/>
              <w:t>​</w:t>
            </w:r>
          </w:p>
        </w:tc>
        <w:tc>
          <w:tcPr>
            <w:tcW w:w="317" w:type="dxa"/>
            <w:tcBorders/>
            <w:shd w:fill="CCEEFF" w:val="clear"/>
            <w:vAlign w:val="center"/>
          </w:tcPr>
          <w:p>
            <w:pPr>
              <w:pStyle w:val="TableContents"/>
              <w:bidi w:val="0"/>
              <w:spacing w:before="0" w:after="0"/>
              <w:ind w:left="0" w:right="0" w:hanging="0"/>
              <w:jc w:val="center"/>
              <w:rPr/>
            </w:pPr>
            <w:r>
              <w:rPr/>
              <w:t>​</w:t>
            </w:r>
          </w:p>
        </w:tc>
        <w:tc>
          <w:tcPr>
            <w:tcW w:w="10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23.04</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14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109" w:type="dxa"/>
            <w:tcBorders/>
            <w:vAlign w:val="center"/>
          </w:tcPr>
          <w:p>
            <w:pPr>
              <w:pStyle w:val="TableContents"/>
              <w:bidi w:val="0"/>
              <w:spacing w:before="0" w:after="0"/>
              <w:ind w:left="0" w:right="0" w:hanging="0"/>
              <w:jc w:val="center"/>
              <w:rPr/>
            </w:pPr>
            <w:r>
              <w:rPr/>
              <w:t>​</w:t>
            </w:r>
          </w:p>
        </w:tc>
        <w:tc>
          <w:tcPr>
            <w:tcW w:w="317" w:type="dxa"/>
            <w:tcBorders/>
            <w:vAlign w:val="center"/>
          </w:tcPr>
          <w:p>
            <w:pPr>
              <w:pStyle w:val="TableContents"/>
              <w:bidi w:val="0"/>
              <w:spacing w:before="0" w:after="0"/>
              <w:ind w:left="0" w:right="0" w:hanging="0"/>
              <w:jc w:val="center"/>
              <w:rPr/>
            </w:pPr>
            <w:r>
              <w:rPr/>
              <w:t>​</w:t>
            </w:r>
          </w:p>
        </w:tc>
        <w:tc>
          <w:tcPr>
            <w:tcW w:w="10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22.15</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March 31, 2026</w:t>
            </w:r>
          </w:p>
        </w:tc>
        <w:tc>
          <w:tcPr>
            <w:tcW w:w="146" w:type="dxa"/>
            <w:tcBorders/>
            <w:shd w:fill="CCEEFF" w:val="clear"/>
            <w:vAlign w:val="center"/>
          </w:tcPr>
          <w:p>
            <w:pPr>
              <w:pStyle w:val="TableContents"/>
              <w:bidi w:val="0"/>
              <w:spacing w:before="0" w:after="0"/>
              <w:ind w:left="0" w:right="0" w:hanging="0"/>
              <w:jc w:val="left"/>
              <w:rPr/>
            </w:pPr>
            <w:r>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7,532</w:t>
            </w:r>
          </w:p>
        </w:tc>
        <w:tc>
          <w:tcPr>
            <w:tcW w:w="109"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19.51</w:t>
            </w:r>
          </w:p>
        </w:tc>
      </w:tr>
    </w:tbl>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Stock-based compensation cost for RSUs is measured based on the fair value of the Company’s underlying common stock on the date of grant and is recognized on a straight-line basis in the condensed consolidated statements of comprehensive</w:t>
      </w:r>
      <w:r>
        <w:rPr>
          <w:rFonts w:ascii="Times New Roman;Times;serif" w:hAnsi="Times New Roman;Times;serif"/>
          <w:color w:val="FF0000"/>
          <w:sz w:val="20"/>
        </w:rPr>
        <w:t xml:space="preserve"> </w:t>
      </w:r>
      <w:r>
        <w:rPr>
          <w:rFonts w:ascii="Times New Roman;Times;serif" w:hAnsi="Times New Roman;Times;serif"/>
          <w:sz w:val="20"/>
        </w:rPr>
        <w:t xml:space="preserve">income (loss) over the period during which the participant is required to perform services in exchange for the award, which is generally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four years. Vested RSUs are settled by issuing Class A common stock or the equivalent value in cash at the Board’s discretion. At March 31, 2026, $116,101 of unrecognized compensation expense for RSUs is expected to be recognized over a weighted average period of approximately 3.0 years.</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Restricted Stock Awards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following table summarizes Restricted Stock Awards (“RSAs”) activity for the three months ended March 31, 2026: </w:t>
      </w:r>
    </w:p>
    <w:p>
      <w:pPr>
        <w:pStyle w:val="TextBody"/>
        <w:bidi w:val="0"/>
        <w:spacing w:before="0" w:after="0"/>
        <w:ind w:left="0" w:right="0" w:hanging="0"/>
        <w:jc w:val="left"/>
        <w:rPr/>
      </w:pPr>
      <w:r>
        <w:rPr/>
        <w:t>​</w:t>
      </w:r>
    </w:p>
    <w:tbl>
      <w:tblPr>
        <w:tblW w:w="4943" w:type="dxa"/>
        <w:jc w:val="left"/>
        <w:tblInd w:w="0" w:type="dxa"/>
        <w:tblLayout w:type="fixed"/>
        <w:tblCellMar>
          <w:top w:w="0" w:type="dxa"/>
          <w:left w:w="0" w:type="dxa"/>
          <w:bottom w:w="0" w:type="dxa"/>
          <w:right w:w="0" w:type="dxa"/>
        </w:tblCellMar>
      </w:tblPr>
      <w:tblGrid>
        <w:gridCol w:w="2656"/>
        <w:gridCol w:w="346"/>
        <w:gridCol w:w="481"/>
        <w:gridCol w:w="109"/>
        <w:gridCol w:w="317"/>
        <w:gridCol w:w="1034"/>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686560" cy="175260"/>
                      <wp:effectExtent l="0" t="0" r="0" b="0"/>
                      <wp:wrapNone/>
                      <wp:docPr id="301" name="Frame301"/>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19710" cy="175260"/>
                      <wp:effectExtent l="0" t="0" r="0" b="0"/>
                      <wp:wrapNone/>
                      <wp:docPr id="302" name="Frame3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305435" cy="175260"/>
                      <wp:effectExtent l="0" t="0" r="0" b="0"/>
                      <wp:wrapNone/>
                      <wp:docPr id="303" name="Frame303"/>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9215" cy="175260"/>
                      <wp:effectExtent l="0" t="0" r="0" b="0"/>
                      <wp:wrapNone/>
                      <wp:docPr id="304" name="Frame3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01295" cy="175260"/>
                      <wp:effectExtent l="0" t="0" r="0" b="0"/>
                      <wp:wrapNone/>
                      <wp:docPr id="305" name="Frame305"/>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56590" cy="175260"/>
                      <wp:effectExtent l="0" t="0" r="0" b="0"/>
                      <wp:wrapNone/>
                      <wp:docPr id="306" name="Frame306"/>
                      <a:graphic xmlns:a="http://schemas.openxmlformats.org/drawingml/2006/main">
                        <a:graphicData uri="http://schemas.microsoft.com/office/word/2010/wordprocessingShape">
                          <wps:wsp>
                            <wps:cNvSpPr txBox="1"/>
                            <wps:spPr>
                              <a:xfrm>
                                <a:off x="0" y="0"/>
                                <a:ext cx="656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8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center"/>
              <w:rPr/>
            </w:pPr>
            <w:r>
              <w:rPr/>
              <w:t>​</w:t>
            </w:r>
          </w:p>
        </w:tc>
        <w:tc>
          <w:tcPr>
            <w:tcW w:w="1034" w:type="dxa"/>
            <w:tcBorders/>
            <w:vAlign w:val="center"/>
          </w:tcPr>
          <w:p>
            <w:pPr>
              <w:pStyle w:val="TableContents"/>
              <w:bidi w:val="0"/>
              <w:spacing w:before="0" w:after="0"/>
              <w:ind w:left="0" w:right="0" w:hanging="0"/>
              <w:jc w:val="center"/>
              <w:rPr/>
            </w:pPr>
            <w:r>
              <w:rPr/>
              <w:t>​</w:t>
            </w:r>
          </w:p>
        </w:tc>
      </w:tr>
      <w:tr>
        <w:trPr/>
        <w:tc>
          <w:tcPr>
            <w:tcW w:w="26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6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26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 Fair</w:t>
            </w:r>
          </w:p>
        </w:tc>
      </w:tr>
      <w:tr>
        <w:trPr/>
        <w:tc>
          <w:tcPr>
            <w:tcW w:w="26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109" w:type="dxa"/>
            <w:tcBorders/>
            <w:vAlign w:val="center"/>
          </w:tcPr>
          <w:p>
            <w:pPr>
              <w:pStyle w:val="TableContents"/>
              <w:bidi w:val="0"/>
              <w:spacing w:before="0" w:after="0"/>
              <w:ind w:left="0" w:right="0" w:hanging="0"/>
              <w:jc w:val="left"/>
              <w:rPr/>
            </w:pPr>
            <w:r>
              <w:rPr/>
              <w:t>​</w:t>
            </w:r>
          </w:p>
        </w:tc>
        <w:tc>
          <w:tcPr>
            <w:tcW w:w="13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Per Share</w:t>
            </w:r>
          </w:p>
        </w:tc>
      </w:tr>
      <w:tr>
        <w:trPr/>
        <w:tc>
          <w:tcPr>
            <w:tcW w:w="4943" w:type="dxa"/>
            <w:gridSpan w:val="6"/>
            <w:tcBorders/>
            <w:vAlign w:val="center"/>
          </w:tcPr>
          <w:p>
            <w:pPr>
              <w:pStyle w:val="TableContents"/>
              <w:bidi w:val="0"/>
              <w:spacing w:before="0" w:after="283"/>
              <w:ind w:left="0" w:right="0" w:hanging="0"/>
              <w:jc w:val="left"/>
              <w:rPr>
                <w:sz w:val="4"/>
                <w:szCs w:val="4"/>
              </w:rPr>
            </w:pPr>
            <w:r>
              <w:rPr>
                <w:sz w:val="4"/>
                <w:szCs w:val="4"/>
              </w:rPr>
            </w:r>
          </w:p>
        </w:tc>
      </w:tr>
      <w:tr>
        <w:trPr/>
        <w:tc>
          <w:tcPr>
            <w:tcW w:w="26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41"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January 1, 2026</w:t>
            </w:r>
          </w:p>
        </w:tc>
        <w:tc>
          <w:tcPr>
            <w:tcW w:w="346"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109"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37.55</w:t>
            </w:r>
          </w:p>
        </w:tc>
      </w:tr>
      <w:tr>
        <w:trPr/>
        <w:tc>
          <w:tcPr>
            <w:tcW w:w="265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Granted </w:t>
            </w:r>
          </w:p>
        </w:tc>
        <w:tc>
          <w:tcPr>
            <w:tcW w:w="346" w:type="dxa"/>
            <w:tcBorders/>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w:t>
            </w:r>
          </w:p>
        </w:tc>
        <w:tc>
          <w:tcPr>
            <w:tcW w:w="109"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10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14.40</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March 31, 2026</w:t>
            </w:r>
          </w:p>
        </w:tc>
        <w:tc>
          <w:tcPr>
            <w:tcW w:w="346" w:type="dxa"/>
            <w:tcBorders/>
            <w:shd w:fill="CCEEFF" w:val="clear"/>
            <w:vAlign w:val="center"/>
          </w:tcPr>
          <w:p>
            <w:pPr>
              <w:pStyle w:val="TableContents"/>
              <w:bidi w:val="0"/>
              <w:spacing w:before="0" w:after="0"/>
              <w:ind w:left="0" w:right="0" w:hanging="0"/>
              <w:jc w:val="left"/>
              <w:rPr/>
            </w:pPr>
            <w:r>
              <w:rPr/>
              <w:t>​</w:t>
            </w:r>
          </w:p>
        </w:tc>
        <w:tc>
          <w:tcPr>
            <w:tcW w:w="4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w:t>
            </w:r>
          </w:p>
        </w:tc>
        <w:tc>
          <w:tcPr>
            <w:tcW w:w="109"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16.02</w:t>
            </w:r>
          </w:p>
        </w:tc>
      </w:tr>
    </w:tbl>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Stock-based compensation cost for RSAs is measured based on the fair value of the Company’s underlying common stock on the date of grant and is recognized on a straight-line basis in the condensed consolidated statements of comprehensive</w:t>
      </w:r>
      <w:r>
        <w:rPr>
          <w:rFonts w:ascii="Times New Roman;Times;serif" w:hAnsi="Times New Roman;Times;serif"/>
          <w:color w:val="FF0000"/>
          <w:sz w:val="20"/>
        </w:rPr>
        <w:t xml:space="preserve"> </w:t>
      </w:r>
      <w:r>
        <w:rPr>
          <w:rFonts w:ascii="Times New Roman;Times;serif" w:hAnsi="Times New Roman;Times;serif"/>
          <w:sz w:val="20"/>
        </w:rPr>
        <w:t xml:space="preserve">income (loss) over the period during which the participant is required to perform services in exchange for the award, which is generally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four years.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connection with the Brinta acquisition, the Company granted the sellers 497 RSAs with an aggregate fair value of $7,151, based on the value of the Company's Class A common stock on the Acquisition Date. The RSAs vest ratably over a </w:t>
      </w:r>
      <w:r>
        <w:rPr>
          <w:rFonts w:ascii="Times New Roman;Times;serif" w:hAnsi="Times New Roman;Times;serif"/>
          <w:b w:val="false"/>
          <w:i w:val="false"/>
          <w:caps w:val="false"/>
          <w:smallCaps w:val="false"/>
          <w:sz w:val="20"/>
        </w:rPr>
        <w:t>four</w:t>
      </w:r>
      <w:r>
        <w:rPr>
          <w:rFonts w:ascii="Times New Roman;Times;serif" w:hAnsi="Times New Roman;Times;serif"/>
          <w:sz w:val="20"/>
        </w:rPr>
        <w:t>-year service period, with 25% vesting annually and are recognized on a straight-line basis in the condensed consolidated statements of comprehensive income (loss).</w:t>
      </w:r>
    </w:p>
    <w:p>
      <w:pPr>
        <w:pStyle w:val="TextBody"/>
        <w:bidi w:val="0"/>
        <w:spacing w:before="0" w:after="0"/>
        <w:ind w:left="0" w:right="0" w:firstLine="360"/>
        <w:jc w:val="both"/>
        <w:rPr>
          <w:color w:val="FF0000"/>
        </w:rPr>
      </w:pPr>
      <w:r>
        <w:rPr>
          <w:color w:val="FF0000"/>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At March 31, 2026, $7,279 of unrecognized compensation expense for RSAs is expected to be recognized over a weighted average period of approximately </w:t>
      </w:r>
      <w:r>
        <w:rPr>
          <w:rFonts w:ascii="Times New Roman;Times;serif" w:hAnsi="Times New Roman;Times;serif"/>
          <w:b w:val="false"/>
          <w:i w:val="false"/>
          <w:caps w:val="false"/>
          <w:smallCaps w:val="false"/>
          <w:sz w:val="20"/>
        </w:rPr>
        <w:t>3.9</w:t>
      </w:r>
      <w:r>
        <w:rPr>
          <w:rFonts w:ascii="Times New Roman;Times;serif" w:hAnsi="Times New Roman;Times;serif"/>
          <w:sz w:val="20"/>
        </w:rPr>
        <w:t xml:space="preserve"> years.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766" w:type="dxa"/>
        <w:jc w:val="left"/>
        <w:tblInd w:w="0" w:type="dxa"/>
        <w:tblLayout w:type="fixed"/>
        <w:tblCellMar>
          <w:top w:w="0" w:type="dxa"/>
          <w:left w:w="0" w:type="dxa"/>
          <w:bottom w:w="0" w:type="dxa"/>
          <w:right w:w="0" w:type="dxa"/>
        </w:tblCellMar>
      </w:tblPr>
      <w:tblGrid>
        <w:gridCol w:w="6766"/>
      </w:tblGrid>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i/>
          <w:sz w:val="20"/>
        </w:rPr>
      </w:pPr>
      <w:bookmarkStart w:id="1517" w:name="Tc_yPjuiyCU0Em082GjNzMl2A_8_4"/>
      <w:bookmarkStart w:id="1518" w:name="Tc_u-PXnHkfYkWscztb_z7qsQ_8_0"/>
      <w:bookmarkStart w:id="1519" w:name="Tc_VqUWKlrsr0-rsesQiBEf3w_7_0"/>
      <w:bookmarkStart w:id="1520" w:name="Tc_CwwoYUc1MUGRVD234-U88A_6_0"/>
      <w:bookmarkStart w:id="1521" w:name="Tc_7evxX0GiNUq6EWPAckQtxA_5_4"/>
      <w:bookmarkStart w:id="1522" w:name="Tc_NrJIq4Aflk-EnPj9IOspNA_5_0"/>
      <w:bookmarkStart w:id="1523" w:name="Tc_TqGS8-gUKUCPytY5WrpuEg_4_2"/>
      <w:bookmarkStart w:id="1524" w:name="Tc_3II7HsaEgEW8yQ8wiG6pUg_3_4"/>
      <w:bookmarkStart w:id="1525" w:name="Tc_qm9_WYERpEObqjAglYgbhA_3_2"/>
      <w:bookmarkStart w:id="1526" w:name="Tc_3DE-q7WTCUO6pEKcJnnabQ_2_4"/>
      <w:bookmarkStart w:id="1527" w:name="Tc_DE2Gry-B0EORgBcbcwj0Iw_1_4"/>
      <w:bookmarkEnd w:id="1517"/>
      <w:bookmarkEnd w:id="1518"/>
      <w:bookmarkEnd w:id="1519"/>
      <w:bookmarkEnd w:id="1520"/>
      <w:bookmarkEnd w:id="1521"/>
      <w:bookmarkEnd w:id="1522"/>
      <w:bookmarkEnd w:id="1523"/>
      <w:bookmarkEnd w:id="1524"/>
      <w:bookmarkEnd w:id="1525"/>
      <w:bookmarkEnd w:id="1526"/>
      <w:bookmarkEnd w:id="1527"/>
      <w:r>
        <w:rPr>
          <w:rFonts w:ascii="Times New Roman;Times;serif" w:hAnsi="Times New Roman;Times;serif"/>
          <w:i/>
          <w:sz w:val="20"/>
        </w:rPr>
        <w:t>Performance Stock Units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connection with the 2024 ecosio acquisition, current and newly hired employees of ecosio have or may receive RSUs that vest upon continuing service and performance conditions (“Performance Stock Units” or “PSUs”). These performance conditions are based upon ecosio’s monthly software revenues meeting specified annual targets over a three-year period. The annual targets are based on a range of performance targets in which grantees may earn a prorated portion of the base number of awards granted up to 100%.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stock-compensation expense associated with the awards will be accounted for as compensation expense over the vesting periods based on the Company’s assessment of the probability of achieving the targets. If the required conditions are not met, no compensation expense is recognized and any previously recognized compensation expense is reversed. During the three months ended March 31, 2026, the Company determined that it was probable that the performance targets for the remaining second and third annual measurement periods would be fully achieved.</w:t>
      </w:r>
    </w:p>
    <w:p>
      <w:pPr>
        <w:pStyle w:val="TextBody"/>
        <w:bidi w:val="0"/>
        <w:spacing w:before="0" w:after="0"/>
        <w:ind w:left="0" w:right="0" w:firstLine="360"/>
        <w:jc w:val="both"/>
        <w:rPr>
          <w:color w:val="FF0000"/>
        </w:rPr>
      </w:pPr>
      <w:r>
        <w:rPr>
          <w:color w:val="FF0000"/>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summarizes PSU activity for the three months ended March 31, 2026:</w:t>
      </w:r>
    </w:p>
    <w:p>
      <w:pPr>
        <w:pStyle w:val="TextBody"/>
        <w:bidi w:val="0"/>
        <w:spacing w:before="0" w:after="0"/>
        <w:ind w:left="0" w:right="0" w:hanging="0"/>
        <w:jc w:val="left"/>
        <w:rPr/>
      </w:pPr>
      <w:r>
        <w:rPr/>
        <w:t>​</w:t>
      </w:r>
    </w:p>
    <w:tbl>
      <w:tblPr>
        <w:tblW w:w="4706" w:type="dxa"/>
        <w:jc w:val="left"/>
        <w:tblInd w:w="0" w:type="dxa"/>
        <w:tblLayout w:type="fixed"/>
        <w:tblCellMar>
          <w:top w:w="0" w:type="dxa"/>
          <w:left w:w="0" w:type="dxa"/>
          <w:bottom w:w="0" w:type="dxa"/>
          <w:right w:w="0" w:type="dxa"/>
        </w:tblCellMar>
      </w:tblPr>
      <w:tblGrid>
        <w:gridCol w:w="2656"/>
        <w:gridCol w:w="109"/>
        <w:gridCol w:w="481"/>
        <w:gridCol w:w="109"/>
        <w:gridCol w:w="317"/>
        <w:gridCol w:w="1034"/>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686560" cy="175260"/>
                      <wp:effectExtent l="0" t="0" r="0" b="0"/>
                      <wp:wrapNone/>
                      <wp:docPr id="307" name="Frame307"/>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9215" cy="175260"/>
                      <wp:effectExtent l="0" t="0" r="0" b="0"/>
                      <wp:wrapNone/>
                      <wp:docPr id="308" name="Frame3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305435" cy="175260"/>
                      <wp:effectExtent l="0" t="0" r="0" b="0"/>
                      <wp:wrapNone/>
                      <wp:docPr id="309" name="Frame309"/>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9215" cy="175260"/>
                      <wp:effectExtent l="0" t="0" r="0" b="0"/>
                      <wp:wrapNone/>
                      <wp:docPr id="310" name="Frame3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01295" cy="175260"/>
                      <wp:effectExtent l="0" t="0" r="0" b="0"/>
                      <wp:wrapNone/>
                      <wp:docPr id="311" name="Frame311"/>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56590" cy="175260"/>
                      <wp:effectExtent l="0" t="0" r="0" b="0"/>
                      <wp:wrapNone/>
                      <wp:docPr id="312" name="Frame312"/>
                      <a:graphic xmlns:a="http://schemas.openxmlformats.org/drawingml/2006/main">
                        <a:graphicData uri="http://schemas.microsoft.com/office/word/2010/wordprocessingShape">
                          <wps:wsp>
                            <wps:cNvSpPr txBox="1"/>
                            <wps:spPr>
                              <a:xfrm>
                                <a:off x="0" y="0"/>
                                <a:ext cx="656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26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 Fair</w:t>
            </w:r>
          </w:p>
        </w:tc>
      </w:tr>
      <w:tr>
        <w:trPr/>
        <w:tc>
          <w:tcPr>
            <w:tcW w:w="26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109" w:type="dxa"/>
            <w:tcBorders/>
            <w:vAlign w:val="center"/>
          </w:tcPr>
          <w:p>
            <w:pPr>
              <w:pStyle w:val="TableContents"/>
              <w:bidi w:val="0"/>
              <w:spacing w:before="0" w:after="0"/>
              <w:ind w:left="0" w:right="0" w:hanging="0"/>
              <w:jc w:val="left"/>
              <w:rPr/>
            </w:pPr>
            <w:r>
              <w:rPr/>
              <w:t>​</w:t>
            </w:r>
          </w:p>
        </w:tc>
        <w:tc>
          <w:tcPr>
            <w:tcW w:w="13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Per Share</w:t>
            </w:r>
          </w:p>
        </w:tc>
      </w:tr>
      <w:tr>
        <w:trPr/>
        <w:tc>
          <w:tcPr>
            <w:tcW w:w="4706" w:type="dxa"/>
            <w:gridSpan w:val="6"/>
            <w:tcBorders/>
            <w:vAlign w:val="center"/>
          </w:tcPr>
          <w:p>
            <w:pPr>
              <w:pStyle w:val="TableContents"/>
              <w:bidi w:val="0"/>
              <w:spacing w:before="0" w:after="283"/>
              <w:ind w:left="0" w:right="0" w:hanging="0"/>
              <w:jc w:val="left"/>
              <w:rPr>
                <w:sz w:val="4"/>
                <w:szCs w:val="4"/>
              </w:rPr>
            </w:pPr>
            <w:r>
              <w:rPr>
                <w:sz w:val="4"/>
                <w:szCs w:val="4"/>
              </w:rPr>
            </w:r>
          </w:p>
        </w:tc>
      </w:tr>
      <w:tr>
        <w:trPr/>
        <w:tc>
          <w:tcPr>
            <w:tcW w:w="26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41"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January 1, 2026</w:t>
            </w:r>
          </w:p>
        </w:tc>
        <w:tc>
          <w:tcPr>
            <w:tcW w:w="109"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c>
          <w:tcPr>
            <w:tcW w:w="109"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50.86</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Granted </w:t>
            </w:r>
          </w:p>
        </w:tc>
        <w:tc>
          <w:tcPr>
            <w:tcW w:w="109"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109"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10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14.40</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109" w:type="dxa"/>
            <w:tcBorders/>
            <w:shd w:fill="CCEEFF" w:val="clear"/>
            <w:vAlign w:val="center"/>
          </w:tcPr>
          <w:p>
            <w:pPr>
              <w:pStyle w:val="TableContents"/>
              <w:bidi w:val="0"/>
              <w:spacing w:before="0" w:after="0"/>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10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53.34</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March 31, 2026</w:t>
            </w:r>
          </w:p>
        </w:tc>
        <w:tc>
          <w:tcPr>
            <w:tcW w:w="109" w:type="dxa"/>
            <w:tcBorders/>
            <w:vAlign w:val="center"/>
          </w:tcPr>
          <w:p>
            <w:pPr>
              <w:pStyle w:val="TableContents"/>
              <w:bidi w:val="0"/>
              <w:spacing w:before="0" w:after="0"/>
              <w:ind w:left="0" w:right="0" w:hanging="0"/>
              <w:jc w:val="left"/>
              <w:rPr/>
            </w:pPr>
            <w:r>
              <w:rPr/>
              <w:t>​</w:t>
            </w:r>
          </w:p>
        </w:tc>
        <w:tc>
          <w:tcPr>
            <w:tcW w:w="4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109"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49.83</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At March 31, 2026, a maximum of $3,276 of unrecognized compensation expense for PSUs, pending achievement of targets, may be recognized over a weighted average period of approximately 1.7 years.</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Employee Stock Purchase Plan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ESPP provides eligible employees with rights during each six-month ESPP offering period to purchase shares of the Company’s Class A common stock through payroll deductions of up to a specified percentage of their eligible compensation. The purchase price of the shares, in the absence of a contrary designation, is 85% of the lower of the fair value of the Class A common stock on the first or last day of the ESPP offering period. Amounts withheld from participants are included in accrued salaries and benefits in the condensed consolidated balance sheets until such shares are purchased. Amounts withheld from participants for the offering period ending May 31, 2026 aggregated $1,953 as of March 31, 2026. As of March 31, 2026, 6,132 shares of Class A common stock were available for issuance under the ESPP.</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March 31, 2026, there was approximately $235 of unrecognized ESPP stock-based compensation expense expected to be recognized on a straight-line basis over the remaining term of the six-month offering period ending May 31, 2026.</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766" w:type="dxa"/>
        <w:jc w:val="left"/>
        <w:tblInd w:w="0" w:type="dxa"/>
        <w:tblLayout w:type="fixed"/>
        <w:tblCellMar>
          <w:top w:w="0" w:type="dxa"/>
          <w:left w:w="0" w:type="dxa"/>
          <w:bottom w:w="0" w:type="dxa"/>
          <w:right w:w="0" w:type="dxa"/>
        </w:tblCellMar>
      </w:tblPr>
      <w:tblGrid>
        <w:gridCol w:w="6766"/>
      </w:tblGrid>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bookmarkStart w:id="1528" w:name="Tc_r39c1M9ViU6hC8SiDWl_aw_10_5"/>
      <w:bookmarkStart w:id="1529" w:name="Tc_GY2b7o9jEEiMfA039FbaBg_10_2"/>
      <w:bookmarkStart w:id="1530" w:name="Tc_7Uf4OQqnd0u9wl1CU00oLQ_10_0"/>
      <w:bookmarkStart w:id="1531" w:name="Tc_U9FWIu7RKESc9UOyfxam_g_9_0"/>
      <w:bookmarkStart w:id="1532" w:name="Tc_JzWqvVZs10CJyLTU_txe0g_8_0"/>
      <w:bookmarkStart w:id="1533" w:name="Tc_f3No1iAmT0WstZGCtUSsEg_7_0"/>
      <w:bookmarkStart w:id="1534" w:name="Tc_SxLKuQ2lLkmQLxJWzFDQ4w_6_0"/>
      <w:bookmarkStart w:id="1535" w:name="Tc_xDEZOOwjf0G8kYAzFZfg3A_5_5"/>
      <w:bookmarkStart w:id="1536" w:name="Tc_4E1UkoBGtk6h8CIRRLW6lA_5_2"/>
      <w:bookmarkStart w:id="1537" w:name="Tc_JbfbYgvp00eHJ3yApaeSRw_5_0"/>
      <w:bookmarkStart w:id="1538" w:name="Tc_N1cJpvAuz0ubHdOfm7BNNw_4_0"/>
      <w:bookmarkStart w:id="1539" w:name="Tc_eFLOPnMYPEq6N1GmNYrgfA_3_2"/>
      <w:bookmarkStart w:id="1540" w:name="Tc_hO26Qo5bXU2Tp8smrioIuA_2_5"/>
      <w:bookmarkStart w:id="1541" w:name="Tc_jZ1MqC1vbU6sD1dEciBrvg_2_2"/>
      <w:bookmarkStart w:id="1542" w:name="Tc_UlTQKKOJXku8__zsJkuwHA_1_2"/>
      <w:bookmarkStart w:id="1543" w:name="Tc_RsUpheDLukS5e_Nu4fQjSQ_10_5"/>
      <w:bookmarkStart w:id="1544" w:name="Tc_vFFVF5sbdE-LjyBj9BkWTQ_10_2"/>
      <w:bookmarkStart w:id="1545" w:name="Tc_Q3f1ZLRhlEeltqI0URPtNQ_10_0"/>
      <w:bookmarkStart w:id="1546" w:name="Tc_RQSfhiW36Ei1zv91wtKYOw_9_0"/>
      <w:bookmarkStart w:id="1547" w:name="Tc_lPedBV-ZA0Sv57GoJ290lQ_8_0"/>
      <w:bookmarkStart w:id="1548" w:name="Tc_mptfRDSoh0WGY4fZKD6oCw_7_0"/>
      <w:bookmarkStart w:id="1549" w:name="Tc_Wr9_tkcoek--Y-WEuOf2Lg_6_0"/>
      <w:bookmarkStart w:id="1550" w:name="Tc_gW-0HKYT50CNpfJdUaYm9Q_5_5"/>
      <w:bookmarkStart w:id="1551" w:name="Tc_FSYvxidFlEKri3UKI6h28g_5_3"/>
      <w:bookmarkStart w:id="1552" w:name="Tc_yRg1eZD--E6ai0bKf8pUbg_5_2"/>
      <w:bookmarkStart w:id="1553" w:name="Tc_iE_K90R5OkiGh0IZ0MKKmA_5_0"/>
      <w:bookmarkStart w:id="1554" w:name="Tc_JMk86MBj6EGWP2_fDj0NEw_4_0"/>
      <w:bookmarkStart w:id="1555" w:name="Tc_Y_9K4eUC3UyczgiHThQ7rw_3_2"/>
      <w:bookmarkStart w:id="1556" w:name="Tc_4CoHPjnpGUmu3YcwYFGr5A_2_5"/>
      <w:bookmarkStart w:id="1557" w:name="Tc_M0sNiaQLz0SRyd0okl9GBA_2_2"/>
      <w:bookmarkStart w:id="1558" w:name="Tc_ReVhCv4ihkiEq8KfHi0ttQ_1_2"/>
      <w:bookmarkStart w:id="1559" w:name="Tc_9947gsv57k29VfKQhM15wg_7_6"/>
      <w:bookmarkStart w:id="1560" w:name="Tc_dmZ4SwnTYkOcQRjMyjQqEA_7_3"/>
      <w:bookmarkStart w:id="1561" w:name="Tc_c-LE6VZFV0qvFJKi0_1GQg_7_0"/>
      <w:bookmarkStart w:id="1562" w:name="Tc_4x0n9s4EO0WyFWFbm9SDWw_6_6"/>
      <w:bookmarkStart w:id="1563" w:name="Tc_ib2cIgt3N0CXGdMj6feJXw_6_5"/>
      <w:bookmarkStart w:id="1564" w:name="Tc_L6H_DSen-UK4rG-EmMMbHA_6_3"/>
      <w:bookmarkStart w:id="1565" w:name="Tc_S_yCrDUgWUag43t8vkmD5w_6_2"/>
      <w:bookmarkStart w:id="1566" w:name="Tc_d6YmsojbrESWdtS_luhENw_6_0"/>
      <w:bookmarkStart w:id="1567" w:name="Tc_SqkDA_x4hUeAdoR2AYaYNw_5_0"/>
      <w:bookmarkStart w:id="1568" w:name="Tc_O5wET4nKLEiGT7ryTiPmnA_4_6"/>
      <w:bookmarkStart w:id="1569" w:name="Tc_KB_YSAM9fkC_DdSh0sia4g_4_3"/>
      <w:bookmarkStart w:id="1570" w:name="Tc_n9-l18wWb0iUEOiEftvZaQ_4_0"/>
      <w:bookmarkStart w:id="1571" w:name="Tc_Vqxi3KOcSEaGFYSrZUzexQ_3_4"/>
      <w:bookmarkStart w:id="1572" w:name="Tc_rXmDAPc96Ua7beupHQk46Q_3_1"/>
      <w:bookmarkStart w:id="1573" w:name="Tc_rlO1oZKzaEWfbz3T9n3kPA_3_0"/>
      <w:bookmarkStart w:id="1574" w:name="Tc_B1D8_mVbjUikhprB6WNnxQ_2_4"/>
      <w:bookmarkStart w:id="1575" w:name="Tc_UnX0a7hR6kmeL6ykHnkEDQ_2_1"/>
      <w:bookmarkStart w:id="1576" w:name="Tc_PN2K4US5yUOL87IgcMzAJA_1_1"/>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r>
        <w:rPr>
          <w:rFonts w:ascii="Times New Roman;Times;serif" w:hAnsi="Times New Roman;Times;serif"/>
          <w:sz w:val="20"/>
        </w:rPr>
        <w:t xml:space="preserve">At March 31, 2026 and 2025, there were two ESPP offering periods open that end May 31, 2026 and 2025, respectively. The fair value of ESPP purchase rights for the offering periods is comprised of the value of the 15% ESPP discount and the value associated with the call or put over the respective ESPP offering period. ESPP offering periods reported in the March 31, 2026 and 2025 financial statements include the periods noted below in the table. The value of the call or put was estimated using the Black-Scholes model with the following assumptions: </w:t>
      </w:r>
    </w:p>
    <w:p>
      <w:pPr>
        <w:pStyle w:val="TextBody"/>
        <w:bidi w:val="0"/>
        <w:spacing w:before="0" w:after="0"/>
        <w:ind w:left="0" w:right="0" w:firstLine="360"/>
        <w:jc w:val="left"/>
        <w:rPr/>
      </w:pPr>
      <w:r>
        <w:rPr/>
        <w:t>​</w:t>
      </w:r>
    </w:p>
    <w:tbl>
      <w:tblPr>
        <w:tblW w:w="5298" w:type="dxa"/>
        <w:jc w:val="left"/>
        <w:tblInd w:w="0" w:type="dxa"/>
        <w:tblLayout w:type="fixed"/>
        <w:tblCellMar>
          <w:top w:w="0" w:type="dxa"/>
          <w:left w:w="0" w:type="dxa"/>
          <w:bottom w:w="0" w:type="dxa"/>
          <w:right w:w="0" w:type="dxa"/>
        </w:tblCellMar>
      </w:tblPr>
      <w:tblGrid>
        <w:gridCol w:w="2971"/>
        <w:gridCol w:w="222"/>
        <w:gridCol w:w="603"/>
        <w:gridCol w:w="316"/>
        <w:gridCol w:w="222"/>
        <w:gridCol w:w="603"/>
        <w:gridCol w:w="361"/>
      </w:tblGrid>
      <w:tr>
        <w:trPr/>
        <w:tc>
          <w:tcPr>
            <w:tcW w:w="2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1886585" cy="175260"/>
                      <wp:effectExtent l="0" t="0" r="0" b="0"/>
                      <wp:wrapNone/>
                      <wp:docPr id="313" name="Frame313"/>
                      <a:graphic xmlns:a="http://schemas.openxmlformats.org/drawingml/2006/main">
                        <a:graphicData uri="http://schemas.microsoft.com/office/word/2010/wordprocessingShape">
                          <wps:wsp>
                            <wps:cNvSpPr txBox="1"/>
                            <wps:spPr>
                              <a:xfrm>
                                <a:off x="0" y="0"/>
                                <a:ext cx="1886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40970" cy="175260"/>
                      <wp:effectExtent l="0" t="0" r="0" b="0"/>
                      <wp:wrapNone/>
                      <wp:docPr id="314" name="Frame314"/>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382905" cy="175260"/>
                      <wp:effectExtent l="0" t="0" r="0" b="0"/>
                      <wp:wrapNone/>
                      <wp:docPr id="315" name="Frame315"/>
                      <a:graphic xmlns:a="http://schemas.openxmlformats.org/drawingml/2006/main">
                        <a:graphicData uri="http://schemas.microsoft.com/office/word/2010/wordprocessingShape">
                          <wps:wsp>
                            <wps:cNvSpPr txBox="1"/>
                            <wps:spPr>
                              <a:xfrm>
                                <a:off x="0" y="0"/>
                                <a:ext cx="382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00660" cy="175260"/>
                      <wp:effectExtent l="0" t="0" r="0" b="0"/>
                      <wp:wrapNone/>
                      <wp:docPr id="316" name="Frame31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40970" cy="175260"/>
                      <wp:effectExtent l="0" t="0" r="0" b="0"/>
                      <wp:wrapNone/>
                      <wp:docPr id="317" name="Frame317"/>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382905" cy="175260"/>
                      <wp:effectExtent l="0" t="0" r="0" b="0"/>
                      <wp:wrapNone/>
                      <wp:docPr id="318" name="Frame318"/>
                      <a:graphic xmlns:a="http://schemas.openxmlformats.org/drawingml/2006/main">
                        <a:graphicData uri="http://schemas.microsoft.com/office/word/2010/wordprocessingShape">
                          <wps:wsp>
                            <wps:cNvSpPr txBox="1"/>
                            <wps:spPr>
                              <a:xfrm>
                                <a:off x="0" y="0"/>
                                <a:ext cx="382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29235" cy="175260"/>
                      <wp:effectExtent l="0" t="0" r="0" b="0"/>
                      <wp:wrapNone/>
                      <wp:docPr id="319" name="Frame31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71" w:type="dxa"/>
            <w:tcBorders/>
            <w:vAlign w:val="center"/>
          </w:tcPr>
          <w:p>
            <w:pPr>
              <w:pStyle w:val="TableContents"/>
              <w:bidi w:val="0"/>
              <w:spacing w:before="0" w:after="0"/>
              <w:ind w:left="0" w:right="0" w:hanging="0"/>
              <w:jc w:val="left"/>
              <w:rPr/>
            </w:pPr>
            <w:r>
              <w:rPr/>
              <w:t>​</w:t>
            </w:r>
          </w:p>
        </w:tc>
        <w:tc>
          <w:tcPr>
            <w:tcW w:w="232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Offering Period Ending</w:t>
            </w:r>
          </w:p>
        </w:tc>
      </w:tr>
      <w:tr>
        <w:trPr/>
        <w:tc>
          <w:tcPr>
            <w:tcW w:w="2971" w:type="dxa"/>
            <w:tcBorders/>
            <w:vAlign w:val="center"/>
          </w:tcPr>
          <w:p>
            <w:pPr>
              <w:pStyle w:val="TableContents"/>
              <w:bidi w:val="0"/>
              <w:spacing w:before="0" w:after="0"/>
              <w:ind w:left="0" w:right="0" w:hanging="0"/>
              <w:jc w:val="left"/>
              <w:rPr/>
            </w:pPr>
            <w:r>
              <w:rPr/>
              <w:t>​</w:t>
            </w:r>
          </w:p>
        </w:tc>
        <w:tc>
          <w:tcPr>
            <w:tcW w:w="8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5/31/2026</w:t>
            </w:r>
          </w:p>
        </w:tc>
        <w:tc>
          <w:tcPr>
            <w:tcW w:w="316" w:type="dxa"/>
            <w:tcBorders/>
            <w:vAlign w:val="center"/>
          </w:tcPr>
          <w:p>
            <w:pPr>
              <w:pStyle w:val="TableContents"/>
              <w:bidi w:val="0"/>
              <w:spacing w:before="0" w:after="0"/>
              <w:ind w:left="0" w:right="0" w:hanging="0"/>
              <w:jc w:val="center"/>
              <w:rPr/>
            </w:pPr>
            <w:r>
              <w:rPr/>
              <w:t>​</w:t>
            </w:r>
          </w:p>
        </w:tc>
        <w:tc>
          <w:tcPr>
            <w:tcW w:w="8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5/31/2025</w:t>
            </w:r>
          </w:p>
        </w:tc>
        <w:tc>
          <w:tcPr>
            <w:tcW w:w="361" w:type="dxa"/>
            <w:tcBorders/>
            <w:vAlign w:val="center"/>
          </w:tcPr>
          <w:p>
            <w:pPr>
              <w:pStyle w:val="TableContents"/>
              <w:bidi w:val="0"/>
              <w:spacing w:before="0" w:after="0"/>
              <w:ind w:left="0" w:right="0" w:hanging="0"/>
              <w:jc w:val="center"/>
              <w:rPr/>
            </w:pPr>
            <w:r>
              <w:rPr/>
              <w:t>​</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market value of common stock</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19.22</w:t>
            </w:r>
          </w:p>
        </w:tc>
        <w:tc>
          <w:tcPr>
            <w:tcW w:w="31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54.64</w:t>
            </w:r>
          </w:p>
        </w:tc>
        <w:tc>
          <w:tcPr>
            <w:tcW w:w="361" w:type="dxa"/>
            <w:tcBorders/>
            <w:shd w:fill="CCEEFF" w:val="clear"/>
            <w:vAlign w:val="center"/>
          </w:tcPr>
          <w:p>
            <w:pPr>
              <w:pStyle w:val="TableContents"/>
              <w:bidi w:val="0"/>
              <w:spacing w:before="0" w:after="0"/>
              <w:ind w:left="0" w:right="0" w:hanging="0"/>
              <w:jc w:val="left"/>
              <w:rPr/>
            </w:pPr>
            <w:r>
              <w:rPr/>
              <w:t>​</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Volatility</w:t>
            </w:r>
          </w:p>
        </w:tc>
        <w:tc>
          <w:tcPr>
            <w:tcW w:w="222"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222"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 (years)</w:t>
            </w:r>
          </w:p>
        </w:tc>
        <w:tc>
          <w:tcPr>
            <w:tcW w:w="222"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1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61" w:type="dxa"/>
            <w:tcBorders/>
            <w:shd w:fill="CCEEFF" w:val="clear"/>
            <w:vAlign w:val="center"/>
          </w:tcPr>
          <w:p>
            <w:pPr>
              <w:pStyle w:val="TableContents"/>
              <w:bidi w:val="0"/>
              <w:spacing w:before="0" w:after="0"/>
              <w:ind w:left="0" w:right="0" w:hanging="0"/>
              <w:jc w:val="left"/>
              <w:rPr/>
            </w:pPr>
            <w:r>
              <w:rPr/>
              <w:t>​</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222"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222"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222"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222"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Volatility is representative of expected stock price volatility over the offering period based on the Company’s historic stock price volatility. The expected term represents the term of the ESPP offering period, which is six months. The Company does not expect to pay dividends. The risk-free interest rate was based on the rate for a U.S. Treasury zero-coupon issue with a term that closely approximates the expected term of the award at the date nearest to the offering term.</w:t>
      </w:r>
    </w:p>
    <w:p>
      <w:pPr>
        <w:pStyle w:val="TextBody"/>
        <w:bidi w:val="0"/>
        <w:spacing w:before="0" w:after="0"/>
        <w:ind w:left="0" w:right="0" w:firstLine="360"/>
        <w:jc w:val="left"/>
        <w:rPr/>
      </w:pPr>
      <w:r>
        <w:rPr/>
        <w:t>​</w:t>
      </w:r>
    </w:p>
    <w:p>
      <w:pPr>
        <w:pStyle w:val="TextBody"/>
        <w:bidi w:val="0"/>
        <w:spacing w:before="0" w:after="240"/>
        <w:ind w:left="0" w:right="0" w:firstLine="360"/>
        <w:jc w:val="left"/>
        <w:rPr>
          <w:rFonts w:ascii="Times New Roman;Times;serif" w:hAnsi="Times New Roman;Times;serif"/>
          <w:b/>
          <w:sz w:val="20"/>
        </w:rPr>
      </w:pPr>
      <w:r>
        <w:rPr>
          <w:rFonts w:ascii="Times New Roman;Times;serif" w:hAnsi="Times New Roman;Times;serif"/>
          <w:b/>
          <w:sz w:val="20"/>
        </w:rPr>
        <w:t>Stock-Based Compensation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recognized total stock-based compensation expense related to incentive awards, net of forfeitures, as follows:</w:t>
      </w:r>
    </w:p>
    <w:p>
      <w:pPr>
        <w:pStyle w:val="TextBody"/>
        <w:bidi w:val="0"/>
        <w:spacing w:before="0" w:after="0"/>
        <w:ind w:left="0" w:right="0" w:hanging="0"/>
        <w:jc w:val="left"/>
        <w:rPr/>
      </w:pPr>
      <w:r>
        <w:rPr/>
        <w:t>​</w:t>
      </w:r>
    </w:p>
    <w:tbl>
      <w:tblPr>
        <w:tblW w:w="6543" w:type="dxa"/>
        <w:jc w:val="left"/>
        <w:tblInd w:w="0" w:type="dxa"/>
        <w:tblLayout w:type="fixed"/>
        <w:tblCellMar>
          <w:top w:w="0" w:type="dxa"/>
          <w:left w:w="0" w:type="dxa"/>
          <w:bottom w:w="0" w:type="dxa"/>
          <w:right w:w="0" w:type="dxa"/>
        </w:tblCellMar>
      </w:tblPr>
      <w:tblGrid>
        <w:gridCol w:w="3451"/>
        <w:gridCol w:w="109"/>
        <w:gridCol w:w="281"/>
        <w:gridCol w:w="903"/>
        <w:gridCol w:w="462"/>
        <w:gridCol w:w="281"/>
        <w:gridCol w:w="1056"/>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191385" cy="175260"/>
                      <wp:effectExtent l="0" t="0" r="0" b="0"/>
                      <wp:wrapNone/>
                      <wp:docPr id="320" name="Frame320"/>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9215" cy="175260"/>
                      <wp:effectExtent l="0" t="0" r="0" b="0"/>
                      <wp:wrapNone/>
                      <wp:docPr id="321" name="Frame3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178435" cy="175260"/>
                      <wp:effectExtent l="0" t="0" r="0" b="0"/>
                      <wp:wrapNone/>
                      <wp:docPr id="322" name="Frame322"/>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573405" cy="175260"/>
                      <wp:effectExtent l="0" t="0" r="0" b="0"/>
                      <wp:wrapNone/>
                      <wp:docPr id="323" name="Frame323"/>
                      <a:graphic xmlns:a="http://schemas.openxmlformats.org/drawingml/2006/main">
                        <a:graphicData uri="http://schemas.microsoft.com/office/word/2010/wordprocessingShape">
                          <wps:wsp>
                            <wps:cNvSpPr txBox="1"/>
                            <wps:spPr>
                              <a:xfrm>
                                <a:off x="0" y="0"/>
                                <a:ext cx="573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93370" cy="175260"/>
                      <wp:effectExtent l="0" t="0" r="0" b="0"/>
                      <wp:wrapNone/>
                      <wp:docPr id="324" name="Frame324"/>
                      <a:graphic xmlns:a="http://schemas.openxmlformats.org/drawingml/2006/main">
                        <a:graphicData uri="http://schemas.microsoft.com/office/word/2010/wordprocessingShape">
                          <wps:wsp>
                            <wps:cNvSpPr txBox="1"/>
                            <wps:spPr>
                              <a:xfrm>
                                <a:off x="0" y="0"/>
                                <a:ext cx="293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178435" cy="175260"/>
                      <wp:effectExtent l="0" t="0" r="0" b="0"/>
                      <wp:wrapNone/>
                      <wp:docPr id="325" name="Frame325"/>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70560" cy="175260"/>
                      <wp:effectExtent l="0" t="0" r="0" b="0"/>
                      <wp:wrapNone/>
                      <wp:docPr id="326" name="Frame326"/>
                      <a:graphic xmlns:a="http://schemas.openxmlformats.org/drawingml/2006/main">
                        <a:graphicData uri="http://schemas.microsoft.com/office/word/2010/wordprocessingShape">
                          <wps:wsp>
                            <wps:cNvSpPr txBox="1"/>
                            <wps:spPr>
                              <a:xfrm>
                                <a:off x="0" y="0"/>
                                <a:ext cx="670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 </w:t>
            </w:r>
          </w:p>
        </w:tc>
      </w:tr>
      <w:tr>
        <w:trPr/>
        <w:tc>
          <w:tcPr>
            <w:tcW w:w="34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62" w:type="dxa"/>
            <w:tcBorders/>
            <w:vAlign w:val="center"/>
          </w:tcPr>
          <w:p>
            <w:pPr>
              <w:pStyle w:val="TableContents"/>
              <w:bidi w:val="0"/>
              <w:spacing w:before="0" w:after="0"/>
              <w:ind w:left="0" w:right="0" w:hanging="0"/>
              <w:jc w:val="left"/>
              <w:rPr/>
            </w:pPr>
            <w:r>
              <w:rPr/>
              <w:t>  ​ ​ ​</w:t>
            </w:r>
          </w:p>
        </w:tc>
        <w:tc>
          <w:tcPr>
            <w:tcW w:w="13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543"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4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8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903"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1056" w:type="dxa"/>
            <w:tcBorders/>
            <w:shd w:fill="CCEEFF" w:val="clear"/>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109"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vAlign w:val="center"/>
          </w:tcPr>
          <w:p>
            <w:pPr>
              <w:pStyle w:val="TableContents"/>
              <w:bidi w:val="0"/>
              <w:spacing w:before="0" w:after="0"/>
              <w:ind w:left="0" w:right="0" w:hanging="0"/>
              <w:jc w:val="right"/>
              <w:rPr/>
            </w:pPr>
            <w:r>
              <w:rPr/>
              <w:t>—</w:t>
            </w:r>
          </w:p>
        </w:tc>
        <w:tc>
          <w:tcPr>
            <w:tcW w:w="462"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w:t>
            </w:r>
          </w:p>
        </w:tc>
        <w:tc>
          <w:tcPr>
            <w:tcW w:w="109"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 </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15,545</w:t>
            </w:r>
          </w:p>
        </w:tc>
        <w:tc>
          <w:tcPr>
            <w:tcW w:w="462"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 </w:t>
            </w:r>
          </w:p>
        </w:tc>
        <w:tc>
          <w:tcPr>
            <w:tcW w:w="10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19,353</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RSAs</w:t>
            </w:r>
          </w:p>
        </w:tc>
        <w:tc>
          <w:tcPr>
            <w:tcW w:w="109"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w:t>
            </w:r>
          </w:p>
        </w:tc>
        <w:tc>
          <w:tcPr>
            <w:tcW w:w="462"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10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PSUs</w:t>
            </w:r>
          </w:p>
        </w:tc>
        <w:tc>
          <w:tcPr>
            <w:tcW w:w="109"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2,127</w:t>
            </w:r>
          </w:p>
        </w:tc>
        <w:tc>
          <w:tcPr>
            <w:tcW w:w="462"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10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830</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ESPP</w:t>
            </w:r>
          </w:p>
        </w:tc>
        <w:tc>
          <w:tcPr>
            <w:tcW w:w="109"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w:t>
            </w:r>
          </w:p>
        </w:tc>
        <w:tc>
          <w:tcPr>
            <w:tcW w:w="462"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stock-based compensation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18,508</w:t>
            </w:r>
          </w:p>
        </w:tc>
        <w:tc>
          <w:tcPr>
            <w:tcW w:w="462" w:type="dxa"/>
            <w:tcBorders/>
            <w:shd w:fill="CCEEFF" w:val="clear"/>
            <w:vAlign w:val="center"/>
          </w:tcPr>
          <w:p>
            <w:pPr>
              <w:pStyle w:val="TableContents"/>
              <w:bidi w:val="0"/>
              <w:spacing w:before="0" w:after="0"/>
              <w:ind w:left="0" w:right="0" w:hanging="0"/>
              <w:jc w:val="left"/>
              <w:rPr/>
            </w:pPr>
            <w:r>
              <w:rPr/>
              <w:t>​</w:t>
            </w:r>
          </w:p>
        </w:tc>
        <w:tc>
          <w:tcPr>
            <w:tcW w:w="2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21,044</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recognized stock-based compensation expense in the condensed consolidated statements of comprehensive income as follows: </w:t>
      </w:r>
    </w:p>
    <w:p>
      <w:pPr>
        <w:pStyle w:val="TextBody"/>
        <w:bidi w:val="0"/>
        <w:spacing w:before="0" w:after="0"/>
        <w:ind w:left="0" w:right="0" w:hanging="0"/>
        <w:jc w:val="left"/>
        <w:rPr/>
      </w:pPr>
      <w:r>
        <w:rPr/>
        <w:t>​</w:t>
      </w:r>
    </w:p>
    <w:tbl>
      <w:tblPr>
        <w:tblW w:w="6543" w:type="dxa"/>
        <w:jc w:val="left"/>
        <w:tblInd w:w="0" w:type="dxa"/>
        <w:tblLayout w:type="fixed"/>
        <w:tblCellMar>
          <w:top w:w="0" w:type="dxa"/>
          <w:left w:w="0" w:type="dxa"/>
          <w:bottom w:w="0" w:type="dxa"/>
          <w:right w:w="0" w:type="dxa"/>
        </w:tblCellMar>
      </w:tblPr>
      <w:tblGrid>
        <w:gridCol w:w="3451"/>
        <w:gridCol w:w="109"/>
        <w:gridCol w:w="281"/>
        <w:gridCol w:w="903"/>
        <w:gridCol w:w="462"/>
        <w:gridCol w:w="281"/>
        <w:gridCol w:w="1056"/>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191385" cy="175260"/>
                      <wp:effectExtent l="0" t="0" r="0" b="0"/>
                      <wp:wrapNone/>
                      <wp:docPr id="327" name="Frame327"/>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9215" cy="175260"/>
                      <wp:effectExtent l="0" t="0" r="0" b="0"/>
                      <wp:wrapNone/>
                      <wp:docPr id="328" name="Frame3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78435" cy="175260"/>
                      <wp:effectExtent l="0" t="0" r="0" b="0"/>
                      <wp:wrapNone/>
                      <wp:docPr id="329" name="Frame329"/>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573405" cy="175260"/>
                      <wp:effectExtent l="0" t="0" r="0" b="0"/>
                      <wp:wrapNone/>
                      <wp:docPr id="330" name="Frame330"/>
                      <a:graphic xmlns:a="http://schemas.openxmlformats.org/drawingml/2006/main">
                        <a:graphicData uri="http://schemas.microsoft.com/office/word/2010/wordprocessingShape">
                          <wps:wsp>
                            <wps:cNvSpPr txBox="1"/>
                            <wps:spPr>
                              <a:xfrm>
                                <a:off x="0" y="0"/>
                                <a:ext cx="573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93370" cy="175260"/>
                      <wp:effectExtent l="0" t="0" r="0" b="0"/>
                      <wp:wrapNone/>
                      <wp:docPr id="331" name="Frame331"/>
                      <a:graphic xmlns:a="http://schemas.openxmlformats.org/drawingml/2006/main">
                        <a:graphicData uri="http://schemas.microsoft.com/office/word/2010/wordprocessingShape">
                          <wps:wsp>
                            <wps:cNvSpPr txBox="1"/>
                            <wps:spPr>
                              <a:xfrm>
                                <a:off x="0" y="0"/>
                                <a:ext cx="293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178435" cy="175260"/>
                      <wp:effectExtent l="0" t="0" r="0" b="0"/>
                      <wp:wrapNone/>
                      <wp:docPr id="332" name="Frame332"/>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70560" cy="175260"/>
                      <wp:effectExtent l="0" t="0" r="0" b="0"/>
                      <wp:wrapNone/>
                      <wp:docPr id="333" name="Frame333"/>
                      <a:graphic xmlns:a="http://schemas.openxmlformats.org/drawingml/2006/main">
                        <a:graphicData uri="http://schemas.microsoft.com/office/word/2010/wordprocessingShape">
                          <wps:wsp>
                            <wps:cNvSpPr txBox="1"/>
                            <wps:spPr>
                              <a:xfrm>
                                <a:off x="0" y="0"/>
                                <a:ext cx="670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 </w:t>
            </w:r>
          </w:p>
        </w:tc>
      </w:tr>
      <w:tr>
        <w:trPr/>
        <w:tc>
          <w:tcPr>
            <w:tcW w:w="34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62" w:type="dxa"/>
            <w:tcBorders/>
            <w:vAlign w:val="center"/>
          </w:tcPr>
          <w:p>
            <w:pPr>
              <w:pStyle w:val="TableContents"/>
              <w:bidi w:val="0"/>
              <w:spacing w:before="0" w:after="0"/>
              <w:ind w:left="0" w:right="0" w:hanging="0"/>
              <w:jc w:val="left"/>
              <w:rPr/>
            </w:pPr>
            <w:r>
              <w:rPr/>
              <w:t>  ​ ​ ​</w:t>
            </w:r>
          </w:p>
        </w:tc>
        <w:tc>
          <w:tcPr>
            <w:tcW w:w="13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543"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4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8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center"/>
              <w:rPr/>
            </w:pPr>
            <w:r>
              <w:rPr/>
              <w:t>​</w:t>
            </w:r>
          </w:p>
        </w:tc>
        <w:tc>
          <w:tcPr>
            <w:tcW w:w="903" w:type="dxa"/>
            <w:tcBorders/>
            <w:shd w:fill="CCEEFF" w:val="clear"/>
            <w:vAlign w:val="center"/>
          </w:tcPr>
          <w:p>
            <w:pPr>
              <w:pStyle w:val="TableContents"/>
              <w:bidi w:val="0"/>
              <w:spacing w:before="0" w:after="0"/>
              <w:ind w:left="0" w:right="0" w:hanging="0"/>
              <w:jc w:val="center"/>
              <w:rPr/>
            </w:pPr>
            <w:r>
              <w:rPr/>
              <w:t>​</w:t>
            </w:r>
          </w:p>
        </w:tc>
        <w:tc>
          <w:tcPr>
            <w:tcW w:w="462" w:type="dxa"/>
            <w:tcBorders/>
            <w:shd w:fill="CCEEFF" w:val="clear"/>
            <w:vAlign w:val="center"/>
          </w:tcPr>
          <w:p>
            <w:pPr>
              <w:pStyle w:val="TableContents"/>
              <w:bidi w:val="0"/>
              <w:spacing w:before="0" w:after="0"/>
              <w:ind w:left="0" w:right="0" w:hanging="0"/>
              <w:jc w:val="center"/>
              <w:rPr/>
            </w:pPr>
            <w:r>
              <w:rPr/>
              <w:t>​</w:t>
            </w:r>
          </w:p>
        </w:tc>
        <w:tc>
          <w:tcPr>
            <w:tcW w:w="281" w:type="dxa"/>
            <w:tcBorders/>
            <w:shd w:fill="CCEEFF" w:val="clear"/>
            <w:vAlign w:val="center"/>
          </w:tcPr>
          <w:p>
            <w:pPr>
              <w:pStyle w:val="TableContents"/>
              <w:bidi w:val="0"/>
              <w:spacing w:before="0" w:after="0"/>
              <w:ind w:left="0" w:right="0" w:hanging="0"/>
              <w:jc w:val="center"/>
              <w:rPr/>
            </w:pPr>
            <w:r>
              <w:rPr/>
              <w:t>​</w:t>
            </w:r>
          </w:p>
        </w:tc>
        <w:tc>
          <w:tcPr>
            <w:tcW w:w="1056" w:type="dxa"/>
            <w:tcBorders/>
            <w:shd w:fill="CCEEFF" w:val="clear"/>
            <w:vAlign w:val="center"/>
          </w:tcPr>
          <w:p>
            <w:pPr>
              <w:pStyle w:val="TableContents"/>
              <w:bidi w:val="0"/>
              <w:spacing w:before="0" w:after="0"/>
              <w:ind w:left="0" w:right="0" w:hanging="0"/>
              <w:jc w:val="center"/>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 software subscriptions</w:t>
            </w:r>
          </w:p>
        </w:tc>
        <w:tc>
          <w:tcPr>
            <w:tcW w:w="109"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1,745</w:t>
            </w:r>
          </w:p>
        </w:tc>
        <w:tc>
          <w:tcPr>
            <w:tcW w:w="462"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2,227</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 services</w:t>
            </w:r>
          </w:p>
        </w:tc>
        <w:tc>
          <w:tcPr>
            <w:tcW w:w="109"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 </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1,671</w:t>
            </w:r>
          </w:p>
        </w:tc>
        <w:tc>
          <w:tcPr>
            <w:tcW w:w="462"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 </w:t>
            </w:r>
          </w:p>
        </w:tc>
        <w:tc>
          <w:tcPr>
            <w:tcW w:w="10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1,696</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109"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3,866</w:t>
            </w:r>
          </w:p>
        </w:tc>
        <w:tc>
          <w:tcPr>
            <w:tcW w:w="462"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 </w:t>
            </w:r>
          </w:p>
        </w:tc>
        <w:tc>
          <w:tcPr>
            <w:tcW w:w="10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4,352</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w:t>
            </w:r>
          </w:p>
        </w:tc>
        <w:tc>
          <w:tcPr>
            <w:tcW w:w="109"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 </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5,343</w:t>
            </w:r>
          </w:p>
        </w:tc>
        <w:tc>
          <w:tcPr>
            <w:tcW w:w="462"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 </w:t>
            </w:r>
          </w:p>
        </w:tc>
        <w:tc>
          <w:tcPr>
            <w:tcW w:w="10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5,806</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109"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5,883</w:t>
            </w:r>
          </w:p>
        </w:tc>
        <w:tc>
          <w:tcPr>
            <w:tcW w:w="462"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6,963</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stock-based compensation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18,508</w:t>
            </w:r>
          </w:p>
        </w:tc>
        <w:tc>
          <w:tcPr>
            <w:tcW w:w="462" w:type="dxa"/>
            <w:tcBorders/>
            <w:shd w:fill="CCEEFF" w:val="clear"/>
            <w:vAlign w:val="center"/>
          </w:tcPr>
          <w:p>
            <w:pPr>
              <w:pStyle w:val="TableContents"/>
              <w:bidi w:val="0"/>
              <w:spacing w:before="0" w:after="0"/>
              <w:ind w:left="0" w:right="0" w:hanging="0"/>
              <w:jc w:val="left"/>
              <w:rPr/>
            </w:pPr>
            <w:r>
              <w:rPr/>
              <w:t>​</w:t>
            </w:r>
          </w:p>
        </w:tc>
        <w:tc>
          <w:tcPr>
            <w:tcW w:w="2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21,044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766" w:type="dxa"/>
        <w:jc w:val="left"/>
        <w:tblInd w:w="0" w:type="dxa"/>
        <w:tblLayout w:type="fixed"/>
        <w:tblCellMar>
          <w:top w:w="0" w:type="dxa"/>
          <w:left w:w="0" w:type="dxa"/>
          <w:bottom w:w="0" w:type="dxa"/>
          <w:right w:w="0" w:type="dxa"/>
        </w:tblCellMar>
      </w:tblPr>
      <w:tblGrid>
        <w:gridCol w:w="6766"/>
      </w:tblGrid>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12.   COMMITMENTS AND CONTINGENCIES</w:t>
      </w:r>
      <w:r>
        <w:rPr>
          <w:rFonts w:ascii="Times New Roman;Times;serif" w:hAnsi="Times New Roman;Times;serif"/>
          <w:b/>
          <w:color w:val="FF0000"/>
          <w:sz w:val="20"/>
        </w:rPr>
        <w:t xml:space="preserve">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January 2022, the Company filed a complaint against a competitor alleging claims of unfair competition, intentional interference with contractual relations, and trade secret misappropriation. The outcome of the case is subject to a number of uncertainties; therefore, the Company has not recognized any potential impact to the condensed consolidated financial statements related to the outcome of the case.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During the three months ended March 31, 2026 and 2025, the Company recognized $2,727 and $2,425, respectively, for legal expenses associated with the case within the other operating expense, net line of the condensed consolidated statements of comprehensive income (loss). </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may become involved in various lawsuits and legal proceedings, which arise in the ordinary course of business. However, litigation is subject to inherent uncertainties, and an adverse result in these or other matters may arise from time to time that may harm the Company’s business. The Company is not aware of any such legal proceedings or claims that management believes will have a material adverse effect on its business, financial condition, or operating results.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13.   SEGMENT DISCLOSURES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operates its business as one operating segment. Operating segments are defined as components of an enterprise in which separate financial information is evaluated regularly by the chief operating decision maker (“CODM”) in deciding how to allocate resources and assess performance. The Company’s CODM, the Chief Executive Officer, reviews financial information regularly at the consolidated level. Net income (loss) and adjusted earnings before interest, taxes, depreciation, and amortization (“Adjusted EBITDA”), a non-GAAP measure, are both used as metrics to evaluate performance of the business in deciding whether to reinvest profits into software development, acquisitions or into other areas of the Company. The Company believes that Adjusted EBITDA is a useful supplemental measure to evaluate overall operating performance as it measures business performance by focusing on cash related results and it is an important metric to lenders under the Company’s Credit Agreement. The most directly comparable GAAP measure to Adjusted EBITDA is net income (loss). </w:t>
      </w:r>
    </w:p>
    <w:p>
      <w:pPr>
        <w:pStyle w:val="TextBody"/>
        <w:bidi w:val="0"/>
        <w:spacing w:before="0" w:after="240"/>
        <w:ind w:left="0" w:right="0" w:firstLine="72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CODM monitors consolidated forecasted versus actual net income (loss) and Adjusted EBITDA results for the purpose of determining the general health of the Company and assessing the performance of the Company as compared to management’s expectations.</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766" w:type="dxa"/>
        <w:jc w:val="left"/>
        <w:tblInd w:w="0" w:type="dxa"/>
        <w:tblLayout w:type="fixed"/>
        <w:tblCellMar>
          <w:top w:w="0" w:type="dxa"/>
          <w:left w:w="0" w:type="dxa"/>
          <w:bottom w:w="0" w:type="dxa"/>
          <w:right w:w="0" w:type="dxa"/>
        </w:tblCellMar>
      </w:tblPr>
      <w:tblGrid>
        <w:gridCol w:w="6766"/>
      </w:tblGrid>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bookmarkStart w:id="1577" w:name="Narr_E1hrLOpLW0WrYmM30QON8w"/>
      <w:bookmarkStart w:id="1578" w:name="Tc_AB1_xdScn0u2g_IL8LKMKQ_33_0"/>
      <w:bookmarkStart w:id="1579" w:name="Tc_Zu34B4z1s0y7IMY2WSbEjw_32_0"/>
      <w:bookmarkStart w:id="1580" w:name="Tc_ABrNGtumfkm5NgI3XXoKhQ_31_0"/>
      <w:bookmarkStart w:id="1581" w:name="Tc_CI6o4uNPq0i1dekY5GYq-A_30_0"/>
      <w:bookmarkStart w:id="1582" w:name="Tc_4Vbe2gqJk0aDAMPzrw8k6g_29_4"/>
      <w:bookmarkStart w:id="1583" w:name="Tc_FgFfSv5sOU-JG7bJGcT9oA_29_1"/>
      <w:bookmarkStart w:id="1584" w:name="Tc_FbVl5F8iUkujSn181-7iwg_29_0"/>
      <w:bookmarkStart w:id="1585" w:name="Tc_WnuXj7YISEmsIGAtE784nw_28_0"/>
      <w:bookmarkStart w:id="1586" w:name="Tc_2cZbspBU-kyTQXhWpkpQnw_27_5"/>
      <w:bookmarkStart w:id="1587" w:name="Tc_1oD-DiDE0kybZccmiWShFg_27_0"/>
      <w:bookmarkStart w:id="1588" w:name="Tc_RdoXReINjU6ujqOeY3FrdQ_26_0"/>
      <w:bookmarkStart w:id="1589" w:name="Tc_OHODdJ4xF0ykfpp5fY-I1Q_25_0"/>
      <w:bookmarkStart w:id="1590" w:name="Tc_1o83OICRQkeEd2wlERrECg_24_0"/>
      <w:bookmarkStart w:id="1591" w:name="Tc_jS-n_4iYAUGDIXTblvqhIA_23_0"/>
      <w:bookmarkStart w:id="1592" w:name="Tc_-UsMINYM-UegDiT-JQMRnw_22_0"/>
      <w:bookmarkStart w:id="1593" w:name="Tc_-6nQq5lHF0Gp48RQDE7Saw_21_0"/>
      <w:bookmarkStart w:id="1594" w:name="Tc_UVh_2_Fer0KziiCfr6pmig_20_0"/>
      <w:bookmarkStart w:id="1595" w:name="Tc_xYFzVaKCOE20pzEKTARB5w_19_0"/>
      <w:bookmarkStart w:id="1596" w:name="Tc_xoCCk-tCqEK0LyCqpRYSDg_18_0"/>
      <w:bookmarkStart w:id="1597" w:name="Tc_LjxPj_T92EGnRBu4jagRkg_17_0"/>
      <w:bookmarkStart w:id="1598" w:name="Tc_252J4XsjRky01iCt5xvxOg_16_4"/>
      <w:bookmarkStart w:id="1599" w:name="Tc_DTaeb9-0202oosU18KZ1FQ_16_1"/>
      <w:bookmarkStart w:id="1600" w:name="Tc_VihHvJDeakORUUIM0Xs-yg_16_0"/>
      <w:bookmarkStart w:id="1601" w:name="Tc_MHOkDrcMeECzKgpQO-RRjA_15_0"/>
      <w:bookmarkStart w:id="1602" w:name="Tc_-rkiHkjrLU6lgUbSUILBdQ_14_0"/>
      <w:bookmarkStart w:id="1603" w:name="Tc_hbKqL1ovc0iuuvSXEECLAA_13_0"/>
      <w:bookmarkStart w:id="1604" w:name="Tc_Tr_w-A1HHkeOkij3DLFd8A_12_0"/>
      <w:bookmarkStart w:id="1605" w:name="Tc_9KsdvEJoEkiWGDebt1JWiw_11_0"/>
      <w:bookmarkStart w:id="1606" w:name="Tc_j8tJM9Enn0SX9nKos6zWZw_10_0"/>
      <w:bookmarkStart w:id="1607" w:name="Tc_YBZevkY4uEqdrnSg76I_5A_9_0"/>
      <w:bookmarkStart w:id="1608" w:name="Tc__STj5nWqsUiil8wWvOosEQ_8_0"/>
      <w:bookmarkStart w:id="1609" w:name="Tc_5v71EFMc1k-6WIeRc4TemA_7_0"/>
      <w:bookmarkStart w:id="1610" w:name="Tc_v3e8wWlpIUes-OUGLh-19g_6_0"/>
      <w:bookmarkStart w:id="1611" w:name="Tc_y4YTmiATz0aebKnNE4zsKw_5_0"/>
      <w:bookmarkStart w:id="1612" w:name="Tc_Jb-Pne4LZ0SdKqmklQ5F0Q_4_4"/>
      <w:bookmarkStart w:id="1613" w:name="Tc_j5FxvBtT2UiAaFqZsWSZzA_4_1"/>
      <w:bookmarkStart w:id="1614" w:name="Tc_uVlHugK2ok6yQWK65__PaQ_4_0"/>
      <w:bookmarkStart w:id="1615" w:name="Tc_u7BUiJ8UqEqjwyyXe_-6-w_3_1"/>
      <w:bookmarkStart w:id="1616" w:name="Tc_CTZSmb13-UytlaqaMCFoRQ_2_4"/>
      <w:bookmarkStart w:id="1617" w:name="Tc_Q3pwukVSWkiAhBtMDIlBKQ_2_1"/>
      <w:bookmarkStart w:id="1618" w:name="Tc_V55UP-nvFUapWekGCVAgRw_1_1"/>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r>
        <w:rPr>
          <w:rFonts w:ascii="Times New Roman;Times;serif" w:hAnsi="Times New Roman;Times;serif"/>
          <w:sz w:val="20"/>
        </w:rPr>
        <w:t>The following significant expense categories and measures of segment income (loss) are regularly reported to the CODM for the Company’s single segment: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775"/>
        <w:gridCol w:w="336"/>
        <w:gridCol w:w="1249"/>
        <w:gridCol w:w="173"/>
        <w:gridCol w:w="336"/>
        <w:gridCol w:w="1336"/>
      </w:tblGrid>
      <w:tr>
        <w:trPr/>
        <w:tc>
          <w:tcPr>
            <w:tcW w:w="67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4302125" cy="175260"/>
                      <wp:effectExtent l="0" t="0" r="0" b="0"/>
                      <wp:wrapNone/>
                      <wp:docPr id="334" name="Frame334"/>
                      <a:graphic xmlns:a="http://schemas.openxmlformats.org/drawingml/2006/main">
                        <a:graphicData uri="http://schemas.microsoft.com/office/word/2010/wordprocessingShape">
                          <wps:wsp>
                            <wps:cNvSpPr txBox="1"/>
                            <wps:spPr>
                              <a:xfrm>
                                <a:off x="0" y="0"/>
                                <a:ext cx="4302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13360" cy="175260"/>
                      <wp:effectExtent l="0" t="0" r="0" b="0"/>
                      <wp:wrapNone/>
                      <wp:docPr id="335" name="Frame335"/>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793115" cy="175260"/>
                      <wp:effectExtent l="0" t="0" r="0" b="0"/>
                      <wp:wrapNone/>
                      <wp:docPr id="336" name="Frame336"/>
                      <a:graphic xmlns:a="http://schemas.openxmlformats.org/drawingml/2006/main">
                        <a:graphicData uri="http://schemas.microsoft.com/office/word/2010/wordprocessingShape">
                          <wps:wsp>
                            <wps:cNvSpPr txBox="1"/>
                            <wps:spPr>
                              <a:xfrm>
                                <a:off x="0" y="0"/>
                                <a:ext cx="793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109855" cy="175260"/>
                      <wp:effectExtent l="0" t="0" r="0" b="0"/>
                      <wp:wrapNone/>
                      <wp:docPr id="337" name="Frame337"/>
                      <a:graphic xmlns:a="http://schemas.openxmlformats.org/drawingml/2006/main">
                        <a:graphicData uri="http://schemas.microsoft.com/office/word/2010/wordprocessingShape">
                          <wps:wsp>
                            <wps:cNvSpPr txBox="1"/>
                            <wps:spPr>
                              <a:xfrm>
                                <a:off x="0" y="0"/>
                                <a:ext cx="109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13360" cy="175260"/>
                      <wp:effectExtent l="0" t="0" r="0" b="0"/>
                      <wp:wrapNone/>
                      <wp:docPr id="338" name="Frame338"/>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848360" cy="175260"/>
                      <wp:effectExtent l="0" t="0" r="0" b="0"/>
                      <wp:wrapNone/>
                      <wp:docPr id="339" name="Frame339"/>
                      <a:graphic xmlns:a="http://schemas.openxmlformats.org/drawingml/2006/main">
                        <a:graphicData uri="http://schemas.microsoft.com/office/word/2010/wordprocessingShape">
                          <wps:wsp>
                            <wps:cNvSpPr txBox="1"/>
                            <wps:spPr>
                              <a:xfrm>
                                <a:off x="0" y="0"/>
                                <a:ext cx="848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775" w:type="dxa"/>
            <w:tcBorders/>
            <w:vAlign w:val="center"/>
          </w:tcPr>
          <w:p>
            <w:pPr>
              <w:pStyle w:val="TableContents"/>
              <w:bidi w:val="0"/>
              <w:spacing w:before="0" w:after="0"/>
              <w:ind w:left="0" w:right="0" w:hanging="0"/>
              <w:jc w:val="left"/>
              <w:rPr/>
            </w:pPr>
            <w:r>
              <w:rPr/>
              <w:t>​</w:t>
            </w:r>
          </w:p>
        </w:tc>
        <w:tc>
          <w:tcPr>
            <w:tcW w:w="34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 </w:t>
            </w:r>
          </w:p>
        </w:tc>
      </w:tr>
      <w:tr>
        <w:trPr/>
        <w:tc>
          <w:tcPr>
            <w:tcW w:w="6775" w:type="dxa"/>
            <w:tcBorders/>
            <w:vAlign w:val="center"/>
          </w:tcPr>
          <w:p>
            <w:pPr>
              <w:pStyle w:val="TableContents"/>
              <w:bidi w:val="0"/>
              <w:spacing w:before="0" w:after="0"/>
              <w:ind w:left="0" w:right="0" w:hanging="0"/>
              <w:jc w:val="left"/>
              <w:rPr/>
            </w:pPr>
            <w:r>
              <w:rPr/>
              <w:t>​</w:t>
            </w:r>
          </w:p>
        </w:tc>
        <w:tc>
          <w:tcPr>
            <w:tcW w:w="15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73" w:type="dxa"/>
            <w:tcBorders/>
            <w:vAlign w:val="center"/>
          </w:tcPr>
          <w:p>
            <w:pPr>
              <w:pStyle w:val="TableContents"/>
              <w:bidi w:val="0"/>
              <w:spacing w:before="0" w:after="0"/>
              <w:ind w:left="0" w:right="0" w:hanging="0"/>
              <w:jc w:val="center"/>
              <w:rPr/>
            </w:pPr>
            <w:r>
              <w:rPr/>
              <w:t>​</w:t>
            </w:r>
          </w:p>
        </w:tc>
        <w:tc>
          <w:tcPr>
            <w:tcW w:w="16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0205" w:type="dxa"/>
            <w:gridSpan w:val="6"/>
            <w:tcBorders/>
            <w:vAlign w:val="center"/>
          </w:tcPr>
          <w:p>
            <w:pPr>
              <w:pStyle w:val="TableContents"/>
              <w:bidi w:val="0"/>
              <w:spacing w:before="0" w:after="283"/>
              <w:ind w:left="0" w:right="0" w:hanging="0"/>
              <w:jc w:val="left"/>
              <w:rPr>
                <w:sz w:val="4"/>
                <w:szCs w:val="4"/>
              </w:rPr>
            </w:pPr>
            <w:r>
              <w:rPr>
                <w:sz w:val="4"/>
                <w:szCs w:val="4"/>
              </w:rPr>
            </w:r>
          </w:p>
        </w:tc>
      </w:tr>
      <w:tr>
        <w:trPr/>
        <w:tc>
          <w:tcPr>
            <w:tcW w:w="6775" w:type="dxa"/>
            <w:tcBorders/>
            <w:vAlign w:val="center"/>
          </w:tcPr>
          <w:p>
            <w:pPr>
              <w:pStyle w:val="TableContents"/>
              <w:bidi w:val="0"/>
              <w:spacing w:before="0" w:after="0"/>
              <w:ind w:left="0" w:right="0" w:hanging="0"/>
              <w:jc w:val="left"/>
              <w:rPr/>
            </w:pPr>
            <w:r>
              <w:rPr/>
              <w:t>​</w:t>
            </w:r>
          </w:p>
        </w:tc>
        <w:tc>
          <w:tcPr>
            <w:tcW w:w="34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677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Revenues</w:t>
            </w:r>
          </w:p>
        </w:tc>
        <w:tc>
          <w:tcPr>
            <w:tcW w:w="33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196,646</w:t>
            </w:r>
          </w:p>
        </w:tc>
        <w:tc>
          <w:tcPr>
            <w:tcW w:w="173" w:type="dxa"/>
            <w:tcBorders/>
            <w:shd w:fill="CCEEFF" w:val="clear"/>
            <w:vAlign w:val="center"/>
          </w:tcPr>
          <w:p>
            <w:pPr>
              <w:pStyle w:val="TableContents"/>
              <w:bidi w:val="0"/>
              <w:spacing w:before="0" w:after="0"/>
              <w:ind w:left="0" w:right="0" w:hanging="0"/>
              <w:jc w:val="right"/>
              <w:rPr/>
            </w:pPr>
            <w:r>
              <w:rPr/>
              <w:t>​</w:t>
            </w:r>
          </w:p>
        </w:tc>
        <w:tc>
          <w:tcPr>
            <w:tcW w:w="33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3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177,062</w:t>
            </w:r>
          </w:p>
        </w:tc>
      </w:tr>
      <w:tr>
        <w:trPr/>
        <w:tc>
          <w:tcPr>
            <w:tcW w:w="67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Less:</w:t>
            </w:r>
          </w:p>
        </w:tc>
        <w:tc>
          <w:tcPr>
            <w:tcW w:w="336" w:type="dxa"/>
            <w:tcBorders/>
            <w:vAlign w:val="center"/>
          </w:tcPr>
          <w:p>
            <w:pPr>
              <w:pStyle w:val="TableContents"/>
              <w:bidi w:val="0"/>
              <w:spacing w:before="0" w:after="0"/>
              <w:ind w:left="0" w:right="0" w:hanging="0"/>
              <w:jc w:val="left"/>
              <w:rPr/>
            </w:pPr>
            <w:r>
              <w:rPr/>
              <w:t>​</w:t>
            </w:r>
          </w:p>
        </w:tc>
        <w:tc>
          <w:tcPr>
            <w:tcW w:w="1249" w:type="dxa"/>
            <w:tcBorders/>
            <w:vAlign w:val="center"/>
          </w:tcPr>
          <w:p>
            <w:pPr>
              <w:pStyle w:val="TableContents"/>
              <w:bidi w:val="0"/>
              <w:spacing w:before="0" w:after="0"/>
              <w:ind w:left="0" w:right="0" w:hanging="0"/>
              <w:jc w:val="right"/>
              <w:rPr/>
            </w:pPr>
            <w:r>
              <w:rPr/>
              <w:t>​</w:t>
            </w:r>
          </w:p>
        </w:tc>
        <w:tc>
          <w:tcPr>
            <w:tcW w:w="173" w:type="dxa"/>
            <w:tcBorders/>
            <w:vAlign w:val="center"/>
          </w:tcPr>
          <w:p>
            <w:pPr>
              <w:pStyle w:val="TableContents"/>
              <w:bidi w:val="0"/>
              <w:spacing w:before="0" w:after="0"/>
              <w:ind w:left="0" w:right="0" w:hanging="0"/>
              <w:jc w:val="right"/>
              <w:rPr/>
            </w:pPr>
            <w:r>
              <w:rPr/>
              <w:t>​</w:t>
            </w:r>
          </w:p>
        </w:tc>
        <w:tc>
          <w:tcPr>
            <w:tcW w:w="33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right"/>
              <w:rPr/>
            </w:pPr>
            <w:r>
              <w:rPr/>
              <w:t>​</w:t>
            </w:r>
          </w:p>
        </w:tc>
      </w:tr>
      <w:tr>
        <w:trPr/>
        <w:tc>
          <w:tcPr>
            <w:tcW w:w="67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 – software subscriptions</w:t>
            </w:r>
          </w:p>
        </w:tc>
        <w:tc>
          <w:tcPr>
            <w:tcW w:w="336" w:type="dxa"/>
            <w:tcBorders/>
            <w:shd w:fill="CCEEFF" w:val="clear"/>
            <w:vAlign w:val="center"/>
          </w:tcPr>
          <w:p>
            <w:pPr>
              <w:pStyle w:val="TableContents"/>
              <w:bidi w:val="0"/>
              <w:spacing w:before="0" w:after="0"/>
              <w:ind w:left="0" w:right="0" w:hanging="0"/>
              <w:jc w:val="left"/>
              <w:rPr/>
            </w:pPr>
            <w:r>
              <w:rPr/>
              <w:t>​</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51,176</w:t>
            </w:r>
          </w:p>
        </w:tc>
        <w:tc>
          <w:tcPr>
            <w:tcW w:w="173" w:type="dxa"/>
            <w:tcBorders/>
            <w:shd w:fill="CCEEFF" w:val="clear"/>
            <w:vAlign w:val="center"/>
          </w:tcPr>
          <w:p>
            <w:pPr>
              <w:pStyle w:val="TableContents"/>
              <w:bidi w:val="0"/>
              <w:spacing w:before="0" w:after="0"/>
              <w:ind w:left="0" w:right="0" w:hanging="0"/>
              <w:jc w:val="right"/>
              <w:rPr/>
            </w:pPr>
            <w:r>
              <w:rPr/>
              <w:t>​</w:t>
            </w:r>
          </w:p>
        </w:tc>
        <w:tc>
          <w:tcPr>
            <w:tcW w:w="336" w:type="dxa"/>
            <w:tcBorders/>
            <w:shd w:fill="CCEEFF" w:val="clear"/>
            <w:vAlign w:val="center"/>
          </w:tcPr>
          <w:p>
            <w:pPr>
              <w:pStyle w:val="TableContents"/>
              <w:bidi w:val="0"/>
              <w:spacing w:before="0" w:after="0"/>
              <w:ind w:left="0" w:right="0" w:hanging="0"/>
              <w:jc w:val="left"/>
              <w:rPr/>
            </w:pPr>
            <w:r>
              <w:rPr/>
              <w:t>​</w:t>
            </w:r>
          </w:p>
        </w:tc>
        <w:tc>
          <w:tcPr>
            <w:tcW w:w="13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44,245</w:t>
            </w:r>
          </w:p>
        </w:tc>
      </w:tr>
      <w:tr>
        <w:trPr/>
        <w:tc>
          <w:tcPr>
            <w:tcW w:w="67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 – services</w:t>
            </w:r>
          </w:p>
        </w:tc>
        <w:tc>
          <w:tcPr>
            <w:tcW w:w="336" w:type="dxa"/>
            <w:tcBorders/>
            <w:vAlign w:val="center"/>
          </w:tcPr>
          <w:p>
            <w:pPr>
              <w:pStyle w:val="TableContents"/>
              <w:bidi w:val="0"/>
              <w:spacing w:before="0" w:after="0"/>
              <w:ind w:left="0" w:right="0" w:hanging="0"/>
              <w:jc w:val="left"/>
              <w:rPr/>
            </w:pPr>
            <w:r>
              <w:rPr/>
              <w:t>​</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20,601</w:t>
            </w:r>
          </w:p>
        </w:tc>
        <w:tc>
          <w:tcPr>
            <w:tcW w:w="173" w:type="dxa"/>
            <w:tcBorders/>
            <w:vAlign w:val="center"/>
          </w:tcPr>
          <w:p>
            <w:pPr>
              <w:pStyle w:val="TableContents"/>
              <w:bidi w:val="0"/>
              <w:spacing w:before="0" w:after="0"/>
              <w:ind w:left="0" w:right="0" w:hanging="0"/>
              <w:jc w:val="right"/>
              <w:rPr/>
            </w:pPr>
            <w:r>
              <w:rPr/>
              <w:t>​</w:t>
            </w:r>
          </w:p>
        </w:tc>
        <w:tc>
          <w:tcPr>
            <w:tcW w:w="33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19,823</w:t>
            </w:r>
          </w:p>
        </w:tc>
      </w:tr>
      <w:tr>
        <w:trPr/>
        <w:tc>
          <w:tcPr>
            <w:tcW w:w="67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&amp; development</w:t>
            </w:r>
          </w:p>
        </w:tc>
        <w:tc>
          <w:tcPr>
            <w:tcW w:w="336" w:type="dxa"/>
            <w:tcBorders/>
            <w:shd w:fill="CCEEFF" w:val="clear"/>
            <w:vAlign w:val="center"/>
          </w:tcPr>
          <w:p>
            <w:pPr>
              <w:pStyle w:val="TableContents"/>
              <w:bidi w:val="0"/>
              <w:spacing w:before="0" w:after="0"/>
              <w:ind w:left="0" w:right="0" w:hanging="0"/>
              <w:jc w:val="left"/>
              <w:rPr/>
            </w:pPr>
            <w:r>
              <w:rPr/>
              <w:t>​</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24,550</w:t>
            </w:r>
          </w:p>
        </w:tc>
        <w:tc>
          <w:tcPr>
            <w:tcW w:w="173"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pPr>
            <w:r>
              <w:rPr/>
              <w:t>​</w:t>
            </w:r>
          </w:p>
        </w:tc>
        <w:tc>
          <w:tcPr>
            <w:tcW w:w="13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20,886</w:t>
            </w:r>
          </w:p>
        </w:tc>
      </w:tr>
      <w:tr>
        <w:trPr/>
        <w:tc>
          <w:tcPr>
            <w:tcW w:w="67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&amp; marketing</w:t>
            </w:r>
          </w:p>
        </w:tc>
        <w:tc>
          <w:tcPr>
            <w:tcW w:w="336" w:type="dxa"/>
            <w:tcBorders/>
            <w:vAlign w:val="center"/>
          </w:tcPr>
          <w:p>
            <w:pPr>
              <w:pStyle w:val="TableContents"/>
              <w:bidi w:val="0"/>
              <w:spacing w:before="0" w:after="0"/>
              <w:ind w:left="0" w:right="0" w:hanging="0"/>
              <w:jc w:val="left"/>
              <w:rPr/>
            </w:pPr>
            <w:r>
              <w:rPr/>
              <w:t>​</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52,635</w:t>
            </w:r>
          </w:p>
        </w:tc>
        <w:tc>
          <w:tcPr>
            <w:tcW w:w="173"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48,155</w:t>
            </w:r>
          </w:p>
        </w:tc>
      </w:tr>
      <w:tr>
        <w:trPr/>
        <w:tc>
          <w:tcPr>
            <w:tcW w:w="67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&amp; administrative</w:t>
            </w:r>
          </w:p>
        </w:tc>
        <w:tc>
          <w:tcPr>
            <w:tcW w:w="336" w:type="dxa"/>
            <w:tcBorders/>
            <w:shd w:fill="CCEEFF" w:val="clear"/>
            <w:vAlign w:val="center"/>
          </w:tcPr>
          <w:p>
            <w:pPr>
              <w:pStyle w:val="TableContents"/>
              <w:bidi w:val="0"/>
              <w:spacing w:before="0" w:after="0"/>
              <w:ind w:left="0" w:right="0" w:hanging="0"/>
              <w:jc w:val="left"/>
              <w:rPr/>
            </w:pPr>
            <w:r>
              <w:rPr/>
              <w:t>​</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54,339</w:t>
            </w:r>
          </w:p>
        </w:tc>
        <w:tc>
          <w:tcPr>
            <w:tcW w:w="173"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pPr>
            <w:r>
              <w:rPr/>
              <w:t>​</w:t>
            </w:r>
          </w:p>
        </w:tc>
        <w:tc>
          <w:tcPr>
            <w:tcW w:w="13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45,028</w:t>
            </w:r>
          </w:p>
        </w:tc>
      </w:tr>
      <w:tr>
        <w:trPr/>
        <w:tc>
          <w:tcPr>
            <w:tcW w:w="67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&amp; amortization</w:t>
            </w:r>
          </w:p>
        </w:tc>
        <w:tc>
          <w:tcPr>
            <w:tcW w:w="336" w:type="dxa"/>
            <w:tcBorders/>
            <w:vAlign w:val="center"/>
          </w:tcPr>
          <w:p>
            <w:pPr>
              <w:pStyle w:val="TableContents"/>
              <w:bidi w:val="0"/>
              <w:spacing w:before="0" w:after="0"/>
              <w:ind w:left="0" w:right="0" w:hanging="0"/>
              <w:jc w:val="left"/>
              <w:rPr/>
            </w:pPr>
            <w:r>
              <w:rPr/>
              <w:t>​</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6,442</w:t>
            </w:r>
          </w:p>
        </w:tc>
        <w:tc>
          <w:tcPr>
            <w:tcW w:w="173"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5,880</w:t>
            </w:r>
          </w:p>
        </w:tc>
      </w:tr>
      <w:tr>
        <w:trPr/>
        <w:tc>
          <w:tcPr>
            <w:tcW w:w="67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acquisition contingent earn-outs</w:t>
            </w:r>
          </w:p>
        </w:tc>
        <w:tc>
          <w:tcPr>
            <w:tcW w:w="336" w:type="dxa"/>
            <w:tcBorders/>
            <w:shd w:fill="CCEEFF" w:val="clear"/>
            <w:vAlign w:val="center"/>
          </w:tcPr>
          <w:p>
            <w:pPr>
              <w:pStyle w:val="TableContents"/>
              <w:bidi w:val="0"/>
              <w:spacing w:before="0" w:after="0"/>
              <w:ind w:left="0" w:right="0" w:hanging="0"/>
              <w:jc w:val="left"/>
              <w:rPr/>
            </w:pPr>
            <w:r>
              <w:rPr/>
              <w:t>​</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(5,738)</w:t>
            </w:r>
          </w:p>
        </w:tc>
        <w:tc>
          <w:tcPr>
            <w:tcW w:w="173"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pPr>
            <w:r>
              <w:rPr/>
              <w:t>​</w:t>
            </w:r>
          </w:p>
        </w:tc>
        <w:tc>
          <w:tcPr>
            <w:tcW w:w="13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(14,700)</w:t>
            </w:r>
          </w:p>
        </w:tc>
      </w:tr>
      <w:tr>
        <w:trPr/>
        <w:tc>
          <w:tcPr>
            <w:tcW w:w="6775"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segment items </w:t>
            </w:r>
            <w:r>
              <w:rPr>
                <w:rFonts w:ascii="Times New Roman;Times;serif" w:hAnsi="Times New Roman;Times;serif"/>
                <w:sz w:val="15"/>
              </w:rPr>
              <w:t>(1)</w:t>
            </w:r>
          </w:p>
        </w:tc>
        <w:tc>
          <w:tcPr>
            <w:tcW w:w="336" w:type="dxa"/>
            <w:tcBorders/>
            <w:vAlign w:val="center"/>
          </w:tcPr>
          <w:p>
            <w:pPr>
              <w:pStyle w:val="TableContents"/>
              <w:bidi w:val="0"/>
              <w:spacing w:before="0" w:after="0"/>
              <w:ind w:left="0" w:right="0" w:hanging="0"/>
              <w:jc w:val="left"/>
              <w:rPr/>
            </w:pPr>
            <w:r>
              <w:rPr/>
              <w:t>​</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3,247</w:t>
            </w:r>
          </w:p>
        </w:tc>
        <w:tc>
          <w:tcPr>
            <w:tcW w:w="173"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3,259</w:t>
            </w:r>
          </w:p>
        </w:tc>
      </w:tr>
      <w:tr>
        <w:trPr/>
        <w:tc>
          <w:tcPr>
            <w:tcW w:w="67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net</w:t>
            </w:r>
          </w:p>
        </w:tc>
        <w:tc>
          <w:tcPr>
            <w:tcW w:w="336" w:type="dxa"/>
            <w:tcBorders/>
            <w:shd w:fill="CCEEFF" w:val="clear"/>
            <w:vAlign w:val="center"/>
          </w:tcPr>
          <w:p>
            <w:pPr>
              <w:pStyle w:val="TableContents"/>
              <w:bidi w:val="0"/>
              <w:spacing w:before="0" w:after="0"/>
              <w:ind w:left="0" w:right="0" w:hanging="0"/>
              <w:jc w:val="left"/>
              <w:rPr/>
            </w:pPr>
            <w:r>
              <w:rPr/>
              <w:t>​</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(957)</w:t>
            </w:r>
          </w:p>
        </w:tc>
        <w:tc>
          <w:tcPr>
            <w:tcW w:w="173"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pPr>
            <w:r>
              <w:rPr/>
              <w:t>​</w:t>
            </w:r>
          </w:p>
        </w:tc>
        <w:tc>
          <w:tcPr>
            <w:tcW w:w="13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(1,539)</w:t>
            </w:r>
          </w:p>
        </w:tc>
      </w:tr>
      <w:tr>
        <w:trPr/>
        <w:tc>
          <w:tcPr>
            <w:tcW w:w="67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(benefit)</w:t>
            </w:r>
          </w:p>
        </w:tc>
        <w:tc>
          <w:tcPr>
            <w:tcW w:w="3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(7,139)</w:t>
            </w:r>
          </w:p>
        </w:tc>
        <w:tc>
          <w:tcPr>
            <w:tcW w:w="173" w:type="dxa"/>
            <w:tcBorders/>
            <w:vAlign w:val="center"/>
          </w:tcPr>
          <w:p>
            <w:pPr>
              <w:pStyle w:val="TableContents"/>
              <w:bidi w:val="0"/>
              <w:spacing w:before="0" w:after="0"/>
              <w:ind w:left="0" w:right="0" w:hanging="0"/>
              <w:jc w:val="left"/>
              <w:rPr/>
            </w:pPr>
            <w:r>
              <w:rPr/>
              <w:t>​</w:t>
            </w:r>
          </w:p>
        </w:tc>
        <w:tc>
          <w:tcPr>
            <w:tcW w:w="3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(5,105)</w:t>
            </w:r>
          </w:p>
        </w:tc>
      </w:tr>
      <w:tr>
        <w:trPr/>
        <w:tc>
          <w:tcPr>
            <w:tcW w:w="677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(loss) (GAAP)</w:t>
            </w:r>
          </w:p>
        </w:tc>
        <w:tc>
          <w:tcPr>
            <w:tcW w:w="33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2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(2,510)</w:t>
            </w:r>
          </w:p>
        </w:tc>
        <w:tc>
          <w:tcPr>
            <w:tcW w:w="173" w:type="dxa"/>
            <w:tcBorders/>
            <w:shd w:fill="CCEEFF" w:val="clear"/>
            <w:vAlign w:val="center"/>
          </w:tcPr>
          <w:p>
            <w:pPr>
              <w:pStyle w:val="TableContents"/>
              <w:bidi w:val="0"/>
              <w:spacing w:before="0" w:after="0"/>
              <w:ind w:left="0" w:right="0" w:hanging="0"/>
              <w:jc w:val="left"/>
              <w:rPr/>
            </w:pPr>
            <w:r>
              <w:rPr/>
              <w:t>​</w:t>
            </w:r>
          </w:p>
        </w:tc>
        <w:tc>
          <w:tcPr>
            <w:tcW w:w="33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3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11,130</w:t>
            </w:r>
          </w:p>
        </w:tc>
      </w:tr>
      <w:tr>
        <w:trPr/>
        <w:tc>
          <w:tcPr>
            <w:tcW w:w="67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Adjustments:</w:t>
            </w:r>
          </w:p>
        </w:tc>
        <w:tc>
          <w:tcPr>
            <w:tcW w:w="336" w:type="dxa"/>
            <w:tcBorders/>
            <w:vAlign w:val="center"/>
          </w:tcPr>
          <w:p>
            <w:pPr>
              <w:pStyle w:val="TableContents"/>
              <w:bidi w:val="0"/>
              <w:spacing w:before="0" w:after="0"/>
              <w:ind w:left="0" w:right="0" w:hanging="0"/>
              <w:jc w:val="left"/>
              <w:rPr/>
            </w:pPr>
            <w:r>
              <w:rPr/>
              <w:t>​</w:t>
            </w:r>
          </w:p>
        </w:tc>
        <w:tc>
          <w:tcPr>
            <w:tcW w:w="1249" w:type="dxa"/>
            <w:tcBorders/>
            <w:vAlign w:val="center"/>
          </w:tcPr>
          <w:p>
            <w:pPr>
              <w:pStyle w:val="TableContents"/>
              <w:bidi w:val="0"/>
              <w:spacing w:before="0" w:after="0"/>
              <w:ind w:left="0" w:right="0" w:hanging="0"/>
              <w:jc w:val="left"/>
              <w:rPr/>
            </w:pPr>
            <w:r>
              <w:rPr/>
              <w:t>​</w:t>
            </w:r>
          </w:p>
        </w:tc>
        <w:tc>
          <w:tcPr>
            <w:tcW w:w="173"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left"/>
              <w:rPr/>
            </w:pPr>
            <w:r>
              <w:rPr/>
              <w:t>​</w:t>
            </w:r>
          </w:p>
        </w:tc>
      </w:tr>
      <w:tr>
        <w:trPr/>
        <w:tc>
          <w:tcPr>
            <w:tcW w:w="67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net</w:t>
            </w:r>
          </w:p>
        </w:tc>
        <w:tc>
          <w:tcPr>
            <w:tcW w:w="336" w:type="dxa"/>
            <w:tcBorders/>
            <w:shd w:fill="CCEEFF" w:val="clear"/>
            <w:vAlign w:val="center"/>
          </w:tcPr>
          <w:p>
            <w:pPr>
              <w:pStyle w:val="TableContents"/>
              <w:bidi w:val="0"/>
              <w:spacing w:before="0" w:after="0"/>
              <w:ind w:left="0" w:right="0" w:hanging="0"/>
              <w:jc w:val="left"/>
              <w:rPr/>
            </w:pPr>
            <w:r>
              <w:rPr/>
              <w:t>​</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(957)</w:t>
            </w:r>
          </w:p>
        </w:tc>
        <w:tc>
          <w:tcPr>
            <w:tcW w:w="173"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pPr>
            <w:r>
              <w:rPr/>
              <w:t>​</w:t>
            </w:r>
          </w:p>
        </w:tc>
        <w:tc>
          <w:tcPr>
            <w:tcW w:w="13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(1,539)</w:t>
            </w:r>
          </w:p>
        </w:tc>
      </w:tr>
      <w:tr>
        <w:trPr/>
        <w:tc>
          <w:tcPr>
            <w:tcW w:w="67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w:t>
            </w:r>
          </w:p>
        </w:tc>
        <w:tc>
          <w:tcPr>
            <w:tcW w:w="336" w:type="dxa"/>
            <w:tcBorders/>
            <w:vAlign w:val="center"/>
          </w:tcPr>
          <w:p>
            <w:pPr>
              <w:pStyle w:val="TableContents"/>
              <w:bidi w:val="0"/>
              <w:spacing w:before="0" w:after="0"/>
              <w:ind w:left="0" w:right="0" w:hanging="0"/>
              <w:jc w:val="left"/>
              <w:rPr/>
            </w:pPr>
            <w:r>
              <w:rPr/>
              <w:t>​</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(7,139)</w:t>
            </w:r>
          </w:p>
        </w:tc>
        <w:tc>
          <w:tcPr>
            <w:tcW w:w="173"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(5,105)</w:t>
            </w:r>
          </w:p>
        </w:tc>
      </w:tr>
      <w:tr>
        <w:trPr/>
        <w:tc>
          <w:tcPr>
            <w:tcW w:w="67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 – property and equipment</w:t>
            </w:r>
          </w:p>
        </w:tc>
        <w:tc>
          <w:tcPr>
            <w:tcW w:w="336" w:type="dxa"/>
            <w:tcBorders/>
            <w:shd w:fill="CCEEFF" w:val="clear"/>
            <w:vAlign w:val="center"/>
          </w:tcPr>
          <w:p>
            <w:pPr>
              <w:pStyle w:val="TableContents"/>
              <w:bidi w:val="0"/>
              <w:spacing w:before="0" w:after="0"/>
              <w:ind w:left="0" w:right="0" w:hanging="0"/>
              <w:jc w:val="left"/>
              <w:rPr/>
            </w:pPr>
            <w:r>
              <w:rPr/>
              <w:t>​</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6,442</w:t>
            </w:r>
          </w:p>
        </w:tc>
        <w:tc>
          <w:tcPr>
            <w:tcW w:w="173"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pPr>
            <w:r>
              <w:rPr/>
              <w:t>​</w:t>
            </w:r>
          </w:p>
        </w:tc>
        <w:tc>
          <w:tcPr>
            <w:tcW w:w="13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5,880</w:t>
            </w:r>
          </w:p>
        </w:tc>
      </w:tr>
      <w:tr>
        <w:trPr/>
        <w:tc>
          <w:tcPr>
            <w:tcW w:w="67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 of capitalized software and acquired intangible assets – cost of subscription revenues</w:t>
            </w:r>
          </w:p>
        </w:tc>
        <w:tc>
          <w:tcPr>
            <w:tcW w:w="336" w:type="dxa"/>
            <w:tcBorders/>
            <w:vAlign w:val="center"/>
          </w:tcPr>
          <w:p>
            <w:pPr>
              <w:pStyle w:val="TableContents"/>
              <w:bidi w:val="0"/>
              <w:spacing w:before="0" w:after="0"/>
              <w:ind w:left="0" w:right="0" w:hanging="0"/>
              <w:jc w:val="left"/>
              <w:rPr/>
            </w:pPr>
            <w:r>
              <w:rPr/>
              <w:t>​</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20,086</w:t>
            </w:r>
          </w:p>
        </w:tc>
        <w:tc>
          <w:tcPr>
            <w:tcW w:w="173"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15,855</w:t>
            </w:r>
          </w:p>
        </w:tc>
      </w:tr>
      <w:tr>
        <w:trPr/>
        <w:tc>
          <w:tcPr>
            <w:tcW w:w="67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acquired intangible assets – selling and marketing expense</w:t>
            </w:r>
          </w:p>
        </w:tc>
        <w:tc>
          <w:tcPr>
            <w:tcW w:w="336" w:type="dxa"/>
            <w:tcBorders/>
            <w:shd w:fill="CCEEFF" w:val="clear"/>
            <w:vAlign w:val="center"/>
          </w:tcPr>
          <w:p>
            <w:pPr>
              <w:pStyle w:val="TableContents"/>
              <w:bidi w:val="0"/>
              <w:spacing w:before="0" w:after="0"/>
              <w:ind w:left="0" w:right="0" w:hanging="0"/>
              <w:jc w:val="left"/>
              <w:rPr/>
            </w:pPr>
            <w:r>
              <w:rPr/>
              <w:t>​</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w:t>
            </w:r>
          </w:p>
        </w:tc>
        <w:tc>
          <w:tcPr>
            <w:tcW w:w="173"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pPr>
            <w:r>
              <w:rPr/>
              <w:t>​</w:t>
            </w:r>
          </w:p>
        </w:tc>
        <w:tc>
          <w:tcPr>
            <w:tcW w:w="13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w:t>
            </w:r>
          </w:p>
        </w:tc>
      </w:tr>
      <w:tr>
        <w:trPr/>
        <w:tc>
          <w:tcPr>
            <w:tcW w:w="67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cloud computing implementation costs – general and administrative expense</w:t>
            </w:r>
          </w:p>
        </w:tc>
        <w:tc>
          <w:tcPr>
            <w:tcW w:w="336" w:type="dxa"/>
            <w:tcBorders/>
            <w:vAlign w:val="center"/>
          </w:tcPr>
          <w:p>
            <w:pPr>
              <w:pStyle w:val="TableContents"/>
              <w:bidi w:val="0"/>
              <w:spacing w:before="0" w:after="0"/>
              <w:ind w:left="0" w:right="0" w:hanging="0"/>
              <w:jc w:val="left"/>
              <w:rPr/>
            </w:pPr>
            <w:r>
              <w:rPr/>
              <w:t>​</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1,037</w:t>
            </w:r>
          </w:p>
        </w:tc>
        <w:tc>
          <w:tcPr>
            <w:tcW w:w="173"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1,006</w:t>
            </w:r>
          </w:p>
        </w:tc>
      </w:tr>
      <w:tr>
        <w:trPr/>
        <w:tc>
          <w:tcPr>
            <w:tcW w:w="67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36" w:type="dxa"/>
            <w:tcBorders/>
            <w:shd w:fill="CCEEFF" w:val="clear"/>
            <w:vAlign w:val="center"/>
          </w:tcPr>
          <w:p>
            <w:pPr>
              <w:pStyle w:val="TableContents"/>
              <w:bidi w:val="0"/>
              <w:spacing w:before="0" w:after="0"/>
              <w:ind w:left="0" w:right="0" w:hanging="0"/>
              <w:jc w:val="left"/>
              <w:rPr/>
            </w:pPr>
            <w:r>
              <w:rPr/>
              <w:t>​</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18,508</w:t>
            </w:r>
          </w:p>
        </w:tc>
        <w:tc>
          <w:tcPr>
            <w:tcW w:w="173"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pPr>
            <w:r>
              <w:rPr/>
              <w:t>​</w:t>
            </w:r>
          </w:p>
        </w:tc>
        <w:tc>
          <w:tcPr>
            <w:tcW w:w="13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21,044</w:t>
            </w:r>
          </w:p>
        </w:tc>
      </w:tr>
      <w:tr>
        <w:trPr/>
        <w:tc>
          <w:tcPr>
            <w:tcW w:w="6775"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Severance expense </w:t>
            </w:r>
            <w:r>
              <w:rPr>
                <w:rFonts w:ascii="Times New Roman;Times;serif" w:hAnsi="Times New Roman;Times;serif"/>
                <w:sz w:val="15"/>
              </w:rPr>
              <w:t>(2)</w:t>
            </w:r>
          </w:p>
        </w:tc>
        <w:tc>
          <w:tcPr>
            <w:tcW w:w="336" w:type="dxa"/>
            <w:tcBorders/>
            <w:vAlign w:val="center"/>
          </w:tcPr>
          <w:p>
            <w:pPr>
              <w:pStyle w:val="TableContents"/>
              <w:bidi w:val="0"/>
              <w:spacing w:before="0" w:after="0"/>
              <w:ind w:left="0" w:right="0" w:hanging="0"/>
              <w:jc w:val="left"/>
              <w:rPr/>
            </w:pPr>
            <w:r>
              <w:rPr/>
              <w:t>​</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7,408</w:t>
            </w:r>
          </w:p>
        </w:tc>
        <w:tc>
          <w:tcPr>
            <w:tcW w:w="173"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w:t>
            </w:r>
          </w:p>
        </w:tc>
      </w:tr>
      <w:tr>
        <w:trPr/>
        <w:tc>
          <w:tcPr>
            <w:tcW w:w="67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acquisition contingent earn-outs</w:t>
            </w:r>
          </w:p>
        </w:tc>
        <w:tc>
          <w:tcPr>
            <w:tcW w:w="336" w:type="dxa"/>
            <w:tcBorders/>
            <w:shd w:fill="CCEEFF" w:val="clear"/>
            <w:vAlign w:val="center"/>
          </w:tcPr>
          <w:p>
            <w:pPr>
              <w:pStyle w:val="TableContents"/>
              <w:bidi w:val="0"/>
              <w:spacing w:before="0" w:after="0"/>
              <w:ind w:left="0" w:right="0" w:hanging="0"/>
              <w:jc w:val="left"/>
              <w:rPr/>
            </w:pPr>
            <w:r>
              <w:rPr/>
              <w:t>​</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(5,738)</w:t>
            </w:r>
          </w:p>
        </w:tc>
        <w:tc>
          <w:tcPr>
            <w:tcW w:w="173"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pPr>
            <w:r>
              <w:rPr/>
              <w:t>​</w:t>
            </w:r>
          </w:p>
        </w:tc>
        <w:tc>
          <w:tcPr>
            <w:tcW w:w="13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(14,700)</w:t>
            </w:r>
          </w:p>
        </w:tc>
      </w:tr>
      <w:tr>
        <w:trPr/>
        <w:tc>
          <w:tcPr>
            <w:tcW w:w="6775"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Acquisition-related retained employee compensation </w:t>
            </w:r>
            <w:r>
              <w:rPr>
                <w:rFonts w:ascii="Times New Roman;Times;serif" w:hAnsi="Times New Roman;Times;serif"/>
                <w:sz w:val="15"/>
              </w:rPr>
              <w:t>(3)</w:t>
            </w:r>
          </w:p>
        </w:tc>
        <w:tc>
          <w:tcPr>
            <w:tcW w:w="336" w:type="dxa"/>
            <w:tcBorders/>
            <w:vAlign w:val="center"/>
          </w:tcPr>
          <w:p>
            <w:pPr>
              <w:pStyle w:val="TableContents"/>
              <w:bidi w:val="0"/>
              <w:spacing w:before="0" w:after="0"/>
              <w:ind w:left="0" w:right="0" w:hanging="0"/>
              <w:jc w:val="left"/>
              <w:rPr/>
            </w:pPr>
            <w:r>
              <w:rPr/>
              <w:t>​</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w:t>
            </w:r>
          </w:p>
        </w:tc>
        <w:tc>
          <w:tcPr>
            <w:tcW w:w="173"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right"/>
              <w:rPr/>
            </w:pPr>
            <w:r>
              <w:rPr/>
              <w:t>—</w:t>
            </w:r>
          </w:p>
        </w:tc>
      </w:tr>
      <w:tr>
        <w:trPr/>
        <w:tc>
          <w:tcPr>
            <w:tcW w:w="6775"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Transaction costs </w:t>
            </w:r>
            <w:r>
              <w:rPr>
                <w:rFonts w:ascii="Times New Roman;Times;serif" w:hAnsi="Times New Roman;Times;serif"/>
                <w:sz w:val="15"/>
              </w:rPr>
              <w:t>(4)</w:t>
            </w:r>
          </w:p>
        </w:tc>
        <w:tc>
          <w:tcPr>
            <w:tcW w:w="3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5,984</w:t>
            </w:r>
          </w:p>
        </w:tc>
        <w:tc>
          <w:tcPr>
            <w:tcW w:w="173" w:type="dxa"/>
            <w:tcBorders/>
            <w:shd w:fill="CCEEFF" w:val="clear"/>
            <w:vAlign w:val="center"/>
          </w:tcPr>
          <w:p>
            <w:pPr>
              <w:pStyle w:val="TableContents"/>
              <w:bidi w:val="0"/>
              <w:spacing w:before="0" w:after="0"/>
              <w:ind w:left="0" w:right="0" w:hanging="0"/>
              <w:jc w:val="left"/>
              <w:rPr/>
            </w:pPr>
            <w:r>
              <w:rPr/>
              <w:t>​</w:t>
            </w:r>
          </w:p>
        </w:tc>
        <w:tc>
          <w:tcPr>
            <w:tcW w:w="3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2,660</w:t>
            </w:r>
          </w:p>
        </w:tc>
      </w:tr>
      <w:tr>
        <w:trPr/>
        <w:tc>
          <w:tcPr>
            <w:tcW w:w="67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EBITDA (Non-GAAP)</w:t>
            </w:r>
          </w:p>
        </w:tc>
        <w:tc>
          <w:tcPr>
            <w:tcW w:w="33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24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44,063</w:t>
            </w:r>
          </w:p>
        </w:tc>
        <w:tc>
          <w:tcPr>
            <w:tcW w:w="173" w:type="dxa"/>
            <w:tcBorders/>
            <w:vAlign w:val="center"/>
          </w:tcPr>
          <w:p>
            <w:pPr>
              <w:pStyle w:val="TableContents"/>
              <w:bidi w:val="0"/>
              <w:spacing w:before="0" w:after="0"/>
              <w:ind w:left="0" w:right="0" w:hanging="0"/>
              <w:jc w:val="left"/>
              <w:rPr/>
            </w:pPr>
            <w:r>
              <w:rPr/>
              <w:t>​</w:t>
            </w:r>
          </w:p>
        </w:tc>
        <w:tc>
          <w:tcPr>
            <w:tcW w:w="33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3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37,219</w:t>
            </w:r>
          </w:p>
        </w:tc>
      </w:tr>
      <w:tr>
        <w:trPr/>
        <w:tc>
          <w:tcPr>
            <w:tcW w:w="10205" w:type="dxa"/>
            <w:gridSpan w:val="6"/>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2"/>
              </w:rPr>
              <w:t>(1)</w:t>
            </w:r>
            <w:r>
              <w:rPr>
                <w:rFonts w:ascii="Times New Roman;Times;serif" w:hAnsi="Times New Roman;Times;serif"/>
                <w:sz w:val="16"/>
              </w:rPr>
              <w:t xml:space="preserve"> Other segment items include professional fees, contracted labor, transaction costs, acquisition related earn-out adjustments and foreign currency exchange gains (losses). </w:t>
            </w:r>
          </w:p>
        </w:tc>
      </w:tr>
      <w:tr>
        <w:trPr/>
        <w:tc>
          <w:tcPr>
            <w:tcW w:w="10205" w:type="dxa"/>
            <w:gridSpan w:val="6"/>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2"/>
              </w:rPr>
              <w:t xml:space="preserve">(2) </w:t>
            </w:r>
            <w:r>
              <w:rPr>
                <w:rFonts w:ascii="Times New Roman;Times;serif" w:hAnsi="Times New Roman;Times;serif"/>
                <w:sz w:val="16"/>
              </w:rPr>
              <w:t>The three months ended March 31, 2026 includes $6,170 in severance costs related to the Value Creation Plan. For further information, refer to Note 15, “Restructuring” to the condensed consolidated financial statements.</w:t>
            </w:r>
          </w:p>
        </w:tc>
      </w:tr>
      <w:tr>
        <w:trPr/>
        <w:tc>
          <w:tcPr>
            <w:tcW w:w="10205" w:type="dxa"/>
            <w:gridSpan w:val="6"/>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2"/>
              </w:rPr>
              <w:t xml:space="preserve">(3) </w:t>
            </w:r>
            <w:r>
              <w:rPr>
                <w:rFonts w:ascii="Times New Roman;Times;serif" w:hAnsi="Times New Roman;Times;serif"/>
                <w:sz w:val="16"/>
              </w:rPr>
              <w:t>The three months ended March 31, 2026 includes compensation expense recognized related to the Additional Cash Consideration obligation associated with the acquisition of Brinta. For further information, refer to Note 3, “Acquisitions” to the condensed consolidated financial statements.</w:t>
            </w:r>
          </w:p>
        </w:tc>
      </w:tr>
      <w:tr>
        <w:trPr/>
        <w:tc>
          <w:tcPr>
            <w:tcW w:w="10205" w:type="dxa"/>
            <w:gridSpan w:val="6"/>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2"/>
              </w:rPr>
              <w:t>(4)</w:t>
            </w:r>
            <w:r>
              <w:rPr>
                <w:rFonts w:ascii="Times New Roman;Times;serif" w:hAnsi="Times New Roman;Times;serif"/>
                <w:sz w:val="16"/>
              </w:rPr>
              <w:t xml:space="preserve"> The three months ended March 31, 2026 and 2025 include legal expenses associated with pending litigation related to claims the Company has made against a competitor. For further information, refer to Note 12, “Commitments and Contingencies” to the condensed consolidated financial statements. The three months ended March 31, 2026 also includes $2,550 in costs incurred to support the execution of our Value Creation Plan. For further information refer to Note 15, “ Restructuring” to the condensed consolidated financial statements.</w:t>
            </w:r>
          </w:p>
        </w:tc>
      </w:tr>
    </w:tbl>
    <w:p>
      <w:pPr>
        <w:pStyle w:val="TextBody"/>
        <w:bidi w:val="0"/>
        <w:spacing w:before="0" w:after="1"/>
        <w:ind w:left="0" w:right="0" w:firstLine="360"/>
        <w:jc w:val="left"/>
        <w:rPr/>
      </w:pPr>
      <w:r>
        <w:rPr/>
        <w:t>​</w:t>
      </w:r>
    </w:p>
    <w:p>
      <w:pPr>
        <w:pStyle w:val="TextBody"/>
        <w:bidi w:val="0"/>
        <w:spacing w:before="0" w:after="1"/>
        <w:ind w:left="0" w:right="0" w:firstLine="360"/>
        <w:jc w:val="left"/>
        <w:rPr>
          <w:rFonts w:ascii="Times New Roman;Times;serif" w:hAnsi="Times New Roman;Times;serif"/>
          <w:sz w:val="20"/>
        </w:rPr>
      </w:pPr>
      <w:r>
        <w:rPr>
          <w:rFonts w:ascii="Times New Roman;Times;serif" w:hAnsi="Times New Roman;Times;serif"/>
          <w:sz w:val="20"/>
        </w:rPr>
        <w:t xml:space="preserve">Additionally, the Company considers stock-based compensation expense a significant expense category. For further information, refer to Note 11, “Stock-Based Award Plans.” </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766" w:type="dxa"/>
        <w:jc w:val="left"/>
        <w:tblInd w:w="0" w:type="dxa"/>
        <w:tblLayout w:type="fixed"/>
        <w:tblCellMar>
          <w:top w:w="0" w:type="dxa"/>
          <w:left w:w="0" w:type="dxa"/>
          <w:bottom w:w="0" w:type="dxa"/>
          <w:right w:w="0" w:type="dxa"/>
        </w:tblCellMar>
      </w:tblPr>
      <w:tblGrid>
        <w:gridCol w:w="6766"/>
      </w:tblGrid>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the Company operates solely within one segment, total assets, property and equipment, net, and capitalized software, net are reported at the consolidated level on the condensed consolidated balance sheets. The Company’s assets include both current and long-lived assets, and corporate assets. As of March 31, 2026 and December 31, 2025, $1,411 and $1,347, respectively, of the Company’s property and equipment assets were held outside of the U.S. </w:t>
      </w:r>
    </w:p>
    <w:p>
      <w:pPr>
        <w:pStyle w:val="TextBody"/>
        <w:bidi w:val="0"/>
        <w:spacing w:before="0" w:after="240"/>
        <w:ind w:left="0" w:right="0" w:firstLine="72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Depreciation and amortization, property and equipment additions, and capital software additions are reported at the consolidated level on the condensed consolidated statements of cash flows.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disaggregates revenue from contracts with customers based on geographical regions, timing of revenue recognition, and the major product and service types. For the three months ended March 31, 2026 and 2025, approximately 11% and 8%, respectively, of the Company’s revenues were generated from customers located outside the U.S. None of the Company’s customers represented more than 10% of total revenues for the three months ended March 31, 2026 or 2025. For further information including disaggregation of revenues, refer to Note 2, “Revenue Recognition.”</w:t>
      </w:r>
    </w:p>
    <w:p>
      <w:pPr>
        <w:pStyle w:val="TextBody"/>
        <w:bidi w:val="0"/>
        <w:spacing w:before="0" w:after="240"/>
        <w:ind w:left="0" w:right="0" w:firstLine="360"/>
        <w:jc w:val="both"/>
        <w:rPr/>
      </w:pPr>
      <w:r>
        <w:rPr/>
        <w:t>​</w:t>
      </w:r>
    </w:p>
    <w:p>
      <w:pPr>
        <w:pStyle w:val="TextBody"/>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14.   INCOME TAXES</w:t>
      </w:r>
      <w:r>
        <w:rPr>
          <w:rFonts w:ascii="Times New Roman;Times;serif" w:hAnsi="Times New Roman;Times;serif"/>
          <w:b/>
          <w:color w:val="FF0000"/>
          <w:sz w:val="20"/>
        </w:rPr>
        <w:t xml:space="preserve"> </w:t>
      </w:r>
    </w:p>
    <w:p>
      <w:pPr>
        <w:pStyle w:val="TextBody"/>
        <w:shd w:fill="FFFFFF" w:val="clear"/>
        <w:bidi w:val="0"/>
        <w:spacing w:before="0" w:after="160"/>
        <w:ind w:left="0" w:right="0" w:firstLine="360"/>
        <w:jc w:val="both"/>
        <w:rPr>
          <w:rFonts w:ascii="Times New Roman;Times;serif" w:hAnsi="Times New Roman;Times;serif"/>
          <w:sz w:val="20"/>
        </w:rPr>
      </w:pPr>
      <w:r>
        <w:rPr>
          <w:rFonts w:ascii="Times New Roman;Times;serif" w:hAnsi="Times New Roman;Times;serif"/>
          <w:sz w:val="20"/>
        </w:rPr>
        <w:t>The Company reported income tax benefit of $7,139 and $5,105 for the three months ended March 31, 2026 and 2025, respectively. The effective income tax rate was 74.0% for the three months ended March 31, 2026, compared to (84.7)% for the three months ended March 31, 2025.</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In determining interim provisions for income taxes, the Company uses the annual estimated effective tax rate applied to the actual year-to-date income (loss) adjusted for discrete items arising year-to-date. The Company’s effective tax rate differs from the U.S. federal statutory rate of 21% primarily due to state taxes, foreign taxes, tax benefits on the exercises and vesting of stock awards, tax credits, limitations on deductions of certain employees’ compensation under Internal Revenue Code Section 162(m), fluctuations in valuation allowances on net deferred tax assets established for U.S. and certain foreign jurisdictions, and fluctuations in nondeductible contingent consideration liabilities.</w:t>
      </w:r>
    </w:p>
    <w:p>
      <w:pPr>
        <w:pStyle w:val="TextBody"/>
        <w:bidi w:val="0"/>
        <w:spacing w:before="0" w:after="0"/>
        <w:ind w:left="0" w:right="0" w:firstLine="360"/>
        <w:jc w:val="both"/>
        <w:rPr>
          <w:shd w:fill="FFFFFF" w:val="clear"/>
        </w:rPr>
      </w:pPr>
      <w:r>
        <w:rPr>
          <w:shd w:fill="FFFFFF" w:val="clear"/>
        </w:rPr>
        <w:t>​</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The income tax benefit for the three months ended March 31, 2026 was primarily attributable to fluctuations in valuation allowances on net deferred tax assets established for U.S. and certain foreign jurisdictions as well as the impact from the estimated annual effective tax rate applied to pre-tax loss for the three months ended March 31, 2026. This income tax benefit was partially offset by tax expense from stock-based awards exercised or vested, net of limitations on deductions of certain employees’ compensation. The income tax benefit for the three months ended March 31, 2025 was primarily attributable to tax benefits from stock-based awards exercised or vested, net of limitations on deductions of certain employees’ compensation, as well as tax credits. This income tax benefit was partially offset by fluctuations in valuation allowances on net deferred tax assets established for U.S. and certain foreign jurisdictions as well as income tax expense from profitable jurisdictions and on income allocated to state jurisdictions. </w:t>
      </w:r>
    </w:p>
    <w:p>
      <w:pPr>
        <w:pStyle w:val="TextBody"/>
        <w:bidi w:val="0"/>
        <w:spacing w:lineRule="auto" w:line="304" w:before="0" w:after="0"/>
        <w:ind w:left="0" w:right="0" w:firstLine="360"/>
        <w:jc w:val="both"/>
        <w:rPr/>
      </w:pPr>
      <w:r>
        <w:rPr/>
        <w:t>​</w:t>
      </w:r>
    </w:p>
    <w:p>
      <w:pPr>
        <w:pStyle w:val="TextBody"/>
        <w:bidi w:val="0"/>
        <w:spacing w:before="0" w:after="160"/>
        <w:ind w:left="0" w:right="0" w:hanging="0"/>
        <w:jc w:val="both"/>
        <w:rPr>
          <w:rFonts w:ascii="Times New Roman;Times;serif" w:hAnsi="Times New Roman;Times;serif"/>
          <w:b/>
          <w:sz w:val="20"/>
        </w:rPr>
      </w:pPr>
      <w:r>
        <w:rPr>
          <w:rFonts w:ascii="Times New Roman;Times;serif" w:hAnsi="Times New Roman;Times;serif"/>
          <w:b/>
          <w:sz w:val="20"/>
        </w:rPr>
        <w:t>15.   RESTRUCTURING</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April 28, 2026, the Company announced its Board approved a global Value Creation Plan (the “Plan”) with the intention to become a more AI-enabled company, focusing investments on key growth opportunities and driving operational efficiency to better align the Company’s workforce and resources with its long-term strategic priorities. The Plan includes a reduction in force of approximately 170 employees along with a significant reduction of third party spend across the Company. In connection with the Plan, the Company recognized a pre-tax charge of $6,170 during the three months ended March 31, 2026, which is included in the general and administrative expense line of the condensed consolidated statements of comprehensive income (loss). This charge consists primarily of cash expenditures related to employee severance, notice pay, statutory termination indemnities, and other employee separation benefits. All related cash payments are expected to be made during 2026. Any changes to the estimates or timing of the Plan will be reflected in the Company’s results of operations in future periods. Total liabilities of $6,170 related to the Plan are recorded in the accrued salaries and benefits line of the condensed consolidated balance sheet at March 31, 2026.</w:t>
      </w:r>
    </w:p>
    <w:p>
      <w:pPr>
        <w:pStyle w:val="TextBody"/>
        <w:bidi w:val="0"/>
        <w:spacing w:before="0" w:after="240"/>
        <w:ind w:left="0" w:right="0" w:firstLine="36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619" w:name="Item2MANAGEMENTSDISCUSSIONANDANALYSIS_19"/>
      <w:bookmarkStart w:id="1620" w:name="_34f959af_9660_4fa4_9454_814350516ac8"/>
      <w:bookmarkStart w:id="1621" w:name="Item2MANAGEMENTSDISCUSSIONANDANALYSIS_19"/>
      <w:bookmarkStart w:id="1622" w:name="_34f959af_9660_4fa4_9454_814350516ac8"/>
      <w:bookmarkEnd w:id="1621"/>
      <w:bookmarkEnd w:id="1622"/>
    </w:p>
    <w:tbl>
      <w:tblPr>
        <w:tblW w:w="10205" w:type="dxa"/>
        <w:jc w:val="left"/>
        <w:tblInd w:w="0" w:type="dxa"/>
        <w:tblLayout w:type="fixed"/>
        <w:tblCellMar>
          <w:top w:w="0" w:type="dxa"/>
          <w:left w:w="0" w:type="dxa"/>
          <w:bottom w:w="0" w:type="dxa"/>
          <w:right w:w="0" w:type="dxa"/>
        </w:tblCellMar>
      </w:tblPr>
      <w:tblGrid>
        <w:gridCol w:w="693"/>
        <w:gridCol w:w="9512"/>
      </w:tblGrid>
      <w:tr>
        <w:trPr/>
        <w:tc>
          <w:tcPr>
            <w:tcW w:w="693"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2.</w:t>
            </w:r>
          </w:p>
        </w:tc>
        <w:tc>
          <w:tcPr>
            <w:tcW w:w="95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b/>
                <w:sz w:val="20"/>
              </w:rPr>
              <w:t>MANAGEMENT’S DISCUSSION AND ANALYSIS OF FINANCIAL CONDITION AND RESULTS</w:t>
            </w:r>
            <w:r>
              <w:rPr>
                <w:rFonts w:ascii="Times New Roman;Times;serif" w:hAnsi="Times New Roman;Times;serif"/>
                <w:sz w:val="20"/>
              </w:rPr>
              <w:t xml:space="preserve"> </w:t>
            </w:r>
            <w:r>
              <w:rPr>
                <w:rFonts w:ascii="Times New Roman;Times;serif" w:hAnsi="Times New Roman;Times;serif"/>
                <w:b/>
                <w:sz w:val="20"/>
              </w:rPr>
              <w:t>OF OPERATIONS</w:t>
            </w:r>
          </w:p>
        </w:tc>
      </w:tr>
    </w:tbl>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You should read the following discussion and analysis of our financial condition and results of operations in conjunction with the condensed consolidated financial statements and the notes thereto included elsewhere in this Quarterly Report on Form 10-Q, as well as our audited consolidated financial statements and related notes as disclosed in our Annual Report on Form 10-K filed with the Securities and Exchange Commission (the “SEC”) on February 24, 2026 (the “2025 Annual Report”). In addition to historical financial information, the following discussion contains forward-looking statements that reflect our plans, estimates, beliefs, and expectations that involve risks and uncertainties. Our actual results and the timing of events could differ materially from those discussed in the forward-looking statements. Factors that could cause or contribute to these differences include those discussed below and elsewhere in this Quarterly Report on Form 10-Q, particularly in the section titled “Special Note Regarding Forward-Looking Statements” above, and in Part I, Item 1A of the 2025 Annual Report and as may be subsequently updated by our other SEC filings.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Overview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Vertex is a leading provider of enterprise compliance technology for global commerce. Our software, data, and services help businesses operate with confidence by automating and governing transaction-based compliance obligations that arise wherever they buy, sell, and move goods and services around the world. Our mission is to deliver the most trusted tax technology enabling global businesses to transact, comply, and grow with confidence. Vertex provides cloud-based and on-premise solutions that can be tailored to specific industries for every major line of indirect tax, including sales and consumer use, value added (including e-invoicing), and payroll. Headquartered in North America, and with offices in South America and Europe, Vertex employs over 2,100 professionals and serves companies across the globe.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derive the majority of our revenue from software subscriptions. These subscriptions include use of our software and ongoing monthly content updates. Our software is offered on a subscription basis to our customers, regardless of their deployment preferences. On-premise subscriptions and cloud-based subscriptions are typically sold through one- to three-year contracts. We bill the majority of our customers annually in advance of the subscription period.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customers include the majority of the Fortune 500, as well as a majority of the top 10 companies by revenue in multiple industries such as retail, technology, and manufacturing, in addition to leading marketplaces. Our customer base also includes many of Europe’s largest companies in the industrial and chemical manufacturing, pharmaceutical, medical device and metals and mining industries. As our customers expand geographically and pursue omnichannel business models, their tax determination and compliance requirements increase and become more complex, providing sustainable organic growth opportunities for our business. Our flexible, tiered transaction-based pricing model also results in our customers growing their spend with us as they grow and continue to use our solutions. We principally price our solutions based on a customer’s revenue base, in addition to a number of other factors.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employ a hybrid deployment model to align to our customers’ technology preferences for their core financial management software across on-premise, cloud deployments or any combination of these models. Over time, we expect both existing and newly acquired customers to continue to shift towards cloud deployment models. Cloud-based subscription sales to new customers have grown at a faster rate than on-premise software subscription sales, which is a trend that we expect to continue over time. We generated 58% and 53% of software subscription revenue from cloud-based subscriptions during the three months ended March 31, 2026 and 2025, respectively. While our on-premise software subscription revenue comprised 42% and 47% of our software subscription revenue during the three months ended March 31, 2026 and 2025, respectively, it continues to decrease as a percentage of total software subscriptions revenues as cloud-based subscriptions grow.</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license our solutions primarily through our direct sales force, which focuses on selling to qualified leads provided by our marketing efforts, and through our network of referral partners. We also utilize indirect sales to a lesser extent to efficiently grow and scale our enterprise and mid-market revenues.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partner ecosystem is a differentiating, competitive strength in both our software development and our sales and marketing activities. We integrate with key technology partners that span Enterprise Resource Planning (“ERP”), Customer Relationship Management, procurement, billing, Point of Sale and e-commerce. These partners include Adobe/Magento, Coupa, Kintsugi AI, Inc., Microsoft Dynamics, NetSuite, Oracle, Salesforce, SAP, SAP Ariba, Shopify, Workday and Zuora. We also collaborate with numerous accounting firms who have built implementation practices around our software to serve their customer base.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that global commerce and the compliance environment provides durable and accelerating growth opportunities for our business. We generated revenue of $196.6 million and $177.1 million for the three months ended March 31, 2026 and 2025, respectively. We had net income (loss) of $(2.5) million and $11.1 million for the three months ended March 31, 2026 and 2025, respectively. These amounts are presented in accordance with United States (“U.S.”) generally accepted accounting principles (“GAAP”).</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define Adjusted EBITDA as net loss or income before interest, taxes, depreciation, and amortization, as adjusted to exclude charges for stock-based compensation expense, amortization of cloud computing arrangement implementation costs, severance expense, acquisition contingent consideration, changes in the fair value of acquisition contingent earn-outs, acquisition-related retained employee compensation, and transaction costs. Adjusted EBITDA was $44.1 million and $37.2 million for the three months ended March 31, 2026 and 2025, respectively. Adjusted EBITDA is a non-GAAP financial measure. Refer to “Management’s Discussion and Analysis of Financial Condition and Results of Operations—Key Business Metrics” and “Management’s Discussion and Analysis of Financial Condition and Results of Operations—Use and Reconciliation of Non-GAAP Financial Measures” for further discussion of key business metrics and non-GAAP financial measures and their comparison to GAAP financial measures.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that we currently have ample liquidity and capital resources to continue to meet our operating needs, and our ability to continue to service our debt or other financial obligations is not currently impaired. For a further description of our liquidity, see “Management’s Discussion and Analysis of Financial Condition and Results of Operations—Liquidity and Capital Resources.”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Recent Developments</w:t>
      </w:r>
      <w:r>
        <w:rPr>
          <w:rFonts w:ascii="Times New Roman;Times;serif" w:hAnsi="Times New Roman;Times;serif"/>
          <w:sz w:val="20"/>
        </w:rPr>
        <w:t xml:space="preserve"> </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Brinta Acquisition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March 2, 2026 (the “Acquisition Date”), we completed our acquisition of 100% of the equity interests of Finta Inc. and its subsidiaries (collectively, “Brinta” or the “Acquisition”). Headquartered in Uruguay, Brinta is a Latin American provider of business-to-business integration services, specializing in indirect tax calculation, tax filing, and e-invoicing. We plan to fully integrate Brinta, leveraging its e-invoicing capabilities to immediately expand the Company’s coverage across the Latin American region. Total purchase consideration for the Acquisition was $22.0 million, net of $0.04 million of cash acquired. For further information refer to Note 3, “Acquisitions” to the condensed consolidated financial statements included in this Quarterly Report on Form 10-Q.</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Value Creation Plan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April 28, 2026, we announced that our Board approved a global Value Creation Plan (the “Plan”) with the intention to become a more AI-enabled company, focusing investments on key growth opportunities and driving operational efficiency to better align our workforce and resources with our long-term strategic priorities. The Plan includes a reduction in force of approximately 170 employees along with a significant reduction of third party spend across the Company. In connection with the Plan, we recognized a pre-tax charge of $6.2 million in the three months ended March 31, 2026. This charge consists primarily of cash expenditures related to employee severance, notice pay, statutory termination indemnities, and other employee separation benefits. All related cash payments are expected to be made during 2026. Any changes to our estimates or timing of the Plan will be reflected in our results of operations in future periods.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expect the savings from the Plan to yield an improvement of Adjusted EBITDA of between $14.0 million to $16.0 million during fiscal year 2026 and forecast fully annualized cash savings of approximately $60.0 million to $70.0 million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per year beginning in fiscal 2027. For further information refer to Note 15, “Restructuring” to the condensed consolidated financial statements included in this Quarterly Report on Form 10-Q.</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Components of Our Results of Operations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generate revenue from software subscriptions and services.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Revenue is recognized upon transfer of control of promised products or services to customers in an amount that reflects the consideration expected to be received in exchange for those products or services. We enter into contracts that include various combinations of products and services, which are generally capable of being distinct and accounted for as separate performance obligations. Revenue is recognized net of allowance for subscription and non-renewal cancellations and any taxes collected from customers that are subsequently remitted to governmental authorities.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Software Subscriptions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Licenses for on-premise software subscriptions provide the customer with a right to use the software as it exists when made available to the customer. Customers purchase a subscription to these licenses, which includes the related software and tax content updates and product support. The updates and support, which are part of the subscription agreement, are essential to the continued utility of the software; therefore, we have determined the software and the related updates and support to be a single performance obligation. Accordingly, when on-premise software is licensed, the revenue associated with this combined performance obligation is recognized ratably over the license term as these subscriptions are provided for the duration of the license term. Revenue recognition begins on the later of the beginning of the subscription period or the date the software is made available to the customer to download.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cloud-based subscriptions allow customers to use Vertex-hosted software over the contract period without taking possession of the software. The contracts are generally for one to three years and are generally billed annually in advance of the subscription period. Our cloud-based offerings also include related updates and support. Revenue recognition begins on the later of the beginning of the subscription period or the date the customer is provided access to the cloud-based solutions. All services within the cloud-based contracts consistently provide a benefit to the customer during the subscription period; thus, the associated revenue is recognized ratably over the subscription period.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Revenue is impacted by the timing of sales and our customers’ growth or contractions resulting in their need to expand or contract their subscription usage, the purchase of new solutions, or the non-renewal of existing solutions. In addition, revenue will fluctuate with the cessation of extended product support fees charged for older versions of our software subscription solutions when they are retired and these fees are no longer charged. Contracts for on-premise licenses permit cancellations at the end of the license term. Legacy cloud-based subscription contracts for multi-year periods previously provided customers the right to terminate their contract for services prior to the end of the subscription period at a significant penalty. This penalty requires the payment of a percentage of the remaining months of the then-current contract term. Current cloud-based contracts do not contain such termination rights. Terminations of cloud-based subscriptions prior to the end of the subscription term have occurred infrequently, and the impact has been immaterial. The allowance for subscription and non-renewal cancellations reflects an estimate of the amount of such cancellations and non-renewals based on past experience, current information, and forward-looking economic considerations.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Services Revenue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generate services revenue primarily in support of our customers’ needs associated with our software and to enable them to realize the full benefit of our solutions. These software subscription-related services include configuration, data migration and implementation, and premium support and training. In addition, we generate services revenue through our managed services offering which allows customers to outsource all or a portion of their indirect tax operations to us. These services include indirect tax return preparation, filing and tax payment, and notice management. We generally bill for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services on a per-transaction or time and materials basis, and we recognize revenue from deliverable-based professional services as services are performed.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Fluctuations in services revenue are directly correlated to fluctuations in our subscription revenues with respect to implementation and training services as we have historically experienced an attachment rate to subscription sales for these services of approximately 60%. In addition, our managed services offering has continued to experience increased revenues associated with returns processing volume increases attributable to regulatory changes, as customers expanded their tax filings into more jurisdictions.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Cost of Revenue</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Software Subscriptions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Cost of software subscriptions revenue consists of costs related to providing and supporting our software subscriptions and includes personnel and related expenses, including salaries, benefits, bonuses, and stock-based compensation. In addition, cost of revenue includes direct costs associated with information technology, such as data center and software hosting costs, and tax content maintenance. Cost of software subscriptions revenue also includes amortization associated with capitalized internal-use software for cloud-based subscription solutions and software developed for sale for new products and enhancements to existing products, and costs associated with the amortization of certain acquired intangible assets. We plan to continue to significantly expand our infrastructure and personnel to support our future growth and increases in transaction volumes of our cloud-based solutions, including through acquisitions. We expect growth in our business will result in an increase in cost of software subscriptions revenue in absolute dollars.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Services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Cost of services revenue consists of direct costs of software subscription-related services and our managed services offering. These costs include personnel and related expenses, including salaries, benefits, bonuses, stock-based compensation, and the cost of third-party contractors and other direct expenses. We plan to continue to expand our infrastructure and personnel as necessary to support our future growth in our managed service offerings and related increases in our service revenue. We expect growth in our business will result in an increase in the cost of services revenue in absolute dollars.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Research and Development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Research and development expenses consist primarily of personnel and related expenses for our research and development activities, including salaries, benefits, bonuses and stock-based compensation, and the cost of third-party developers and other contractors. Research and development costs, other than software development expenses qualifying for capitalization, are expensed as incurred.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devote substantial resources to developing new products and enhancing existing products, conducting quality assurance testing, improving our core technology, and integrating acquired technology with our products. We believe continued investments in research and development are critical to attain our strategic objectives and expect research and development costs to increase in absolute dollars. These investments include enhancing our solution offerings to address changing customer needs to support their growth, as well as implementing changes required to keep pace with our partners’ technology to ensure the continued ability of our solutions to work together and deliver value to our customers. The market for our solutions is characterized by rapid technological change, frequent new product and service introductions and enhancements, changing customer demands, and evolving industry standards. As a result, although we are making significant research and development expenditures, certain of which may be capitalized, there is no guarantee these solutions will be accepted by the market. This could result in increased costs or an impairment of capitalized development costs with no resulting future revenue benefit.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Selling and Marketing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Selling and marketing expenses consist primarily of personnel and related expenses in support of sales and marketing efforts. These costs include salaries, benefits, bonuses and stock-based compensation. In addition, selling and marketing expenses include costs related to advertising and promotion efforts, branding costs, partner-based commissions, costs associated with our annual customer conferences and amortization of certain acquired intangible assets. We intend to continue to invest in our sales and marketing capabilities in the future to continue to increase our brand awareness and expect these costs to increase on an absolute dollar basis as we grow our business and continue to expand our market and partner ecosystem penetration. Sales and marketing expense in absolute dollars and as a percentage of total revenue may fluctuate from period-to-period based on total revenue levels and the timing of our investments in our sales and marketing functions, as these investments will occur in advance of experiencing the benefits from such investments and may vary in scope and scale over future periods.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 xml:space="preserve">General and Administrative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consist primarily of personnel and related expenses for administrative, finance, information technology, legal, risk management, facilities, and human resources staffing, including salaries, benefits, bonuses, severance, stock-based compensation, professional fees, insurance premiums, facility costs, amortization of cloud computing arrangement implementation costs, and other internal support and infrastructure costs. Additionally, the three months ended March 31, 2026 period includes severance costs related to the Plan. For further information refer to Note 15, “Restructuring” to the condensed consolidated financial statements included in this Quarterly Report on Form 10-Q.</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expect our general and administrative expenses to increase in absolute dollars as we continue to expand our operations, hire additional personnel, and integrate current and future acquisitions. </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Depreciation and Amortization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Depreciation and amortization expense consists of the allocation of purchased and developed asset costs over the future periods benefited by the use of these assets. These assets include leasehold improvements for our facilities, computers and equipment needed to support our customers and our internal infrastructure and capitalized internal-use software associated with our internal tools. Depreciation and amortization will fluctuate in correlation with our ongoing investment in internal infrastructure costs to support our growth.</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 xml:space="preserve">Change in Fair Value of Acquisition Contingent Earn-Outs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change in fair value of acquisition contingent earn-outs consists of fair value adjustments to our Cash Earn-outs (as defined below)</w:t>
      </w:r>
      <w:r>
        <w:rPr>
          <w:rFonts w:ascii="Times New Roman;Times;serif" w:hAnsi="Times New Roman;Times;serif"/>
          <w:color w:val="FF0000"/>
          <w:sz w:val="20"/>
        </w:rPr>
        <w:t xml:space="preserve"> </w:t>
      </w:r>
      <w:r>
        <w:rPr>
          <w:rFonts w:ascii="Times New Roman;Times;serif" w:hAnsi="Times New Roman;Times;serif"/>
          <w:sz w:val="20"/>
        </w:rPr>
        <w:t>and Stock Earn-outs (as defined below) (collectively with the Cash Earn-outs, the “Earn-outs”) related to our 2024 acquisition of ecosio GmbH (“ecosio”). The Earn-outs will be revalued and adjusted quarterly until the end of the Earn-out periods.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Other Operating Expense (Income),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Other operating expense (income), net consists primarily of transactions costs associated with merger and acquisition activities, periodic remeasurement of contingent consideration associated with completed acquisitions, realized gains and losses on foreign currency changes, and other operating gains and losses. These amounts will fluctuate as a result of ongoing merger and acquisition activities and for changes in foreign currency rates.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Interest Expense (Income),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Interest expense (income), net reflects the net amount of our interest expense and interest income within the same period.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Interest expense consists primarily of interest incurred related to the Notes (as defined below), a Credit Agreement (as defined below), and leases. Interest expense includes amortization of deferred financing fees over the term of the credit facility or write-downs of such costs upon redemption of debt. Interest expense will vary as a result of fluctuations in the level of debt outstanding as well as interest rates on such debt.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Interest income reflects earnings on investments of our cash on hand and our investment securities. Interest income will vary as a result of fluctuations in the future level of funds available for investment and the rate of return available in the market on such funds.</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 xml:space="preserve">Income Tax Expense (Benefit)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Income tax expense (benefit) consists primarily of federal, foreign, state, and local taxes on our loss or income. In determining our annualized effective income tax rates, net deferred tax assets, valuation allowances, and cash paid for income taxes, we are required to make judgments and estimates about domestic and foreign profitability, the timing and usage of net operating loss and credit carryforwards, applicable tax rates, and transfer pricing methodologies. Judgments and estimates related to our projections and assumptions are inherently uncertain; therefore, actual results could materially differ from our projections.</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You should read the following discussion and analysis of our financial condition and results of operations in conjunction with our condensed consolidated financial statements and the notes thereto included elsewhere in this Quarterly Report on Form 10-Q, and our consolidated financial statements and the notes thereto included in our 2025 Annual Report. The period-to-period comparison of financial results is not necessarily indicative of financial results to be achieved in future periods. The following table sets forth our condensed consolidated statements of comprehensive</w:t>
      </w:r>
      <w:r>
        <w:rPr>
          <w:rFonts w:ascii="Times New Roman;Times;serif" w:hAnsi="Times New Roman;Times;serif"/>
          <w:color w:val="FF0000"/>
          <w:sz w:val="20"/>
        </w:rPr>
        <w:t xml:space="preserve"> </w:t>
      </w:r>
      <w:r>
        <w:rPr>
          <w:rFonts w:ascii="Times New Roman;Times;serif" w:hAnsi="Times New Roman;Times;serif"/>
          <w:sz w:val="20"/>
        </w:rPr>
        <w:t xml:space="preserve">income for the periods indicated. </w:t>
      </w:r>
    </w:p>
    <w:tbl>
      <w:tblPr>
        <w:tblW w:w="9176" w:type="dxa"/>
        <w:jc w:val="left"/>
        <w:tblInd w:w="0" w:type="dxa"/>
        <w:tblLayout w:type="fixed"/>
        <w:tblCellMar>
          <w:top w:w="0" w:type="dxa"/>
          <w:left w:w="0" w:type="dxa"/>
          <w:bottom w:w="0" w:type="dxa"/>
          <w:right w:w="0" w:type="dxa"/>
        </w:tblCellMar>
      </w:tblPr>
      <w:tblGrid>
        <w:gridCol w:w="4036"/>
        <w:gridCol w:w="346"/>
        <w:gridCol w:w="196"/>
        <w:gridCol w:w="721"/>
        <w:gridCol w:w="346"/>
        <w:gridCol w:w="196"/>
        <w:gridCol w:w="721"/>
        <w:gridCol w:w="109"/>
        <w:gridCol w:w="255"/>
        <w:gridCol w:w="938"/>
        <w:gridCol w:w="190"/>
        <w:gridCol w:w="821"/>
        <w:gridCol w:w="301"/>
      </w:tblGrid>
      <w:tr>
        <w:trPr/>
        <w:tc>
          <w:tcPr>
            <w:tcW w:w="4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562860" cy="175260"/>
                      <wp:effectExtent l="0" t="0" r="0" b="0"/>
                      <wp:wrapNone/>
                      <wp:docPr id="340" name="Frame340"/>
                      <a:graphic xmlns:a="http://schemas.openxmlformats.org/drawingml/2006/main">
                        <a:graphicData uri="http://schemas.microsoft.com/office/word/2010/wordprocessingShape">
                          <wps:wsp>
                            <wps:cNvSpPr txBox="1"/>
                            <wps:spPr>
                              <a:xfrm>
                                <a:off x="0" y="0"/>
                                <a:ext cx="2562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19710" cy="175260"/>
                      <wp:effectExtent l="0" t="0" r="0" b="0"/>
                      <wp:wrapNone/>
                      <wp:docPr id="341" name="Frame3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124460" cy="175260"/>
                      <wp:effectExtent l="0" t="0" r="0" b="0"/>
                      <wp:wrapNone/>
                      <wp:docPr id="342" name="Frame34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457835" cy="175260"/>
                      <wp:effectExtent l="0" t="0" r="0" b="0"/>
                      <wp:wrapNone/>
                      <wp:docPr id="343" name="Frame343"/>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19710" cy="175260"/>
                      <wp:effectExtent l="0" t="0" r="0" b="0"/>
                      <wp:wrapNone/>
                      <wp:docPr id="344" name="Frame3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124460" cy="175260"/>
                      <wp:effectExtent l="0" t="0" r="0" b="0"/>
                      <wp:wrapNone/>
                      <wp:docPr id="345" name="Frame34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457835" cy="175260"/>
                      <wp:effectExtent l="0" t="0" r="0" b="0"/>
                      <wp:wrapNone/>
                      <wp:docPr id="346" name="Frame34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9215" cy="175260"/>
                      <wp:effectExtent l="0" t="0" r="0" b="0"/>
                      <wp:wrapNone/>
                      <wp:docPr id="347" name="Frame3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161925" cy="175260"/>
                      <wp:effectExtent l="0" t="0" r="0" b="0"/>
                      <wp:wrapNone/>
                      <wp:docPr id="348" name="Frame348"/>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595630" cy="175260"/>
                      <wp:effectExtent l="0" t="0" r="0" b="0"/>
                      <wp:wrapNone/>
                      <wp:docPr id="349" name="Frame349"/>
                      <a:graphic xmlns:a="http://schemas.openxmlformats.org/drawingml/2006/main">
                        <a:graphicData uri="http://schemas.microsoft.com/office/word/2010/wordprocessingShape">
                          <wps:wsp>
                            <wps:cNvSpPr txBox="1"/>
                            <wps:spPr>
                              <a:xfrm>
                                <a:off x="0" y="0"/>
                                <a:ext cx="595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120650" cy="175260"/>
                      <wp:effectExtent l="0" t="0" r="0" b="0"/>
                      <wp:wrapNone/>
                      <wp:docPr id="350" name="Frame350"/>
                      <a:graphic xmlns:a="http://schemas.openxmlformats.org/drawingml/2006/main">
                        <a:graphicData uri="http://schemas.microsoft.com/office/word/2010/wordprocessingShape">
                          <wps:wsp>
                            <wps:cNvSpPr txBox="1"/>
                            <wps:spPr>
                              <a:xfrm>
                                <a:off x="0" y="0"/>
                                <a:ext cx="120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521335" cy="175260"/>
                      <wp:effectExtent l="0" t="0" r="0" b="0"/>
                      <wp:wrapNone/>
                      <wp:docPr id="351" name="Frame351"/>
                      <a:graphic xmlns:a="http://schemas.openxmlformats.org/drawingml/2006/main">
                        <a:graphicData uri="http://schemas.microsoft.com/office/word/2010/wordprocessingShape">
                          <wps:wsp>
                            <wps:cNvSpPr txBox="1"/>
                            <wps:spPr>
                              <a:xfrm>
                                <a:off x="0" y="0"/>
                                <a:ext cx="521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191135" cy="175260"/>
                      <wp:effectExtent l="0" t="0" r="0" b="0"/>
                      <wp:wrapNone/>
                      <wp:docPr id="352" name="Frame352"/>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8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38" w:type="dxa"/>
            <w:tcBorders/>
            <w:vAlign w:val="center"/>
          </w:tcPr>
          <w:p>
            <w:pPr>
              <w:pStyle w:val="TableContents"/>
              <w:bidi w:val="0"/>
              <w:spacing w:before="0" w:after="0"/>
              <w:ind w:left="0" w:right="0" w:hanging="0"/>
              <w:jc w:val="center"/>
              <w:rPr/>
            </w:pPr>
            <w:r>
              <w:rPr/>
              <w:t>​</w:t>
            </w:r>
          </w:p>
        </w:tc>
        <w:tc>
          <w:tcPr>
            <w:tcW w:w="190" w:type="dxa"/>
            <w:tcBorders/>
            <w:vAlign w:val="center"/>
          </w:tcPr>
          <w:p>
            <w:pPr>
              <w:pStyle w:val="TableContents"/>
              <w:bidi w:val="0"/>
              <w:spacing w:before="0" w:after="0"/>
              <w:ind w:left="0" w:right="0" w:hanging="0"/>
              <w:jc w:val="left"/>
              <w:rPr/>
            </w:pPr>
            <w:r>
              <w:rPr/>
              <w:t>​</w:t>
            </w:r>
          </w:p>
        </w:tc>
        <w:tc>
          <w:tcPr>
            <w:tcW w:w="821" w:type="dxa"/>
            <w:tcBorders/>
            <w:vAlign w:val="center"/>
          </w:tcPr>
          <w:p>
            <w:pPr>
              <w:pStyle w:val="TableContents"/>
              <w:bidi w:val="0"/>
              <w:spacing w:before="0" w:after="0"/>
              <w:ind w:left="0" w:right="0" w:hanging="0"/>
              <w:jc w:val="center"/>
              <w:rPr/>
            </w:pPr>
            <w:r>
              <w:rPr/>
              <w:t>​</w:t>
            </w:r>
          </w:p>
        </w:tc>
        <w:tc>
          <w:tcPr>
            <w:tcW w:w="301" w:type="dxa"/>
            <w:tcBorders/>
            <w:vAlign w:val="center"/>
          </w:tcPr>
          <w:p>
            <w:pPr>
              <w:pStyle w:val="TableContents"/>
              <w:bidi w:val="0"/>
              <w:spacing w:before="0" w:after="0"/>
              <w:ind w:left="0" w:right="0" w:hanging="0"/>
              <w:jc w:val="center"/>
              <w:rPr/>
            </w:pPr>
            <w:r>
              <w:rPr/>
              <w:t>​</w:t>
            </w:r>
          </w:p>
        </w:tc>
      </w:tr>
      <w:tr>
        <w:trPr/>
        <w:tc>
          <w:tcPr>
            <w:tcW w:w="4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8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38" w:type="dxa"/>
            <w:tcBorders/>
            <w:vAlign w:val="center"/>
          </w:tcPr>
          <w:p>
            <w:pPr>
              <w:pStyle w:val="TableContents"/>
              <w:bidi w:val="0"/>
              <w:spacing w:before="0" w:after="0"/>
              <w:ind w:left="0" w:right="0" w:hanging="0"/>
              <w:jc w:val="center"/>
              <w:rPr/>
            </w:pPr>
            <w:r>
              <w:rPr/>
              <w:t>​</w:t>
            </w:r>
          </w:p>
        </w:tc>
        <w:tc>
          <w:tcPr>
            <w:tcW w:w="190" w:type="dxa"/>
            <w:tcBorders/>
            <w:vAlign w:val="center"/>
          </w:tcPr>
          <w:p>
            <w:pPr>
              <w:pStyle w:val="TableContents"/>
              <w:bidi w:val="0"/>
              <w:spacing w:before="0" w:after="0"/>
              <w:ind w:left="0" w:right="0" w:hanging="0"/>
              <w:jc w:val="left"/>
              <w:rPr/>
            </w:pPr>
            <w:r>
              <w:rPr/>
              <w:t>​</w:t>
            </w:r>
          </w:p>
        </w:tc>
        <w:tc>
          <w:tcPr>
            <w:tcW w:w="821" w:type="dxa"/>
            <w:tcBorders/>
            <w:vAlign w:val="center"/>
          </w:tcPr>
          <w:p>
            <w:pPr>
              <w:pStyle w:val="TableContents"/>
              <w:bidi w:val="0"/>
              <w:spacing w:before="0" w:after="0"/>
              <w:ind w:left="0" w:right="0" w:hanging="0"/>
              <w:jc w:val="center"/>
              <w:rPr/>
            </w:pPr>
            <w:r>
              <w:rPr/>
              <w:t>​</w:t>
            </w:r>
          </w:p>
        </w:tc>
        <w:tc>
          <w:tcPr>
            <w:tcW w:w="301" w:type="dxa"/>
            <w:tcBorders/>
            <w:vAlign w:val="center"/>
          </w:tcPr>
          <w:p>
            <w:pPr>
              <w:pStyle w:val="TableContents"/>
              <w:bidi w:val="0"/>
              <w:spacing w:before="0" w:after="0"/>
              <w:ind w:left="0" w:right="0" w:hanging="0"/>
              <w:jc w:val="center"/>
              <w:rPr/>
            </w:pPr>
            <w:r>
              <w:rPr/>
              <w:t>​</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46" w:type="dxa"/>
            <w:tcBorders/>
            <w:vAlign w:val="center"/>
          </w:tcPr>
          <w:p>
            <w:pPr>
              <w:pStyle w:val="TableContents"/>
              <w:bidi w:val="0"/>
              <w:spacing w:before="0" w:after="0"/>
              <w:ind w:left="0" w:right="0" w:hanging="0"/>
              <w:jc w:val="left"/>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220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Period-Over-Period Change </w:t>
            </w:r>
          </w:p>
        </w:tc>
        <w:tc>
          <w:tcPr>
            <w:tcW w:w="301" w:type="dxa"/>
            <w:tcBorders/>
            <w:vAlign w:val="center"/>
          </w:tcPr>
          <w:p>
            <w:pPr>
              <w:pStyle w:val="TableContents"/>
              <w:bidi w:val="0"/>
              <w:spacing w:before="0" w:after="0"/>
              <w:ind w:left="0" w:right="0" w:hanging="0"/>
              <w:jc w:val="center"/>
              <w:rPr/>
            </w:pPr>
            <w:r>
              <w:rPr/>
              <w:t>​</w:t>
            </w:r>
          </w:p>
        </w:tc>
      </w:tr>
      <w:tr>
        <w:trPr/>
        <w:tc>
          <w:tcPr>
            <w:tcW w:w="4036" w:type="dxa"/>
            <w:tcBorders/>
            <w:shd w:fill="CCEEFF" w:val="clear"/>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Revenues:</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38" w:type="dxa"/>
            <w:tcBorders/>
            <w:shd w:fill="CCEEFF" w:val="clear"/>
            <w:vAlign w:val="center"/>
          </w:tcPr>
          <w:p>
            <w:pPr>
              <w:pStyle w:val="TableContents"/>
              <w:bidi w:val="0"/>
              <w:spacing w:before="0" w:after="0"/>
              <w:ind w:left="0" w:right="0" w:hanging="0"/>
              <w:jc w:val="righ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821" w:type="dxa"/>
            <w:tcBorders/>
            <w:shd w:fill="CCEEFF" w:val="clear"/>
            <w:vAlign w:val="center"/>
          </w:tcPr>
          <w:p>
            <w:pPr>
              <w:pStyle w:val="TableContents"/>
              <w:bidi w:val="0"/>
              <w:spacing w:before="0" w:after="0"/>
              <w:ind w:left="0" w:right="0" w:hanging="0"/>
              <w:jc w:val="right"/>
              <w:rPr/>
            </w:pPr>
            <w:r>
              <w:rPr/>
              <w:t>​</w:t>
            </w:r>
          </w:p>
        </w:tc>
        <w:tc>
          <w:tcPr>
            <w:tcW w:w="301" w:type="dxa"/>
            <w:tcBorders/>
            <w:shd w:fill="CCEEFF" w:val="clear"/>
            <w:vAlign w:val="center"/>
          </w:tcPr>
          <w:p>
            <w:pPr>
              <w:pStyle w:val="TableContents"/>
              <w:bidi w:val="0"/>
              <w:spacing w:before="0" w:after="0"/>
              <w:ind w:left="0" w:right="0" w:hanging="0"/>
              <w:jc w:val="right"/>
              <w:rPr/>
            </w:pPr>
            <w:r>
              <w:rPr/>
              <w:t>​</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Software subscriptions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167,146</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150,761</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16,385</w:t>
            </w:r>
          </w:p>
        </w:tc>
        <w:tc>
          <w:tcPr>
            <w:tcW w:w="190" w:type="dxa"/>
            <w:tcBorders/>
            <w:vAlign w:val="center"/>
          </w:tcPr>
          <w:p>
            <w:pPr>
              <w:pStyle w:val="TableContents"/>
              <w:bidi w:val="0"/>
              <w:spacing w:before="0" w:after="0"/>
              <w:ind w:left="0" w:right="0" w:hanging="0"/>
              <w:jc w:val="left"/>
              <w:rPr/>
            </w:pPr>
            <w:r>
              <w:rPr/>
              <w:t> </w:t>
            </w:r>
          </w:p>
        </w:tc>
        <w:tc>
          <w:tcPr>
            <w:tcW w:w="8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Services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29,500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26,301</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3,199</w:t>
            </w:r>
          </w:p>
        </w:tc>
        <w:tc>
          <w:tcPr>
            <w:tcW w:w="190" w:type="dxa"/>
            <w:tcBorders/>
            <w:shd w:fill="CCEEFF" w:val="clear"/>
            <w:vAlign w:val="center"/>
          </w:tcPr>
          <w:p>
            <w:pPr>
              <w:pStyle w:val="TableContents"/>
              <w:bidi w:val="0"/>
              <w:spacing w:before="0" w:after="0"/>
              <w:ind w:left="0" w:right="0" w:hanging="0"/>
              <w:jc w:val="left"/>
              <w:rPr/>
            </w:pPr>
            <w:r>
              <w:rPr/>
              <w:t>​</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revenues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196,646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177,062</w:t>
            </w:r>
          </w:p>
        </w:tc>
        <w:tc>
          <w:tcPr>
            <w:tcW w:w="109"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19,584</w:t>
            </w:r>
          </w:p>
        </w:tc>
        <w:tc>
          <w:tcPr>
            <w:tcW w:w="190" w:type="dxa"/>
            <w:tcBorders/>
            <w:vAlign w:val="center"/>
          </w:tcPr>
          <w:p>
            <w:pPr>
              <w:pStyle w:val="TableContents"/>
              <w:bidi w:val="0"/>
              <w:spacing w:before="0" w:after="0"/>
              <w:ind w:left="0" w:right="0" w:hanging="0"/>
              <w:jc w:val="left"/>
              <w:rPr/>
            </w:pPr>
            <w:r>
              <w:rPr/>
              <w:t>​</w:t>
            </w:r>
          </w:p>
        </w:tc>
        <w:tc>
          <w:tcPr>
            <w:tcW w:w="8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036" w:type="dxa"/>
            <w:tcBorders/>
            <w:shd w:fill="CCEEFF" w:val="clear"/>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Cost of revenues: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38" w:type="dxa"/>
            <w:tcBorders/>
            <w:shd w:fill="CCEEFF" w:val="clear"/>
            <w:vAlign w:val="center"/>
          </w:tcPr>
          <w:p>
            <w:pPr>
              <w:pStyle w:val="TableContents"/>
              <w:bidi w:val="0"/>
              <w:spacing w:before="0" w:after="0"/>
              <w:ind w:left="0" w:right="0" w:hanging="0"/>
              <w:jc w:val="righ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821" w:type="dxa"/>
            <w:tcBorders/>
            <w:shd w:fill="CCEEFF" w:val="clear"/>
            <w:vAlign w:val="center"/>
          </w:tcPr>
          <w:p>
            <w:pPr>
              <w:pStyle w:val="TableContents"/>
              <w:bidi w:val="0"/>
              <w:spacing w:before="0" w:after="0"/>
              <w:ind w:left="0" w:right="0" w:hanging="0"/>
              <w:jc w:val="right"/>
              <w:rPr/>
            </w:pPr>
            <w:r>
              <w:rPr/>
              <w:t>​</w:t>
            </w:r>
          </w:p>
        </w:tc>
        <w:tc>
          <w:tcPr>
            <w:tcW w:w="301" w:type="dxa"/>
            <w:tcBorders/>
            <w:shd w:fill="CCEEFF" w:val="clear"/>
            <w:vAlign w:val="center"/>
          </w:tcPr>
          <w:p>
            <w:pPr>
              <w:pStyle w:val="TableContents"/>
              <w:bidi w:val="0"/>
              <w:spacing w:before="0" w:after="0"/>
              <w:ind w:left="0" w:right="0" w:hanging="0"/>
              <w:jc w:val="left"/>
              <w:rPr/>
            </w:pPr>
            <w:r>
              <w:rPr/>
              <w:t>​</w:t>
            </w:r>
          </w:p>
        </w:tc>
      </w:tr>
      <w:tr>
        <w:trPr/>
        <w:tc>
          <w:tcPr>
            <w:tcW w:w="403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Software subscriptions </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51,176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44,245</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3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6,931</w:t>
            </w:r>
          </w:p>
        </w:tc>
        <w:tc>
          <w:tcPr>
            <w:tcW w:w="190" w:type="dxa"/>
            <w:tcBorders/>
            <w:vAlign w:val="center"/>
          </w:tcPr>
          <w:p>
            <w:pPr>
              <w:pStyle w:val="TableContents"/>
              <w:bidi w:val="0"/>
              <w:spacing w:before="0" w:after="0"/>
              <w:ind w:left="0" w:right="0" w:hanging="0"/>
              <w:jc w:val="left"/>
              <w:rPr/>
            </w:pPr>
            <w:r>
              <w:rPr/>
              <w:t>​</w:t>
            </w:r>
          </w:p>
        </w:tc>
        <w:tc>
          <w:tcPr>
            <w:tcW w:w="8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15.7</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03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Services </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20,601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19,823</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778</w:t>
            </w:r>
          </w:p>
        </w:tc>
        <w:tc>
          <w:tcPr>
            <w:tcW w:w="190" w:type="dxa"/>
            <w:tcBorders/>
            <w:shd w:fill="CCEEFF" w:val="clear"/>
            <w:vAlign w:val="center"/>
          </w:tcPr>
          <w:p>
            <w:pPr>
              <w:pStyle w:val="TableContents"/>
              <w:bidi w:val="0"/>
              <w:spacing w:before="0" w:after="0"/>
              <w:ind w:left="0" w:right="0" w:hanging="0"/>
              <w:jc w:val="left"/>
              <w:rPr/>
            </w:pPr>
            <w:r>
              <w:rPr/>
              <w:t>​</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cost of revenues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71,777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64,068</w:t>
            </w:r>
          </w:p>
        </w:tc>
        <w:tc>
          <w:tcPr>
            <w:tcW w:w="109"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7,709</w:t>
            </w:r>
          </w:p>
        </w:tc>
        <w:tc>
          <w:tcPr>
            <w:tcW w:w="190" w:type="dxa"/>
            <w:tcBorders/>
            <w:vAlign w:val="center"/>
          </w:tcPr>
          <w:p>
            <w:pPr>
              <w:pStyle w:val="TableContents"/>
              <w:bidi w:val="0"/>
              <w:spacing w:before="0" w:after="0"/>
              <w:ind w:left="0" w:right="0" w:hanging="0"/>
              <w:jc w:val="left"/>
              <w:rPr/>
            </w:pPr>
            <w:r>
              <w:rPr/>
              <w:t>​</w:t>
            </w:r>
          </w:p>
        </w:tc>
        <w:tc>
          <w:tcPr>
            <w:tcW w:w="8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124,869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112,994</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11,875</w:t>
            </w:r>
          </w:p>
        </w:tc>
        <w:tc>
          <w:tcPr>
            <w:tcW w:w="190" w:type="dxa"/>
            <w:tcBorders/>
            <w:shd w:fill="CCEEFF" w:val="clear"/>
            <w:vAlign w:val="center"/>
          </w:tcPr>
          <w:p>
            <w:pPr>
              <w:pStyle w:val="TableContents"/>
              <w:bidi w:val="0"/>
              <w:spacing w:before="0" w:after="0"/>
              <w:ind w:left="0" w:right="0" w:hanging="0"/>
              <w:jc w:val="left"/>
              <w:rPr/>
            </w:pPr>
            <w:r>
              <w:rPr/>
              <w:t>​</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036"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Operating expenses: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38" w:type="dxa"/>
            <w:tcBorders/>
            <w:vAlign w:val="center"/>
          </w:tcPr>
          <w:p>
            <w:pPr>
              <w:pStyle w:val="TableContents"/>
              <w:bidi w:val="0"/>
              <w:spacing w:before="0" w:after="0"/>
              <w:ind w:left="0" w:right="0" w:hanging="0"/>
              <w:jc w:val="right"/>
              <w:rPr/>
            </w:pPr>
            <w:r>
              <w:rPr/>
              <w:t>​</w:t>
            </w:r>
          </w:p>
        </w:tc>
        <w:tc>
          <w:tcPr>
            <w:tcW w:w="190" w:type="dxa"/>
            <w:tcBorders/>
            <w:vAlign w:val="center"/>
          </w:tcPr>
          <w:p>
            <w:pPr>
              <w:pStyle w:val="TableContents"/>
              <w:bidi w:val="0"/>
              <w:spacing w:before="0" w:after="0"/>
              <w:ind w:left="0" w:right="0" w:hanging="0"/>
              <w:jc w:val="left"/>
              <w:rPr/>
            </w:pPr>
            <w:r>
              <w:rPr/>
              <w:t>​</w:t>
            </w:r>
          </w:p>
        </w:tc>
        <w:tc>
          <w:tcPr>
            <w:tcW w:w="821" w:type="dxa"/>
            <w:tcBorders/>
            <w:vAlign w:val="center"/>
          </w:tcPr>
          <w:p>
            <w:pPr>
              <w:pStyle w:val="TableContents"/>
              <w:bidi w:val="0"/>
              <w:spacing w:before="0" w:after="0"/>
              <w:ind w:left="0" w:right="0" w:hanging="0"/>
              <w:jc w:val="right"/>
              <w:rPr/>
            </w:pPr>
            <w:r>
              <w:rPr/>
              <w:t>​</w:t>
            </w:r>
          </w:p>
        </w:tc>
        <w:tc>
          <w:tcPr>
            <w:tcW w:w="301" w:type="dxa"/>
            <w:tcBorders/>
            <w:vAlign w:val="center"/>
          </w:tcPr>
          <w:p>
            <w:pPr>
              <w:pStyle w:val="TableContents"/>
              <w:bidi w:val="0"/>
              <w:spacing w:before="0" w:after="0"/>
              <w:ind w:left="0" w:right="0" w:hanging="0"/>
              <w:jc w:val="left"/>
              <w:rPr/>
            </w:pPr>
            <w:r>
              <w:rPr/>
              <w:t>​</w:t>
            </w:r>
          </w:p>
        </w:tc>
      </w:tr>
      <w:tr>
        <w:trPr/>
        <w:tc>
          <w:tcPr>
            <w:tcW w:w="403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Research and development </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24,550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20,886</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3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3,664</w:t>
            </w:r>
          </w:p>
        </w:tc>
        <w:tc>
          <w:tcPr>
            <w:tcW w:w="190" w:type="dxa"/>
            <w:tcBorders/>
            <w:shd w:fill="CCEEFF" w:val="clear"/>
            <w:vAlign w:val="center"/>
          </w:tcPr>
          <w:p>
            <w:pPr>
              <w:pStyle w:val="TableContents"/>
              <w:bidi w:val="0"/>
              <w:spacing w:before="0" w:after="0"/>
              <w:ind w:left="0" w:right="0" w:hanging="0"/>
              <w:jc w:val="left"/>
              <w:rPr/>
            </w:pPr>
            <w:r>
              <w:rPr/>
              <w:t>​</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03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Selling and marketing </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52,635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48,155</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3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4,480</w:t>
            </w:r>
          </w:p>
        </w:tc>
        <w:tc>
          <w:tcPr>
            <w:tcW w:w="190" w:type="dxa"/>
            <w:tcBorders/>
            <w:vAlign w:val="center"/>
          </w:tcPr>
          <w:p>
            <w:pPr>
              <w:pStyle w:val="TableContents"/>
              <w:bidi w:val="0"/>
              <w:spacing w:before="0" w:after="0"/>
              <w:ind w:left="0" w:right="0" w:hanging="0"/>
              <w:jc w:val="left"/>
              <w:rPr/>
            </w:pPr>
            <w:r>
              <w:rPr/>
              <w:t>​</w:t>
            </w:r>
          </w:p>
        </w:tc>
        <w:tc>
          <w:tcPr>
            <w:tcW w:w="8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03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General and administrative </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54,339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45,028</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3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9,311</w:t>
            </w:r>
          </w:p>
        </w:tc>
        <w:tc>
          <w:tcPr>
            <w:tcW w:w="190" w:type="dxa"/>
            <w:tcBorders/>
            <w:shd w:fill="CCEEFF" w:val="clear"/>
            <w:vAlign w:val="center"/>
          </w:tcPr>
          <w:p>
            <w:pPr>
              <w:pStyle w:val="TableContents"/>
              <w:bidi w:val="0"/>
              <w:spacing w:before="0" w:after="0"/>
              <w:ind w:left="0" w:right="0" w:hanging="0"/>
              <w:jc w:val="left"/>
              <w:rPr/>
            </w:pPr>
            <w:r>
              <w:rPr/>
              <w:t>​</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20.7</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6,442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5,880</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3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562</w:t>
            </w:r>
          </w:p>
        </w:tc>
        <w:tc>
          <w:tcPr>
            <w:tcW w:w="190" w:type="dxa"/>
            <w:tcBorders/>
            <w:vAlign w:val="center"/>
          </w:tcPr>
          <w:p>
            <w:pPr>
              <w:pStyle w:val="TableContents"/>
              <w:bidi w:val="0"/>
              <w:spacing w:before="0" w:after="0"/>
              <w:ind w:left="0" w:right="0" w:hanging="0"/>
              <w:jc w:val="left"/>
              <w:rPr/>
            </w:pPr>
            <w:r>
              <w:rPr/>
              <w:t>​</w:t>
            </w:r>
          </w:p>
        </w:tc>
        <w:tc>
          <w:tcPr>
            <w:tcW w:w="8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fair value of acquisition contingent earn-outs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(5,738)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(14,700)</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3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8,962</w:t>
            </w:r>
          </w:p>
        </w:tc>
        <w:tc>
          <w:tcPr>
            <w:tcW w:w="190" w:type="dxa"/>
            <w:tcBorders/>
            <w:shd w:fill="CCEEFF" w:val="clear"/>
            <w:vAlign w:val="center"/>
          </w:tcPr>
          <w:p>
            <w:pPr>
              <w:pStyle w:val="TableContents"/>
              <w:bidi w:val="0"/>
              <w:spacing w:before="0" w:after="0"/>
              <w:ind w:left="0" w:right="0" w:hanging="0"/>
              <w:jc w:val="left"/>
              <w:rPr/>
            </w:pPr>
            <w:r>
              <w:rPr/>
              <w:t>​</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(61.0)</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operating expense, net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3,247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3,259</w:t>
            </w:r>
          </w:p>
        </w:tc>
        <w:tc>
          <w:tcPr>
            <w:tcW w:w="109"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w:t>
            </w:r>
          </w:p>
        </w:tc>
        <w:tc>
          <w:tcPr>
            <w:tcW w:w="190" w:type="dxa"/>
            <w:tcBorders/>
            <w:vAlign w:val="center"/>
          </w:tcPr>
          <w:p>
            <w:pPr>
              <w:pStyle w:val="TableContents"/>
              <w:bidi w:val="0"/>
              <w:spacing w:before="0" w:after="0"/>
              <w:ind w:left="0" w:right="0" w:hanging="0"/>
              <w:jc w:val="left"/>
              <w:rPr/>
            </w:pPr>
            <w:r>
              <w:rPr/>
              <w:t>​</w:t>
            </w:r>
          </w:p>
        </w:tc>
        <w:tc>
          <w:tcPr>
            <w:tcW w:w="8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(0.4)</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135,475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108,508</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26,967</w:t>
            </w:r>
          </w:p>
        </w:tc>
        <w:tc>
          <w:tcPr>
            <w:tcW w:w="190" w:type="dxa"/>
            <w:tcBorders/>
            <w:shd w:fill="CCEEFF" w:val="clear"/>
            <w:vAlign w:val="center"/>
          </w:tcPr>
          <w:p>
            <w:pPr>
              <w:pStyle w:val="TableContents"/>
              <w:bidi w:val="0"/>
              <w:spacing w:before="0" w:after="0"/>
              <w:ind w:left="0" w:right="0" w:hanging="0"/>
              <w:jc w:val="left"/>
              <w:rPr/>
            </w:pPr>
            <w:r>
              <w:rPr/>
              <w:t>​</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24.9</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(loss) from operations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(10,606)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4,486</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3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(15,092)</w:t>
            </w:r>
          </w:p>
        </w:tc>
        <w:tc>
          <w:tcPr>
            <w:tcW w:w="190" w:type="dxa"/>
            <w:tcBorders/>
            <w:vAlign w:val="center"/>
          </w:tcPr>
          <w:p>
            <w:pPr>
              <w:pStyle w:val="TableContents"/>
              <w:bidi w:val="0"/>
              <w:spacing w:before="0" w:after="0"/>
              <w:ind w:left="0" w:right="0" w:hanging="0"/>
              <w:jc w:val="left"/>
              <w:rPr/>
            </w:pPr>
            <w:r>
              <w:rPr/>
              <w:t>​</w:t>
            </w:r>
          </w:p>
        </w:tc>
        <w:tc>
          <w:tcPr>
            <w:tcW w:w="8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(336.4)</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income,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(1,539)</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582</w:t>
            </w:r>
          </w:p>
        </w:tc>
        <w:tc>
          <w:tcPr>
            <w:tcW w:w="190" w:type="dxa"/>
            <w:tcBorders/>
            <w:shd w:fill="CCEEFF" w:val="clear"/>
            <w:vAlign w:val="center"/>
          </w:tcPr>
          <w:p>
            <w:pPr>
              <w:pStyle w:val="TableContents"/>
              <w:bidi w:val="0"/>
              <w:spacing w:before="0" w:after="0"/>
              <w:ind w:left="0" w:right="0" w:hanging="0"/>
              <w:jc w:val="left"/>
              <w:rPr/>
            </w:pPr>
            <w:r>
              <w:rPr/>
              <w:t>​</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(37.8)</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(loss) before income taxes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(9,649)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6,025</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3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(15,674)</w:t>
            </w:r>
          </w:p>
        </w:tc>
        <w:tc>
          <w:tcPr>
            <w:tcW w:w="190" w:type="dxa"/>
            <w:tcBorders/>
            <w:vAlign w:val="center"/>
          </w:tcPr>
          <w:p>
            <w:pPr>
              <w:pStyle w:val="TableContents"/>
              <w:bidi w:val="0"/>
              <w:spacing w:before="0" w:after="0"/>
              <w:ind w:left="0" w:right="0" w:hanging="0"/>
              <w:jc w:val="left"/>
              <w:rPr/>
            </w:pPr>
            <w:r>
              <w:rPr/>
              <w:t>​</w:t>
            </w:r>
          </w:p>
        </w:tc>
        <w:tc>
          <w:tcPr>
            <w:tcW w:w="8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(260.1)</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036" w:type="dxa"/>
            <w:tcBorders/>
            <w:shd w:fill="CCEEFF" w:val="clear"/>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Income tax benefit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(7,139)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(5,105)</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(2,034)</w:t>
            </w:r>
          </w:p>
        </w:tc>
        <w:tc>
          <w:tcPr>
            <w:tcW w:w="190" w:type="dxa"/>
            <w:tcBorders/>
            <w:shd w:fill="CCEEFF" w:val="clear"/>
            <w:vAlign w:val="center"/>
          </w:tcPr>
          <w:p>
            <w:pPr>
              <w:pStyle w:val="TableContents"/>
              <w:bidi w:val="0"/>
              <w:spacing w:before="0" w:after="0"/>
              <w:ind w:left="0" w:right="0" w:hanging="0"/>
              <w:jc w:val="left"/>
              <w:rPr/>
            </w:pPr>
            <w:r>
              <w:rPr/>
              <w:t>​</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39.8</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(loss)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(2,510)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11,130</w:t>
            </w:r>
          </w:p>
        </w:tc>
        <w:tc>
          <w:tcPr>
            <w:tcW w:w="109"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(13,640)</w:t>
            </w:r>
          </w:p>
        </w:tc>
        <w:tc>
          <w:tcPr>
            <w:tcW w:w="190" w:type="dxa"/>
            <w:tcBorders/>
            <w:vAlign w:val="center"/>
          </w:tcPr>
          <w:p>
            <w:pPr>
              <w:pStyle w:val="TableContents"/>
              <w:bidi w:val="0"/>
              <w:spacing w:before="0" w:after="0"/>
              <w:ind w:left="0" w:right="0" w:hanging="0"/>
              <w:jc w:val="left"/>
              <w:rPr/>
            </w:pPr>
            <w:r>
              <w:rPr/>
              <w:t>​</w:t>
            </w:r>
          </w:p>
        </w:tc>
        <w:tc>
          <w:tcPr>
            <w:tcW w:w="8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(122.6)</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comprehensive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38" w:type="dxa"/>
            <w:tcBorders/>
            <w:shd w:fill="CCEEFF" w:val="clear"/>
            <w:vAlign w:val="center"/>
          </w:tcPr>
          <w:p>
            <w:pPr>
              <w:pStyle w:val="TableContents"/>
              <w:bidi w:val="0"/>
              <w:spacing w:before="0" w:after="0"/>
              <w:ind w:left="0" w:right="0" w:hanging="0"/>
              <w:jc w:val="righ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821" w:type="dxa"/>
            <w:tcBorders/>
            <w:shd w:fill="CCEEFF" w:val="clear"/>
            <w:vAlign w:val="center"/>
          </w:tcPr>
          <w:p>
            <w:pPr>
              <w:pStyle w:val="TableContents"/>
              <w:bidi w:val="0"/>
              <w:spacing w:before="0" w:after="0"/>
              <w:ind w:left="0" w:right="0" w:hanging="0"/>
              <w:jc w:val="right"/>
              <w:rPr/>
            </w:pPr>
            <w:r>
              <w:rPr/>
              <w:t>​</w:t>
            </w:r>
          </w:p>
        </w:tc>
        <w:tc>
          <w:tcPr>
            <w:tcW w:w="301" w:type="dxa"/>
            <w:tcBorders/>
            <w:shd w:fill="CCEEFF" w:val="clear"/>
            <w:vAlign w:val="center"/>
          </w:tcPr>
          <w:p>
            <w:pPr>
              <w:pStyle w:val="TableContents"/>
              <w:bidi w:val="0"/>
              <w:spacing w:before="0" w:after="0"/>
              <w:ind w:left="0" w:right="0" w:hanging="0"/>
              <w:jc w:val="left"/>
              <w:rPr/>
            </w:pPr>
            <w:r>
              <w:rPr/>
              <w:t>​</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Foreign currency translation adjustments, net of tax</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6,450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(15,105)</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3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21,555</w:t>
            </w:r>
          </w:p>
        </w:tc>
        <w:tc>
          <w:tcPr>
            <w:tcW w:w="190" w:type="dxa"/>
            <w:tcBorders/>
            <w:vAlign w:val="center"/>
          </w:tcPr>
          <w:p>
            <w:pPr>
              <w:pStyle w:val="TableContents"/>
              <w:bidi w:val="0"/>
              <w:spacing w:before="0" w:after="0"/>
              <w:ind w:left="0" w:right="0" w:hanging="0"/>
              <w:jc w:val="left"/>
              <w:rPr/>
            </w:pPr>
            <w:r>
              <w:rPr/>
              <w:t>​</w:t>
            </w:r>
          </w:p>
        </w:tc>
        <w:tc>
          <w:tcPr>
            <w:tcW w:w="8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(142.7)</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Unrealized loss on investments, net of tax</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w:t>
            </w:r>
          </w:p>
        </w:tc>
        <w:tc>
          <w:tcPr>
            <w:tcW w:w="190" w:type="dxa"/>
            <w:tcBorders/>
            <w:shd w:fill="CCEEFF" w:val="clear"/>
            <w:vAlign w:val="center"/>
          </w:tcPr>
          <w:p>
            <w:pPr>
              <w:pStyle w:val="TableContents"/>
              <w:bidi w:val="0"/>
              <w:spacing w:before="0" w:after="0"/>
              <w:ind w:left="0" w:right="0" w:hanging="0"/>
              <w:jc w:val="left"/>
              <w:rPr/>
            </w:pPr>
            <w:r>
              <w:rPr/>
              <w:t>​</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other comprehensive income (loss), net of tax</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6,450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(15,096)</w:t>
            </w:r>
          </w:p>
        </w:tc>
        <w:tc>
          <w:tcPr>
            <w:tcW w:w="109"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21,546</w:t>
            </w:r>
          </w:p>
        </w:tc>
        <w:tc>
          <w:tcPr>
            <w:tcW w:w="190" w:type="dxa"/>
            <w:tcBorders/>
            <w:vAlign w:val="center"/>
          </w:tcPr>
          <w:p>
            <w:pPr>
              <w:pStyle w:val="TableContents"/>
              <w:bidi w:val="0"/>
              <w:spacing w:before="0" w:after="0"/>
              <w:ind w:left="0" w:right="0" w:hanging="0"/>
              <w:jc w:val="left"/>
              <w:rPr/>
            </w:pPr>
            <w:r>
              <w:rPr/>
              <w:t>​</w:t>
            </w:r>
          </w:p>
        </w:tc>
        <w:tc>
          <w:tcPr>
            <w:tcW w:w="8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(142.7)</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comprehensive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(8,960)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26,226</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(35,186)</w:t>
            </w:r>
          </w:p>
        </w:tc>
        <w:tc>
          <w:tcPr>
            <w:tcW w:w="190" w:type="dxa"/>
            <w:tcBorders/>
            <w:shd w:fill="CCEEFF" w:val="clear"/>
            <w:vAlign w:val="center"/>
          </w:tcPr>
          <w:p>
            <w:pPr>
              <w:pStyle w:val="TableContents"/>
              <w:bidi w:val="0"/>
              <w:spacing w:before="0" w:after="0"/>
              <w:ind w:left="0" w:right="0" w:hanging="0"/>
              <w:jc w:val="left"/>
              <w:rPr/>
            </w:pPr>
            <w:r>
              <w:rPr/>
              <w:t>​</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(134.2)</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bl>
    <w:tbl>
      <w:tblPr>
        <w:tblW w:w="5736" w:type="dxa"/>
        <w:jc w:val="left"/>
        <w:tblInd w:w="0" w:type="dxa"/>
        <w:tblLayout w:type="fixed"/>
        <w:tblCellMar>
          <w:top w:w="28" w:type="dxa"/>
          <w:left w:w="28" w:type="dxa"/>
          <w:bottom w:w="28" w:type="dxa"/>
          <w:right w:w="28" w:type="dxa"/>
        </w:tblCellMar>
      </w:tblPr>
      <w:tblGrid>
        <w:gridCol w:w="124"/>
        <w:gridCol w:w="256"/>
        <w:gridCol w:w="5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5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Includes stock-based compensation expenses as follows in the table below. </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p>
      <w:pPr>
        <w:pStyle w:val="TextBody"/>
        <w:bidi w:val="0"/>
        <w:spacing w:before="0" w:after="0"/>
        <w:ind w:left="360" w:right="0" w:hanging="0"/>
        <w:jc w:val="left"/>
        <w:rPr/>
      </w:pPr>
      <w:r>
        <w:rPr/>
        <w:t>​</w:t>
      </w:r>
    </w:p>
    <w:tbl>
      <w:tblPr>
        <w:tblW w:w="5686" w:type="dxa"/>
        <w:jc w:val="left"/>
        <w:tblInd w:w="0" w:type="dxa"/>
        <w:tblLayout w:type="fixed"/>
        <w:tblCellMar>
          <w:top w:w="0" w:type="dxa"/>
          <w:left w:w="0" w:type="dxa"/>
          <w:bottom w:w="0" w:type="dxa"/>
          <w:right w:w="0" w:type="dxa"/>
        </w:tblCellMar>
      </w:tblPr>
      <w:tblGrid>
        <w:gridCol w:w="3451"/>
        <w:gridCol w:w="211"/>
        <w:gridCol w:w="676"/>
        <w:gridCol w:w="346"/>
        <w:gridCol w:w="211"/>
        <w:gridCol w:w="791"/>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191385" cy="175260"/>
                      <wp:effectExtent l="0" t="0" r="0" b="0"/>
                      <wp:wrapNone/>
                      <wp:docPr id="353" name="Frame353"/>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133985" cy="175260"/>
                      <wp:effectExtent l="0" t="0" r="0" b="0"/>
                      <wp:wrapNone/>
                      <wp:docPr id="354" name="Frame3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429260" cy="175260"/>
                      <wp:effectExtent l="0" t="0" r="0" b="0"/>
                      <wp:wrapNone/>
                      <wp:docPr id="355" name="Frame35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19710" cy="175260"/>
                      <wp:effectExtent l="0" t="0" r="0" b="0"/>
                      <wp:wrapNone/>
                      <wp:docPr id="356" name="Frame3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133985" cy="175260"/>
                      <wp:effectExtent l="0" t="0" r="0" b="0"/>
                      <wp:wrapNone/>
                      <wp:docPr id="357" name="Frame3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502285" cy="175260"/>
                      <wp:effectExtent l="0" t="0" r="0" b="0"/>
                      <wp:wrapNone/>
                      <wp:docPr id="358" name="Frame358"/>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0"/>
              <w:ind w:left="0" w:right="0" w:hanging="0"/>
              <w:jc w:val="left"/>
              <w:rPr/>
            </w:pPr>
            <w:r>
              <w:rPr/>
              <w:t>​</w:t>
            </w:r>
          </w:p>
        </w:tc>
        <w:tc>
          <w:tcPr>
            <w:tcW w:w="223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r>
      <w:tr>
        <w:trPr/>
        <w:tc>
          <w:tcPr>
            <w:tcW w:w="3451" w:type="dxa"/>
            <w:tcBorders/>
            <w:vAlign w:val="center"/>
          </w:tcPr>
          <w:p>
            <w:pPr>
              <w:pStyle w:val="TableContents"/>
              <w:bidi w:val="0"/>
              <w:spacing w:before="0" w:after="0"/>
              <w:ind w:left="0" w:right="0" w:hanging="0"/>
              <w:jc w:val="left"/>
              <w:rPr/>
            </w:pPr>
            <w:r>
              <w:rPr/>
              <w:t>​</w:t>
            </w:r>
          </w:p>
        </w:tc>
        <w:tc>
          <w:tcPr>
            <w:tcW w:w="22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686" w:type="dxa"/>
            <w:gridSpan w:val="6"/>
            <w:tcBorders/>
            <w:vAlign w:val="center"/>
          </w:tcPr>
          <w:p>
            <w:pPr>
              <w:pStyle w:val="TableContents"/>
              <w:bidi w:val="0"/>
              <w:spacing w:before="0" w:after="283"/>
              <w:ind w:left="0" w:right="0" w:hanging="0"/>
              <w:jc w:val="left"/>
              <w:rPr>
                <w:sz w:val="4"/>
                <w:szCs w:val="4"/>
              </w:rPr>
            </w:pPr>
            <w:r>
              <w:rPr>
                <w:sz w:val="4"/>
                <w:szCs w:val="4"/>
              </w:rPr>
            </w:r>
          </w:p>
        </w:tc>
      </w:tr>
      <w:tr>
        <w:trPr/>
        <w:tc>
          <w:tcPr>
            <w:tcW w:w="3451" w:type="dxa"/>
            <w:tcBorders/>
            <w:vAlign w:val="center"/>
          </w:tcPr>
          <w:p>
            <w:pPr>
              <w:pStyle w:val="TableContents"/>
              <w:bidi w:val="0"/>
              <w:spacing w:before="0" w:after="0"/>
              <w:ind w:left="0" w:right="0" w:hanging="0"/>
              <w:jc w:val="left"/>
              <w:rPr/>
            </w:pPr>
            <w:r>
              <w:rPr/>
              <w:t>​</w:t>
            </w:r>
          </w:p>
        </w:tc>
        <w:tc>
          <w:tcPr>
            <w:tcW w:w="223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Stock-based compensation expense:</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 software subscriptions</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2,227</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 services</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1,696</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4,352</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5,806</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6,963</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stock-based compensation expense</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21,044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firstLine="432"/>
        <w:jc w:val="both"/>
        <w:rPr>
          <w:rFonts w:ascii="Times New Roman;Times;serif" w:hAnsi="Times New Roman;Times;serif"/>
          <w:sz w:val="20"/>
        </w:rPr>
      </w:pPr>
      <w:r>
        <w:rPr>
          <w:rFonts w:ascii="Times New Roman;Times;serif" w:hAnsi="Times New Roman;Times;serif"/>
          <w:sz w:val="20"/>
        </w:rPr>
        <w:t>The following table sets forth our results of operations as a percentage of our total revenues for the periods presented.</w:t>
      </w:r>
    </w:p>
    <w:p>
      <w:pPr>
        <w:pStyle w:val="TextBody"/>
        <w:bidi w:val="0"/>
        <w:spacing w:before="0" w:after="0"/>
        <w:ind w:left="0" w:right="0" w:hanging="0"/>
        <w:jc w:val="left"/>
        <w:rPr/>
      </w:pPr>
      <w:r>
        <w:rPr/>
        <w:t>​</w:t>
      </w:r>
    </w:p>
    <w:tbl>
      <w:tblPr>
        <w:tblW w:w="8358" w:type="dxa"/>
        <w:jc w:val="left"/>
        <w:tblInd w:w="0" w:type="dxa"/>
        <w:tblLayout w:type="fixed"/>
        <w:tblCellMar>
          <w:top w:w="0" w:type="dxa"/>
          <w:left w:w="0" w:type="dxa"/>
          <w:bottom w:w="0" w:type="dxa"/>
          <w:right w:w="0" w:type="dxa"/>
        </w:tblCellMar>
      </w:tblPr>
      <w:tblGrid>
        <w:gridCol w:w="4666"/>
        <w:gridCol w:w="346"/>
        <w:gridCol w:w="1117"/>
        <w:gridCol w:w="706"/>
        <w:gridCol w:w="1117"/>
        <w:gridCol w:w="406"/>
      </w:tblGrid>
      <w:tr>
        <w:trPr/>
        <w:tc>
          <w:tcPr>
            <w:tcW w:w="4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962910" cy="175260"/>
                      <wp:effectExtent l="0" t="0" r="0" b="0"/>
                      <wp:wrapNone/>
                      <wp:docPr id="359" name="Frame359"/>
                      <a:graphic xmlns:a="http://schemas.openxmlformats.org/drawingml/2006/main">
                        <a:graphicData uri="http://schemas.microsoft.com/office/word/2010/wordprocessingShape">
                          <wps:wsp>
                            <wps:cNvSpPr txBox="1"/>
                            <wps:spPr>
                              <a:xfrm>
                                <a:off x="0" y="0"/>
                                <a:ext cx="2962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19710" cy="175260"/>
                      <wp:effectExtent l="0" t="0" r="0" b="0"/>
                      <wp:wrapNone/>
                      <wp:docPr id="360" name="Frame3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709295" cy="175260"/>
                      <wp:effectExtent l="0" t="0" r="0" b="0"/>
                      <wp:wrapNone/>
                      <wp:docPr id="361" name="Frame361"/>
                      <a:graphic xmlns:a="http://schemas.openxmlformats.org/drawingml/2006/main">
                        <a:graphicData uri="http://schemas.microsoft.com/office/word/2010/wordprocessingShape">
                          <wps:wsp>
                            <wps:cNvSpPr txBox="1"/>
                            <wps:spPr>
                              <a:xfrm>
                                <a:off x="0" y="0"/>
                                <a:ext cx="709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448310" cy="175260"/>
                      <wp:effectExtent l="0" t="0" r="0" b="0"/>
                      <wp:wrapNone/>
                      <wp:docPr id="362" name="Frame362"/>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709295" cy="175260"/>
                      <wp:effectExtent l="0" t="0" r="0" b="0"/>
                      <wp:wrapNone/>
                      <wp:docPr id="363" name="Frame363"/>
                      <a:graphic xmlns:a="http://schemas.openxmlformats.org/drawingml/2006/main">
                        <a:graphicData uri="http://schemas.microsoft.com/office/word/2010/wordprocessingShape">
                          <wps:wsp>
                            <wps:cNvSpPr txBox="1"/>
                            <wps:spPr>
                              <a:xfrm>
                                <a:off x="0" y="0"/>
                                <a:ext cx="709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57810" cy="175260"/>
                      <wp:effectExtent l="0" t="0" r="0" b="0"/>
                      <wp:wrapNone/>
                      <wp:docPr id="364" name="Frame364"/>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4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 </w:t>
            </w:r>
          </w:p>
        </w:tc>
        <w:tc>
          <w:tcPr>
            <w:tcW w:w="406" w:type="dxa"/>
            <w:tcBorders/>
            <w:vAlign w:val="center"/>
          </w:tcPr>
          <w:p>
            <w:pPr>
              <w:pStyle w:val="TableContents"/>
              <w:bidi w:val="0"/>
              <w:spacing w:before="0" w:after="0"/>
              <w:ind w:left="0" w:right="0" w:hanging="0"/>
              <w:jc w:val="left"/>
              <w:rPr/>
            </w:pPr>
            <w:r>
              <w:rPr/>
              <w:t>​</w:t>
            </w:r>
          </w:p>
        </w:tc>
      </w:tr>
      <w:tr>
        <w:trPr/>
        <w:tc>
          <w:tcPr>
            <w:tcW w:w="46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1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706" w:type="dxa"/>
            <w:tcBorders/>
            <w:vAlign w:val="center"/>
          </w:tcPr>
          <w:p>
            <w:pPr>
              <w:pStyle w:val="TableContents"/>
              <w:bidi w:val="0"/>
              <w:spacing w:before="0" w:after="0"/>
              <w:ind w:left="0" w:right="0" w:hanging="0"/>
              <w:jc w:val="left"/>
              <w:rPr/>
            </w:pPr>
            <w:r>
              <w:rPr/>
              <w:t>  ​ ​ ​</w:t>
            </w:r>
          </w:p>
        </w:tc>
        <w:tc>
          <w:tcPr>
            <w:tcW w:w="111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06" w:type="dxa"/>
            <w:tcBorders/>
            <w:vAlign w:val="center"/>
          </w:tcPr>
          <w:p>
            <w:pPr>
              <w:pStyle w:val="TableContents"/>
              <w:bidi w:val="0"/>
              <w:spacing w:before="0" w:after="0"/>
              <w:ind w:left="0" w:right="0" w:hanging="0"/>
              <w:jc w:val="center"/>
              <w:rPr/>
            </w:pPr>
            <w:r>
              <w:rPr/>
              <w:t> </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46" w:type="dxa"/>
            <w:tcBorders/>
            <w:shd w:fill="CCEEFF" w:val="clear"/>
            <w:vAlign w:val="center"/>
          </w:tcPr>
          <w:p>
            <w:pPr>
              <w:pStyle w:val="TableContents"/>
              <w:bidi w:val="0"/>
              <w:spacing w:before="0" w:after="0"/>
              <w:ind w:left="0" w:right="0" w:hanging="0"/>
              <w:jc w:val="left"/>
              <w:rPr/>
            </w:pPr>
            <w:r>
              <w:rPr/>
              <w:t> </w:t>
            </w:r>
          </w:p>
        </w:tc>
        <w:tc>
          <w:tcPr>
            <w:tcW w:w="1117" w:type="dxa"/>
            <w:tcBorders/>
            <w:shd w:fill="CCEEFF" w:val="clear"/>
            <w:vAlign w:val="center"/>
          </w:tcPr>
          <w:p>
            <w:pPr>
              <w:pStyle w:val="TableContents"/>
              <w:bidi w:val="0"/>
              <w:spacing w:before="0" w:after="0"/>
              <w:ind w:left="0" w:right="0" w:hanging="0"/>
              <w:jc w:val="right"/>
              <w:rPr/>
            </w:pPr>
            <w:r>
              <w:rPr/>
              <w:t>  ​</w:t>
            </w:r>
          </w:p>
        </w:tc>
        <w:tc>
          <w:tcPr>
            <w:tcW w:w="706" w:type="dxa"/>
            <w:tcBorders/>
            <w:shd w:fill="CCEEFF" w:val="clear"/>
            <w:vAlign w:val="center"/>
          </w:tcPr>
          <w:p>
            <w:pPr>
              <w:pStyle w:val="TableContents"/>
              <w:bidi w:val="0"/>
              <w:spacing w:before="0" w:after="0"/>
              <w:ind w:left="0" w:right="0" w:hanging="0"/>
              <w:jc w:val="left"/>
              <w:rPr/>
            </w:pPr>
            <w:r>
              <w:rPr/>
              <w:t> </w:t>
            </w:r>
          </w:p>
        </w:tc>
        <w:tc>
          <w:tcPr>
            <w:tcW w:w="1117" w:type="dxa"/>
            <w:tcBorders/>
            <w:shd w:fill="CCEEFF" w:val="clear"/>
            <w:vAlign w:val="center"/>
          </w:tcPr>
          <w:p>
            <w:pPr>
              <w:pStyle w:val="TableContents"/>
              <w:bidi w:val="0"/>
              <w:spacing w:before="0" w:after="0"/>
              <w:ind w:left="0" w:right="0" w:hanging="0"/>
              <w:jc w:val="right"/>
              <w:rPr/>
            </w:pPr>
            <w:r>
              <w:rPr/>
              <w:t>  ​</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 subscriptions</w:t>
            </w:r>
          </w:p>
        </w:tc>
        <w:tc>
          <w:tcPr>
            <w:tcW w:w="346" w:type="dxa"/>
            <w:tcBorders/>
            <w:vAlign w:val="center"/>
          </w:tcPr>
          <w:p>
            <w:pPr>
              <w:pStyle w:val="TableContents"/>
              <w:bidi w:val="0"/>
              <w:spacing w:before="0" w:after="0"/>
              <w:ind w:left="0" w:right="0" w:hanging="0"/>
              <w:jc w:val="left"/>
              <w:rPr/>
            </w:pPr>
            <w:r>
              <w:rPr/>
              <w:t> </w:t>
            </w:r>
          </w:p>
        </w:tc>
        <w:tc>
          <w:tcPr>
            <w:tcW w:w="11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85.0</w:t>
            </w:r>
          </w:p>
        </w:tc>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85.1</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Services</w:t>
            </w:r>
          </w:p>
        </w:tc>
        <w:tc>
          <w:tcPr>
            <w:tcW w:w="346" w:type="dxa"/>
            <w:tcBorders/>
            <w:shd w:fill="CCEEFF" w:val="clear"/>
            <w:vAlign w:val="center"/>
          </w:tcPr>
          <w:p>
            <w:pPr>
              <w:pStyle w:val="TableContents"/>
              <w:bidi w:val="0"/>
              <w:spacing w:before="0" w:after="0"/>
              <w:ind w:left="0" w:right="0" w:hanging="0"/>
              <w:jc w:val="left"/>
              <w:rPr/>
            </w:pPr>
            <w:r>
              <w:rPr/>
              <w:t> </w:t>
            </w:r>
          </w:p>
        </w:tc>
        <w:tc>
          <w:tcPr>
            <w:tcW w:w="11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46" w:type="dxa"/>
            <w:tcBorders/>
            <w:vAlign w:val="center"/>
          </w:tcPr>
          <w:p>
            <w:pPr>
              <w:pStyle w:val="TableContents"/>
              <w:bidi w:val="0"/>
              <w:spacing w:before="0" w:after="0"/>
              <w:ind w:left="0" w:right="0" w:hanging="0"/>
              <w:jc w:val="left"/>
              <w:rPr/>
            </w:pPr>
            <w:r>
              <w:rPr/>
              <w:t> </w:t>
            </w:r>
          </w:p>
        </w:tc>
        <w:tc>
          <w:tcPr>
            <w:tcW w:w="11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w:t>
            </w:r>
          </w:p>
        </w:tc>
        <w:tc>
          <w:tcPr>
            <w:tcW w:w="346" w:type="dxa"/>
            <w:tcBorders/>
            <w:shd w:fill="CCEEFF" w:val="clear"/>
            <w:vAlign w:val="center"/>
          </w:tcPr>
          <w:p>
            <w:pPr>
              <w:pStyle w:val="TableContents"/>
              <w:bidi w:val="0"/>
              <w:spacing w:before="0" w:after="0"/>
              <w:ind w:left="0" w:right="0" w:hanging="0"/>
              <w:jc w:val="left"/>
              <w:rPr/>
            </w:pPr>
            <w:r>
              <w:rPr/>
              <w:t> </w:t>
            </w:r>
          </w:p>
        </w:tc>
        <w:tc>
          <w:tcPr>
            <w:tcW w:w="1117" w:type="dxa"/>
            <w:tcBorders/>
            <w:shd w:fill="CCEEFF" w:val="clear"/>
            <w:vAlign w:val="center"/>
          </w:tcPr>
          <w:p>
            <w:pPr>
              <w:pStyle w:val="TableContents"/>
              <w:bidi w:val="0"/>
              <w:spacing w:before="0" w:after="0"/>
              <w:ind w:left="0" w:right="0" w:hanging="0"/>
              <w:jc w:val="right"/>
              <w:rPr/>
            </w:pPr>
            <w:r>
              <w:rPr/>
              <w:t>  ​</w:t>
            </w:r>
          </w:p>
        </w:tc>
        <w:tc>
          <w:tcPr>
            <w:tcW w:w="706" w:type="dxa"/>
            <w:tcBorders/>
            <w:shd w:fill="CCEEFF" w:val="clear"/>
            <w:vAlign w:val="center"/>
          </w:tcPr>
          <w:p>
            <w:pPr>
              <w:pStyle w:val="TableContents"/>
              <w:bidi w:val="0"/>
              <w:spacing w:before="0" w:after="0"/>
              <w:ind w:left="0" w:right="0" w:hanging="0"/>
              <w:jc w:val="left"/>
              <w:rPr/>
            </w:pPr>
            <w:r>
              <w:rPr/>
              <w:t> </w:t>
            </w:r>
          </w:p>
        </w:tc>
        <w:tc>
          <w:tcPr>
            <w:tcW w:w="1117" w:type="dxa"/>
            <w:tcBorders/>
            <w:shd w:fill="CCEEFF" w:val="clear"/>
            <w:vAlign w:val="center"/>
          </w:tcPr>
          <w:p>
            <w:pPr>
              <w:pStyle w:val="TableContents"/>
              <w:bidi w:val="0"/>
              <w:spacing w:before="0" w:after="0"/>
              <w:ind w:left="0" w:right="0" w:hanging="0"/>
              <w:jc w:val="right"/>
              <w:rPr/>
            </w:pPr>
            <w:r>
              <w:rPr/>
              <w:t>  ​</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 subscriptions</w:t>
            </w:r>
          </w:p>
        </w:tc>
        <w:tc>
          <w:tcPr>
            <w:tcW w:w="346" w:type="dxa"/>
            <w:tcBorders/>
            <w:vAlign w:val="center"/>
          </w:tcPr>
          <w:p>
            <w:pPr>
              <w:pStyle w:val="TableContents"/>
              <w:bidi w:val="0"/>
              <w:spacing w:before="0" w:after="0"/>
              <w:ind w:left="0" w:right="0" w:hanging="0"/>
              <w:jc w:val="left"/>
              <w:rPr/>
            </w:pPr>
            <w:r>
              <w:rPr/>
              <w:t> </w:t>
            </w:r>
          </w:p>
        </w:tc>
        <w:tc>
          <w:tcPr>
            <w:tcW w:w="11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w:t>
            </w:r>
          </w:p>
        </w:tc>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Services</w:t>
            </w:r>
          </w:p>
        </w:tc>
        <w:tc>
          <w:tcPr>
            <w:tcW w:w="346" w:type="dxa"/>
            <w:tcBorders/>
            <w:shd w:fill="CCEEFF" w:val="clear"/>
            <w:vAlign w:val="center"/>
          </w:tcPr>
          <w:p>
            <w:pPr>
              <w:pStyle w:val="TableContents"/>
              <w:bidi w:val="0"/>
              <w:spacing w:before="0" w:after="0"/>
              <w:ind w:left="0" w:right="0" w:hanging="0"/>
              <w:jc w:val="left"/>
              <w:rPr/>
            </w:pPr>
            <w:r>
              <w:rPr/>
              <w:t> </w:t>
            </w:r>
          </w:p>
        </w:tc>
        <w:tc>
          <w:tcPr>
            <w:tcW w:w="11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 of revenues</w:t>
            </w:r>
          </w:p>
        </w:tc>
        <w:tc>
          <w:tcPr>
            <w:tcW w:w="346" w:type="dxa"/>
            <w:tcBorders/>
            <w:vAlign w:val="center"/>
          </w:tcPr>
          <w:p>
            <w:pPr>
              <w:pStyle w:val="TableContents"/>
              <w:bidi w:val="0"/>
              <w:spacing w:before="0" w:after="0"/>
              <w:ind w:left="0" w:right="0" w:hanging="0"/>
              <w:jc w:val="left"/>
              <w:rPr/>
            </w:pPr>
            <w:r>
              <w:rPr/>
              <w:t> </w:t>
            </w:r>
          </w:p>
        </w:tc>
        <w:tc>
          <w:tcPr>
            <w:tcW w:w="11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w:t>
            </w:r>
          </w:p>
        </w:tc>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pPr>
            <w:r>
              <w:rPr/>
              <w:t> </w:t>
            </w:r>
          </w:p>
        </w:tc>
        <w:tc>
          <w:tcPr>
            <w:tcW w:w="11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w:t>
            </w:r>
          </w:p>
        </w:tc>
        <w:tc>
          <w:tcPr>
            <w:tcW w:w="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vAlign w:val="center"/>
          </w:tcPr>
          <w:p>
            <w:pPr>
              <w:pStyle w:val="TableContents"/>
              <w:bidi w:val="0"/>
              <w:spacing w:before="0" w:after="0"/>
              <w:ind w:left="0" w:right="0" w:hanging="0"/>
              <w:jc w:val="left"/>
              <w:rPr/>
            </w:pPr>
            <w:r>
              <w:rPr/>
              <w:t> </w:t>
            </w:r>
          </w:p>
        </w:tc>
        <w:tc>
          <w:tcPr>
            <w:tcW w:w="1117" w:type="dxa"/>
            <w:tcBorders/>
            <w:vAlign w:val="center"/>
          </w:tcPr>
          <w:p>
            <w:pPr>
              <w:pStyle w:val="TableContents"/>
              <w:bidi w:val="0"/>
              <w:spacing w:before="0" w:after="0"/>
              <w:ind w:left="0" w:right="0" w:hanging="0"/>
              <w:jc w:val="right"/>
              <w:rPr/>
            </w:pPr>
            <w:r>
              <w:rPr/>
              <w:t>  ​</w:t>
            </w:r>
          </w:p>
        </w:tc>
        <w:tc>
          <w:tcPr>
            <w:tcW w:w="706" w:type="dxa"/>
            <w:tcBorders/>
            <w:vAlign w:val="center"/>
          </w:tcPr>
          <w:p>
            <w:pPr>
              <w:pStyle w:val="TableContents"/>
              <w:bidi w:val="0"/>
              <w:spacing w:before="0" w:after="0"/>
              <w:ind w:left="0" w:right="0" w:hanging="0"/>
              <w:jc w:val="left"/>
              <w:rPr/>
            </w:pPr>
            <w:r>
              <w:rPr/>
              <w:t> </w:t>
            </w:r>
          </w:p>
        </w:tc>
        <w:tc>
          <w:tcPr>
            <w:tcW w:w="1117" w:type="dxa"/>
            <w:tcBorders/>
            <w:vAlign w:val="center"/>
          </w:tcPr>
          <w:p>
            <w:pPr>
              <w:pStyle w:val="TableContents"/>
              <w:bidi w:val="0"/>
              <w:spacing w:before="0" w:after="0"/>
              <w:ind w:left="0" w:right="0" w:hanging="0"/>
              <w:jc w:val="right"/>
              <w:rPr/>
            </w:pPr>
            <w:r>
              <w:rPr/>
              <w:t>  ​</w:t>
            </w:r>
          </w:p>
        </w:tc>
        <w:tc>
          <w:tcPr>
            <w:tcW w:w="406" w:type="dxa"/>
            <w:tcBorders/>
            <w:vAlign w:val="center"/>
          </w:tcPr>
          <w:p>
            <w:pPr>
              <w:pStyle w:val="TableContents"/>
              <w:bidi w:val="0"/>
              <w:spacing w:before="0" w:after="0"/>
              <w:ind w:left="0" w:right="0" w:hanging="0"/>
              <w:jc w:val="left"/>
              <w:rPr/>
            </w:pPr>
            <w:r>
              <w:rPr/>
              <w:t>​</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0"/>
              <w:ind w:left="0" w:right="0" w:hanging="0"/>
              <w:jc w:val="left"/>
              <w:rPr/>
            </w:pPr>
            <w:r>
              <w:rPr/>
              <w:t> </w:t>
            </w:r>
          </w:p>
        </w:tc>
        <w:tc>
          <w:tcPr>
            <w:tcW w:w="11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w:t>
            </w:r>
          </w:p>
        </w:tc>
        <w:tc>
          <w:tcPr>
            <w:tcW w:w="346" w:type="dxa"/>
            <w:tcBorders/>
            <w:vAlign w:val="center"/>
          </w:tcPr>
          <w:p>
            <w:pPr>
              <w:pStyle w:val="TableContents"/>
              <w:bidi w:val="0"/>
              <w:spacing w:before="0" w:after="0"/>
              <w:ind w:left="0" w:right="0" w:hanging="0"/>
              <w:jc w:val="left"/>
              <w:rPr/>
            </w:pPr>
            <w:r>
              <w:rPr/>
              <w:t> </w:t>
            </w:r>
          </w:p>
        </w:tc>
        <w:tc>
          <w:tcPr>
            <w:tcW w:w="11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w:t>
            </w:r>
          </w:p>
        </w:tc>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0"/>
              <w:ind w:left="0" w:right="0" w:hanging="0"/>
              <w:jc w:val="left"/>
              <w:rPr/>
            </w:pPr>
            <w:r>
              <w:rPr/>
              <w:t> </w:t>
            </w:r>
          </w:p>
        </w:tc>
        <w:tc>
          <w:tcPr>
            <w:tcW w:w="11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w:t>
            </w:r>
          </w:p>
        </w:tc>
        <w:tc>
          <w:tcPr>
            <w:tcW w:w="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0"/>
              <w:ind w:left="0" w:right="0" w:hanging="0"/>
              <w:jc w:val="left"/>
              <w:rPr/>
            </w:pPr>
            <w:r>
              <w:rPr/>
              <w:t> </w:t>
            </w:r>
          </w:p>
        </w:tc>
        <w:tc>
          <w:tcPr>
            <w:tcW w:w="11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acquisition contingent earn-outs</w:t>
            </w:r>
          </w:p>
        </w:tc>
        <w:tc>
          <w:tcPr>
            <w:tcW w:w="346" w:type="dxa"/>
            <w:tcBorders/>
            <w:shd w:fill="CCEEFF" w:val="clear"/>
            <w:vAlign w:val="center"/>
          </w:tcPr>
          <w:p>
            <w:pPr>
              <w:pStyle w:val="TableContents"/>
              <w:bidi w:val="0"/>
              <w:spacing w:before="0" w:after="0"/>
              <w:ind w:left="0" w:right="0" w:hanging="0"/>
              <w:jc w:val="left"/>
              <w:rPr/>
            </w:pPr>
            <w:r>
              <w:rPr/>
              <w:t>​</w:t>
            </w:r>
          </w:p>
        </w:tc>
        <w:tc>
          <w:tcPr>
            <w:tcW w:w="11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operating expense, net</w:t>
            </w:r>
          </w:p>
        </w:tc>
        <w:tc>
          <w:tcPr>
            <w:tcW w:w="346" w:type="dxa"/>
            <w:tcBorders/>
            <w:vAlign w:val="center"/>
          </w:tcPr>
          <w:p>
            <w:pPr>
              <w:pStyle w:val="TableContents"/>
              <w:bidi w:val="0"/>
              <w:spacing w:before="0" w:after="0"/>
              <w:ind w:left="0" w:right="0" w:hanging="0"/>
              <w:jc w:val="left"/>
              <w:rPr/>
            </w:pPr>
            <w:r>
              <w:rPr/>
              <w:t> </w:t>
            </w:r>
          </w:p>
        </w:tc>
        <w:tc>
          <w:tcPr>
            <w:tcW w:w="11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11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w:t>
            </w:r>
          </w:p>
        </w:tc>
        <w:tc>
          <w:tcPr>
            <w:tcW w:w="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from operations</w:t>
            </w:r>
          </w:p>
        </w:tc>
        <w:tc>
          <w:tcPr>
            <w:tcW w:w="346" w:type="dxa"/>
            <w:tcBorders/>
            <w:vAlign w:val="center"/>
          </w:tcPr>
          <w:p>
            <w:pPr>
              <w:pStyle w:val="TableContents"/>
              <w:bidi w:val="0"/>
              <w:spacing w:before="0" w:after="0"/>
              <w:ind w:left="0" w:right="0" w:hanging="0"/>
              <w:jc w:val="left"/>
              <w:rPr/>
            </w:pPr>
            <w:r>
              <w:rPr/>
              <w:t> </w:t>
            </w:r>
          </w:p>
        </w:tc>
        <w:tc>
          <w:tcPr>
            <w:tcW w:w="11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net</w:t>
            </w:r>
          </w:p>
        </w:tc>
        <w:tc>
          <w:tcPr>
            <w:tcW w:w="346" w:type="dxa"/>
            <w:tcBorders/>
            <w:shd w:fill="CCEEFF" w:val="clear"/>
            <w:vAlign w:val="center"/>
          </w:tcPr>
          <w:p>
            <w:pPr>
              <w:pStyle w:val="TableContents"/>
              <w:bidi w:val="0"/>
              <w:spacing w:before="0" w:after="0"/>
              <w:ind w:left="0" w:right="0" w:hanging="0"/>
              <w:jc w:val="left"/>
              <w:rPr/>
            </w:pPr>
            <w:r>
              <w:rPr/>
              <w:t> </w:t>
            </w:r>
          </w:p>
        </w:tc>
        <w:tc>
          <w:tcPr>
            <w:tcW w:w="11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before income taxes</w:t>
            </w:r>
          </w:p>
        </w:tc>
        <w:tc>
          <w:tcPr>
            <w:tcW w:w="346" w:type="dxa"/>
            <w:tcBorders/>
            <w:vAlign w:val="center"/>
          </w:tcPr>
          <w:p>
            <w:pPr>
              <w:pStyle w:val="TableContents"/>
              <w:bidi w:val="0"/>
              <w:spacing w:before="0" w:after="0"/>
              <w:ind w:left="0" w:right="0" w:hanging="0"/>
              <w:jc w:val="left"/>
              <w:rPr/>
            </w:pPr>
            <w:r>
              <w:rPr/>
              <w:t> </w:t>
            </w:r>
          </w:p>
        </w:tc>
        <w:tc>
          <w:tcPr>
            <w:tcW w:w="11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w:t>
            </w:r>
          </w:p>
        </w:tc>
        <w:tc>
          <w:tcPr>
            <w:tcW w:w="346" w:type="dxa"/>
            <w:tcBorders/>
            <w:shd w:fill="CCEEFF" w:val="clear"/>
            <w:vAlign w:val="center"/>
          </w:tcPr>
          <w:p>
            <w:pPr>
              <w:pStyle w:val="TableContents"/>
              <w:bidi w:val="0"/>
              <w:spacing w:before="0" w:after="0"/>
              <w:ind w:left="0" w:right="0" w:hanging="0"/>
              <w:jc w:val="left"/>
              <w:rPr/>
            </w:pPr>
            <w:r>
              <w:rPr/>
              <w:t> </w:t>
            </w:r>
          </w:p>
        </w:tc>
        <w:tc>
          <w:tcPr>
            <w:tcW w:w="11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vAlign w:val="center"/>
          </w:tcPr>
          <w:p>
            <w:pPr>
              <w:pStyle w:val="TableContents"/>
              <w:bidi w:val="0"/>
              <w:spacing w:before="0" w:after="0"/>
              <w:ind w:left="0" w:right="0" w:hanging="0"/>
              <w:jc w:val="left"/>
              <w:rPr/>
            </w:pPr>
            <w:r>
              <w:rPr/>
              <w:t> </w:t>
            </w:r>
          </w:p>
        </w:tc>
        <w:tc>
          <w:tcPr>
            <w:tcW w:w="11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1117" w:type="dxa"/>
            <w:tcBorders/>
            <w:shd w:fill="CCEEFF" w:val="clear"/>
            <w:vAlign w:val="center"/>
          </w:tcPr>
          <w:p>
            <w:pPr>
              <w:pStyle w:val="TableContents"/>
              <w:bidi w:val="0"/>
              <w:spacing w:before="0" w:after="0"/>
              <w:ind w:left="0" w:right="0" w:hanging="0"/>
              <w:jc w:val="right"/>
              <w:rPr/>
            </w:pPr>
            <w:r>
              <w:rPr/>
              <w:t>​</w:t>
            </w:r>
          </w:p>
        </w:tc>
        <w:tc>
          <w:tcPr>
            <w:tcW w:w="706" w:type="dxa"/>
            <w:tcBorders/>
            <w:shd w:fill="CCEEFF" w:val="clear"/>
            <w:vAlign w:val="center"/>
          </w:tcPr>
          <w:p>
            <w:pPr>
              <w:pStyle w:val="TableContents"/>
              <w:bidi w:val="0"/>
              <w:spacing w:before="0" w:after="0"/>
              <w:ind w:left="0" w:right="0" w:hanging="0"/>
              <w:jc w:val="left"/>
              <w:rPr/>
            </w:pPr>
            <w:r>
              <w:rPr/>
              <w:t>​</w:t>
            </w:r>
          </w:p>
        </w:tc>
        <w:tc>
          <w:tcPr>
            <w:tcW w:w="1117"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 net of tax</w:t>
            </w:r>
          </w:p>
        </w:tc>
        <w:tc>
          <w:tcPr>
            <w:tcW w:w="346" w:type="dxa"/>
            <w:tcBorders/>
            <w:vAlign w:val="center"/>
          </w:tcPr>
          <w:p>
            <w:pPr>
              <w:pStyle w:val="TableContents"/>
              <w:bidi w:val="0"/>
              <w:spacing w:before="0" w:after="0"/>
              <w:ind w:left="0" w:right="0" w:hanging="0"/>
              <w:jc w:val="left"/>
              <w:rPr/>
            </w:pPr>
            <w:r>
              <w:rPr/>
              <w:t>​</w:t>
            </w:r>
          </w:p>
        </w:tc>
        <w:tc>
          <w:tcPr>
            <w:tcW w:w="11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 on investments, net of tax</w:t>
            </w:r>
          </w:p>
        </w:tc>
        <w:tc>
          <w:tcPr>
            <w:tcW w:w="346" w:type="dxa"/>
            <w:tcBorders/>
            <w:shd w:fill="CCEEFF" w:val="clear"/>
            <w:vAlign w:val="center"/>
          </w:tcPr>
          <w:p>
            <w:pPr>
              <w:pStyle w:val="TableContents"/>
              <w:bidi w:val="0"/>
              <w:spacing w:before="0" w:after="0"/>
              <w:ind w:left="0" w:right="0" w:hanging="0"/>
              <w:jc w:val="left"/>
              <w:rPr/>
            </w:pPr>
            <w:r>
              <w:rPr/>
              <w:t>​</w:t>
            </w:r>
          </w:p>
        </w:tc>
        <w:tc>
          <w:tcPr>
            <w:tcW w:w="11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comprehensive income (loss), net of tax</w:t>
            </w:r>
          </w:p>
        </w:tc>
        <w:tc>
          <w:tcPr>
            <w:tcW w:w="346" w:type="dxa"/>
            <w:tcBorders/>
            <w:vAlign w:val="center"/>
          </w:tcPr>
          <w:p>
            <w:pPr>
              <w:pStyle w:val="TableContents"/>
              <w:bidi w:val="0"/>
              <w:spacing w:before="0" w:after="0"/>
              <w:ind w:left="0" w:right="0" w:hanging="0"/>
              <w:jc w:val="left"/>
              <w:rPr/>
            </w:pPr>
            <w:r>
              <w:rPr/>
              <w:t> </w:t>
            </w:r>
          </w:p>
        </w:tc>
        <w:tc>
          <w:tcPr>
            <w:tcW w:w="11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comprehensive income (loss)</w:t>
            </w:r>
          </w:p>
        </w:tc>
        <w:tc>
          <w:tcPr>
            <w:tcW w:w="346" w:type="dxa"/>
            <w:tcBorders/>
            <w:shd w:fill="CCEEFF" w:val="clear"/>
            <w:vAlign w:val="center"/>
          </w:tcPr>
          <w:p>
            <w:pPr>
              <w:pStyle w:val="TableContents"/>
              <w:bidi w:val="0"/>
              <w:spacing w:before="0" w:after="0"/>
              <w:ind w:left="0" w:right="0" w:hanging="0"/>
              <w:jc w:val="left"/>
              <w:rPr/>
            </w:pPr>
            <w:r>
              <w:rPr/>
              <w:t> </w:t>
            </w:r>
          </w:p>
        </w:tc>
        <w:tc>
          <w:tcPr>
            <w:tcW w:w="11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 xml:space="preserve">Three Months Ended March 31, 2026 Compared to Three Months Ended March 31, 2025 </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Revenues</w:t>
      </w:r>
    </w:p>
    <w:tbl>
      <w:tblPr>
        <w:tblW w:w="7450" w:type="dxa"/>
        <w:jc w:val="left"/>
        <w:tblInd w:w="0" w:type="dxa"/>
        <w:tblLayout w:type="fixed"/>
        <w:tblCellMar>
          <w:top w:w="0" w:type="dxa"/>
          <w:left w:w="0" w:type="dxa"/>
          <w:bottom w:w="0" w:type="dxa"/>
          <w:right w:w="0" w:type="dxa"/>
        </w:tblCellMar>
      </w:tblPr>
      <w:tblGrid>
        <w:gridCol w:w="1951"/>
        <w:gridCol w:w="346"/>
        <w:gridCol w:w="211"/>
        <w:gridCol w:w="781"/>
        <w:gridCol w:w="346"/>
        <w:gridCol w:w="211"/>
        <w:gridCol w:w="781"/>
        <w:gridCol w:w="346"/>
        <w:gridCol w:w="304"/>
        <w:gridCol w:w="974"/>
        <w:gridCol w:w="210"/>
        <w:gridCol w:w="673"/>
        <w:gridCol w:w="316"/>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238885" cy="175260"/>
                      <wp:effectExtent l="0" t="0" r="0" b="0"/>
                      <wp:wrapNone/>
                      <wp:docPr id="365" name="Frame365"/>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19710" cy="175260"/>
                      <wp:effectExtent l="0" t="0" r="0" b="0"/>
                      <wp:wrapNone/>
                      <wp:docPr id="366" name="Frame3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133985" cy="175260"/>
                      <wp:effectExtent l="0" t="0" r="0" b="0"/>
                      <wp:wrapNone/>
                      <wp:docPr id="367" name="Frame3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495935" cy="175260"/>
                      <wp:effectExtent l="0" t="0" r="0" b="0"/>
                      <wp:wrapNone/>
                      <wp:docPr id="368" name="Frame36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19710" cy="175260"/>
                      <wp:effectExtent l="0" t="0" r="0" b="0"/>
                      <wp:wrapNone/>
                      <wp:docPr id="369" name="Frame3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133985" cy="175260"/>
                      <wp:effectExtent l="0" t="0" r="0" b="0"/>
                      <wp:wrapNone/>
                      <wp:docPr id="370" name="Frame3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495935" cy="175260"/>
                      <wp:effectExtent l="0" t="0" r="0" b="0"/>
                      <wp:wrapNone/>
                      <wp:docPr id="371" name="Frame37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19710" cy="175260"/>
                      <wp:effectExtent l="0" t="0" r="0" b="0"/>
                      <wp:wrapNone/>
                      <wp:docPr id="372" name="Frame3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193040" cy="175260"/>
                      <wp:effectExtent l="0" t="0" r="0" b="0"/>
                      <wp:wrapNone/>
                      <wp:docPr id="373" name="Frame373"/>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618490" cy="175260"/>
                      <wp:effectExtent l="0" t="0" r="0" b="0"/>
                      <wp:wrapNone/>
                      <wp:docPr id="374" name="Frame374"/>
                      <a:graphic xmlns:a="http://schemas.openxmlformats.org/drawingml/2006/main">
                        <a:graphicData uri="http://schemas.microsoft.com/office/word/2010/wordprocessingShape">
                          <wps:wsp>
                            <wps:cNvSpPr txBox="1"/>
                            <wps:spPr>
                              <a:xfrm>
                                <a:off x="0" y="0"/>
                                <a:ext cx="618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133350" cy="175260"/>
                      <wp:effectExtent l="0" t="0" r="0" b="0"/>
                      <wp:wrapNone/>
                      <wp:docPr id="375" name="Frame375"/>
                      <a:graphic xmlns:a="http://schemas.openxmlformats.org/drawingml/2006/main">
                        <a:graphicData uri="http://schemas.microsoft.com/office/word/2010/wordprocessingShape">
                          <wps:wsp>
                            <wps:cNvSpPr txBox="1"/>
                            <wps:spPr>
                              <a:xfrm>
                                <a:off x="0" y="0"/>
                                <a:ext cx="133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427355" cy="175260"/>
                      <wp:effectExtent l="0" t="0" r="0" b="0"/>
                      <wp:wrapNone/>
                      <wp:docPr id="376" name="Frame376"/>
                      <a:graphic xmlns:a="http://schemas.openxmlformats.org/drawingml/2006/main">
                        <a:graphicData uri="http://schemas.microsoft.com/office/word/2010/wordprocessingShape">
                          <wps:wsp>
                            <wps:cNvSpPr txBox="1"/>
                            <wps:spPr>
                              <a:xfrm>
                                <a:off x="0" y="0"/>
                                <a:ext cx="427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00660" cy="175260"/>
                      <wp:effectExtent l="0" t="0" r="0" b="0"/>
                      <wp:wrapNone/>
                      <wp:docPr id="377" name="Frame37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4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center"/>
              <w:rPr/>
            </w:pPr>
            <w:r>
              <w:rPr/>
              <w:t>​</w:t>
            </w:r>
          </w:p>
        </w:tc>
        <w:tc>
          <w:tcPr>
            <w:tcW w:w="210" w:type="dxa"/>
            <w:tcBorders/>
            <w:vAlign w:val="center"/>
          </w:tcPr>
          <w:p>
            <w:pPr>
              <w:pStyle w:val="TableContents"/>
              <w:bidi w:val="0"/>
              <w:spacing w:before="0" w:after="0"/>
              <w:ind w:left="0" w:right="0" w:hanging="0"/>
              <w:jc w:val="left"/>
              <w:rPr/>
            </w:pPr>
            <w:r>
              <w:rPr/>
              <w:t>​</w:t>
            </w:r>
          </w:p>
        </w:tc>
        <w:tc>
          <w:tcPr>
            <w:tcW w:w="673"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center"/>
              <w:rPr/>
            </w:pPr>
            <w:r>
              <w:rPr/>
              <w:t>​</w:t>
            </w:r>
          </w:p>
        </w:tc>
        <w:tc>
          <w:tcPr>
            <w:tcW w:w="210" w:type="dxa"/>
            <w:tcBorders/>
            <w:vAlign w:val="center"/>
          </w:tcPr>
          <w:p>
            <w:pPr>
              <w:pStyle w:val="TableContents"/>
              <w:bidi w:val="0"/>
              <w:spacing w:before="0" w:after="0"/>
              <w:ind w:left="0" w:right="0" w:hanging="0"/>
              <w:jc w:val="left"/>
              <w:rPr/>
            </w:pPr>
            <w:r>
              <w:rPr/>
              <w:t>​</w:t>
            </w:r>
          </w:p>
        </w:tc>
        <w:tc>
          <w:tcPr>
            <w:tcW w:w="673"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216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vAlign w:val="center"/>
          </w:tcPr>
          <w:p>
            <w:pPr>
              <w:pStyle w:val="TableContents"/>
              <w:bidi w:val="0"/>
              <w:spacing w:before="0" w:after="0"/>
              <w:ind w:left="0" w:right="0" w:hanging="0"/>
              <w:jc w:val="center"/>
              <w:rPr/>
            </w:pPr>
            <w:r>
              <w:rPr/>
              <w:t>​</w:t>
            </w:r>
          </w:p>
        </w:tc>
      </w:tr>
      <w:tr>
        <w:trPr/>
        <w:tc>
          <w:tcPr>
            <w:tcW w:w="19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304"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pPr>
            <w:r>
              <w:rPr/>
              <w:t>  ​</w:t>
            </w:r>
          </w:p>
        </w:tc>
        <w:tc>
          <w:tcPr>
            <w:tcW w:w="210" w:type="dxa"/>
            <w:tcBorders/>
            <w:shd w:fill="CCEEFF" w:val="clear"/>
            <w:vAlign w:val="center"/>
          </w:tcPr>
          <w:p>
            <w:pPr>
              <w:pStyle w:val="TableContents"/>
              <w:bidi w:val="0"/>
              <w:spacing w:before="0" w:after="0"/>
              <w:ind w:left="0" w:right="0" w:hanging="0"/>
              <w:jc w:val="left"/>
              <w:rPr/>
            </w:pPr>
            <w:r>
              <w:rPr/>
              <w:t> </w:t>
            </w:r>
          </w:p>
        </w:tc>
        <w:tc>
          <w:tcPr>
            <w:tcW w:w="673"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 subscriptions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167,146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150,761</w:t>
            </w:r>
          </w:p>
        </w:tc>
        <w:tc>
          <w:tcPr>
            <w:tcW w:w="34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16,385</w:t>
            </w:r>
          </w:p>
        </w:tc>
        <w:tc>
          <w:tcPr>
            <w:tcW w:w="210" w:type="dxa"/>
            <w:tcBorders/>
            <w:vAlign w:val="center"/>
          </w:tcPr>
          <w:p>
            <w:pPr>
              <w:pStyle w:val="TableContents"/>
              <w:bidi w:val="0"/>
              <w:spacing w:before="0" w:after="0"/>
              <w:ind w:left="0" w:right="0" w:hanging="0"/>
              <w:jc w:val="left"/>
              <w:rPr/>
            </w:pPr>
            <w:r>
              <w:rPr/>
              <w:t> </w:t>
            </w:r>
          </w:p>
        </w:tc>
        <w:tc>
          <w:tcPr>
            <w:tcW w:w="6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26,301</w:t>
            </w:r>
          </w:p>
        </w:tc>
        <w:tc>
          <w:tcPr>
            <w:tcW w:w="346" w:type="dxa"/>
            <w:tcBorders/>
            <w:shd w:fill="CCEEFF" w:val="clear"/>
            <w:vAlign w:val="center"/>
          </w:tcPr>
          <w:p>
            <w:pPr>
              <w:pStyle w:val="TableContents"/>
              <w:bidi w:val="0"/>
              <w:spacing w:before="0" w:after="0"/>
              <w:ind w:left="0" w:right="0" w:hanging="0"/>
              <w:jc w:val="left"/>
              <w:rPr/>
            </w:pPr>
            <w:r>
              <w:rPr/>
              <w:t>​</w:t>
            </w:r>
          </w:p>
        </w:tc>
        <w:tc>
          <w:tcPr>
            <w:tcW w:w="3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3,199</w:t>
            </w:r>
          </w:p>
        </w:tc>
        <w:tc>
          <w:tcPr>
            <w:tcW w:w="210" w:type="dxa"/>
            <w:tcBorders/>
            <w:shd w:fill="CCEEFF" w:val="clear"/>
            <w:vAlign w:val="center"/>
          </w:tcPr>
          <w:p>
            <w:pPr>
              <w:pStyle w:val="TableContents"/>
              <w:bidi w:val="0"/>
              <w:spacing w:before="0" w:after="0"/>
              <w:ind w:left="0" w:right="0" w:hanging="0"/>
              <w:jc w:val="left"/>
              <w:rPr/>
            </w:pPr>
            <w:r>
              <w:rPr/>
              <w:t> </w:t>
            </w:r>
          </w:p>
        </w:tc>
        <w:tc>
          <w:tcPr>
            <w:tcW w:w="6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196,646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177,062</w:t>
            </w:r>
          </w:p>
        </w:tc>
        <w:tc>
          <w:tcPr>
            <w:tcW w:w="346" w:type="dxa"/>
            <w:tcBorders/>
            <w:vAlign w:val="center"/>
          </w:tcPr>
          <w:p>
            <w:pPr>
              <w:pStyle w:val="TableContents"/>
              <w:bidi w:val="0"/>
              <w:spacing w:before="0" w:after="0"/>
              <w:ind w:left="0" w:right="0" w:hanging="0"/>
              <w:jc w:val="left"/>
              <w:rPr/>
            </w:pPr>
            <w:r>
              <w:rPr/>
              <w:t>​</w:t>
            </w:r>
          </w:p>
        </w:tc>
        <w:tc>
          <w:tcPr>
            <w:tcW w:w="3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19,584</w:t>
            </w:r>
          </w:p>
        </w:tc>
        <w:tc>
          <w:tcPr>
            <w:tcW w:w="210" w:type="dxa"/>
            <w:tcBorders/>
            <w:vAlign w:val="center"/>
          </w:tcPr>
          <w:p>
            <w:pPr>
              <w:pStyle w:val="TableContents"/>
              <w:bidi w:val="0"/>
              <w:spacing w:before="0" w:after="0"/>
              <w:ind w:left="0" w:right="0" w:hanging="0"/>
              <w:jc w:val="left"/>
              <w:rPr/>
            </w:pPr>
            <w:r>
              <w:rPr/>
              <w:t>​</w:t>
            </w:r>
          </w:p>
        </w:tc>
        <w:tc>
          <w:tcPr>
            <w:tcW w:w="6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bookmarkStart w:id="1623" w:name="_Hlk79409928"/>
      <w:bookmarkEnd w:id="1623"/>
      <w:r>
        <w:rPr>
          <w:rFonts w:ascii="Times New Roman;Times;serif" w:hAnsi="Times New Roman;Times;serif"/>
          <w:sz w:val="20"/>
        </w:rPr>
        <w:t>Revenues increased $19.6 million, or 11.1%, to $196.6 million for the three months ended March 31, 2026 compared to $177.1 million for the same period in 2025. The increase in software subscriptions revenues of $16.4 million, or 10.9%, was primarily driven by increases from our existing customers through cross-selling new products, and to a lesser extent, increases due to expanded use and price increases. Software subscriptions revenues derived from new customers averaged 6.0% and 8.1% of total software subscriptions revenues in the three months ended March 31, 2026 and 2025, respectively.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$3.2 million increase in services revenues was primarily driven by a $1.5 million increase in recurring services revenues due to returns processing volume increases related to customer business growth and regulatory changes as customers expanded their tax filings into more jurisdictions, as well as an increase in interest received from our funds held for customers. Additionally, our managed services offering experienced a $1.7 million increase in service revenues associated with the growth in subscription revenues, which includes new customers implementing our solutions and existing customers upgrading to newer versions of our solutions. </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b/>
          <w:sz w:val="20"/>
        </w:rPr>
      </w:pPr>
      <w:r>
        <w:rPr>
          <w:rFonts w:ascii="Times New Roman;Times;serif" w:hAnsi="Times New Roman;Times;serif"/>
          <w:b/>
          <w:sz w:val="20"/>
        </w:rPr>
        <w:t xml:space="preserve">Cost of Software Subscriptions Revenues </w:t>
      </w:r>
    </w:p>
    <w:tbl>
      <w:tblPr>
        <w:tblW w:w="8629" w:type="dxa"/>
        <w:jc w:val="left"/>
        <w:tblInd w:w="0" w:type="dxa"/>
        <w:tblLayout w:type="fixed"/>
        <w:tblCellMar>
          <w:top w:w="0" w:type="dxa"/>
          <w:left w:w="0" w:type="dxa"/>
          <w:bottom w:w="0" w:type="dxa"/>
          <w:right w:w="0" w:type="dxa"/>
        </w:tblCellMar>
      </w:tblPr>
      <w:tblGrid>
        <w:gridCol w:w="3316"/>
        <w:gridCol w:w="346"/>
        <w:gridCol w:w="213"/>
        <w:gridCol w:w="684"/>
        <w:gridCol w:w="350"/>
        <w:gridCol w:w="213"/>
        <w:gridCol w:w="684"/>
        <w:gridCol w:w="346"/>
        <w:gridCol w:w="327"/>
        <w:gridCol w:w="885"/>
        <w:gridCol w:w="226"/>
        <w:gridCol w:w="723"/>
        <w:gridCol w:w="316"/>
      </w:tblGrid>
      <w:tr>
        <w:trPr/>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105660" cy="175260"/>
                      <wp:effectExtent l="0" t="0" r="0" b="0"/>
                      <wp:wrapNone/>
                      <wp:docPr id="378" name="Frame378"/>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19710" cy="175260"/>
                      <wp:effectExtent l="0" t="0" r="0" b="0"/>
                      <wp:wrapNone/>
                      <wp:docPr id="379" name="Frame3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135255" cy="175260"/>
                      <wp:effectExtent l="0" t="0" r="0" b="0"/>
                      <wp:wrapNone/>
                      <wp:docPr id="380" name="Frame380"/>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434340" cy="175260"/>
                      <wp:effectExtent l="0" t="0" r="0" b="0"/>
                      <wp:wrapNone/>
                      <wp:docPr id="381" name="Frame381"/>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22250" cy="175260"/>
                      <wp:effectExtent l="0" t="0" r="0" b="0"/>
                      <wp:wrapNone/>
                      <wp:docPr id="382" name="Frame382"/>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135255" cy="175260"/>
                      <wp:effectExtent l="0" t="0" r="0" b="0"/>
                      <wp:wrapNone/>
                      <wp:docPr id="383" name="Frame383"/>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434340" cy="175260"/>
                      <wp:effectExtent l="0" t="0" r="0" b="0"/>
                      <wp:wrapNone/>
                      <wp:docPr id="384" name="Frame384"/>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19710" cy="175260"/>
                      <wp:effectExtent l="0" t="0" r="0" b="0"/>
                      <wp:wrapNone/>
                      <wp:docPr id="385" name="Frame3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07645" cy="175260"/>
                      <wp:effectExtent l="0" t="0" r="0" b="0"/>
                      <wp:wrapNone/>
                      <wp:docPr id="386" name="Frame386"/>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561975" cy="175260"/>
                      <wp:effectExtent l="0" t="0" r="0" b="0"/>
                      <wp:wrapNone/>
                      <wp:docPr id="387" name="Frame387"/>
                      <a:graphic xmlns:a="http://schemas.openxmlformats.org/drawingml/2006/main">
                        <a:graphicData uri="http://schemas.microsoft.com/office/word/2010/wordprocessingShape">
                          <wps:wsp>
                            <wps:cNvSpPr txBox="1"/>
                            <wps:spPr>
                              <a:xfrm>
                                <a:off x="0" y="0"/>
                                <a:ext cx="561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143510" cy="175260"/>
                      <wp:effectExtent l="0" t="0" r="0" b="0"/>
                      <wp:wrapNone/>
                      <wp:docPr id="388" name="Frame38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459105" cy="175260"/>
                      <wp:effectExtent l="0" t="0" r="0" b="0"/>
                      <wp:wrapNone/>
                      <wp:docPr id="389" name="Frame389"/>
                      <a:graphic xmlns:a="http://schemas.openxmlformats.org/drawingml/2006/main">
                        <a:graphicData uri="http://schemas.microsoft.com/office/word/2010/wordprocessingShape">
                          <wps:wsp>
                            <wps:cNvSpPr txBox="1"/>
                            <wps:spPr>
                              <a:xfrm>
                                <a:off x="0" y="0"/>
                                <a:ext cx="459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00660" cy="175260"/>
                      <wp:effectExtent l="0" t="0" r="0" b="0"/>
                      <wp:wrapNone/>
                      <wp:docPr id="390" name="Frame39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4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4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3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46" w:type="dxa"/>
            <w:tcBorders/>
            <w:vAlign w:val="center"/>
          </w:tcPr>
          <w:p>
            <w:pPr>
              <w:pStyle w:val="TableContents"/>
              <w:bidi w:val="0"/>
              <w:spacing w:before="0" w:after="0"/>
              <w:ind w:left="0" w:right="0" w:hanging="0"/>
              <w:jc w:val="left"/>
              <w:rPr/>
            </w:pPr>
            <w:r>
              <w:rPr/>
              <w:t>  ​ ​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50" w:type="dxa"/>
            <w:tcBorders/>
            <w:vAlign w:val="center"/>
          </w:tcPr>
          <w:p>
            <w:pPr>
              <w:pStyle w:val="TableContents"/>
              <w:bidi w:val="0"/>
              <w:spacing w:before="0" w:after="0"/>
              <w:ind w:left="0" w:right="0" w:hanging="0"/>
              <w:jc w:val="left"/>
              <w:rPr/>
            </w:pPr>
            <w:r>
              <w:rPr/>
              <w:t>  ​ ​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216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vAlign w:val="center"/>
          </w:tcPr>
          <w:p>
            <w:pPr>
              <w:pStyle w:val="TableContents"/>
              <w:bidi w:val="0"/>
              <w:spacing w:before="0" w:after="0"/>
              <w:ind w:left="0" w:right="0" w:hanging="0"/>
              <w:jc w:val="center"/>
              <w:rPr/>
            </w:pPr>
            <w:r>
              <w:rPr/>
              <w:t>​</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software subscriptions 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51,176</w:t>
            </w:r>
          </w:p>
        </w:tc>
        <w:tc>
          <w:tcPr>
            <w:tcW w:w="350"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44,245</w:t>
            </w:r>
          </w:p>
        </w:tc>
        <w:tc>
          <w:tcPr>
            <w:tcW w:w="34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6,931</w:t>
            </w:r>
          </w:p>
        </w:tc>
        <w:tc>
          <w:tcPr>
            <w:tcW w:w="226" w:type="dxa"/>
            <w:tcBorders/>
            <w:shd w:fill="CCEEFF" w:val="clear"/>
            <w:vAlign w:val="center"/>
          </w:tcPr>
          <w:p>
            <w:pPr>
              <w:pStyle w:val="TableContents"/>
              <w:bidi w:val="0"/>
              <w:spacing w:before="0" w:after="0"/>
              <w:ind w:left="0" w:right="0" w:hanging="0"/>
              <w:jc w:val="left"/>
              <w:rPr/>
            </w:pPr>
            <w:r>
              <w:rPr/>
              <w:t> </w:t>
            </w:r>
          </w:p>
        </w:tc>
        <w:tc>
          <w:tcPr>
            <w:tcW w:w="7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Cost of software subscriptions revenues increased $6.9 million, or 15.7%, to $51.2 million for the three months ended March 31, 2026 compared to $44.2 million for the same period in 2025. The increase was primarily driven by a $4.2 million increase in depreciation and amortization of capitalized software and acquired intangible assets associated with our ongoing investments in internal-use software for cloud-based subscription solutions, software developed for sale for new products and enhancements to existing products, and costs associated with the increased amortization of acquired intangible assets. Additionally, there was a $2.7 million increase in costs of personnel supporting period-over-period growth of sales and customers, ongoing infrastructure investments and support costs to enable the continued expansion of customer transaction volumes for our cloud-based subscription customers.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 xml:space="preserve">Cost of Services Revenues </w:t>
      </w:r>
    </w:p>
    <w:tbl>
      <w:tblPr>
        <w:tblW w:w="7474" w:type="dxa"/>
        <w:jc w:val="left"/>
        <w:tblInd w:w="0" w:type="dxa"/>
        <w:tblLayout w:type="fixed"/>
        <w:tblCellMar>
          <w:top w:w="0" w:type="dxa"/>
          <w:left w:w="0" w:type="dxa"/>
          <w:bottom w:w="0" w:type="dxa"/>
          <w:right w:w="0" w:type="dxa"/>
        </w:tblCellMar>
      </w:tblPr>
      <w:tblGrid>
        <w:gridCol w:w="2161"/>
        <w:gridCol w:w="346"/>
        <w:gridCol w:w="213"/>
        <w:gridCol w:w="684"/>
        <w:gridCol w:w="350"/>
        <w:gridCol w:w="213"/>
        <w:gridCol w:w="684"/>
        <w:gridCol w:w="346"/>
        <w:gridCol w:w="400"/>
        <w:gridCol w:w="798"/>
        <w:gridCol w:w="277"/>
        <w:gridCol w:w="686"/>
        <w:gridCol w:w="316"/>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1372235" cy="175260"/>
                      <wp:effectExtent l="0" t="0" r="0" b="0"/>
                      <wp:wrapNone/>
                      <wp:docPr id="391" name="Frame391"/>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19710" cy="175260"/>
                      <wp:effectExtent l="0" t="0" r="0" b="0"/>
                      <wp:wrapNone/>
                      <wp:docPr id="392" name="Frame3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135255" cy="175260"/>
                      <wp:effectExtent l="0" t="0" r="0" b="0"/>
                      <wp:wrapNone/>
                      <wp:docPr id="393" name="Frame393"/>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434340" cy="175260"/>
                      <wp:effectExtent l="0" t="0" r="0" b="0"/>
                      <wp:wrapNone/>
                      <wp:docPr id="394" name="Frame394"/>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22250" cy="175260"/>
                      <wp:effectExtent l="0" t="0" r="0" b="0"/>
                      <wp:wrapNone/>
                      <wp:docPr id="395" name="Frame395"/>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135255" cy="175260"/>
                      <wp:effectExtent l="0" t="0" r="0" b="0"/>
                      <wp:wrapNone/>
                      <wp:docPr id="396" name="Frame396"/>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434340" cy="175260"/>
                      <wp:effectExtent l="0" t="0" r="0" b="0"/>
                      <wp:wrapNone/>
                      <wp:docPr id="397" name="Frame397"/>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19710" cy="175260"/>
                      <wp:effectExtent l="0" t="0" r="0" b="0"/>
                      <wp:wrapNone/>
                      <wp:docPr id="398" name="Frame3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254000" cy="175260"/>
                      <wp:effectExtent l="0" t="0" r="0" b="0"/>
                      <wp:wrapNone/>
                      <wp:docPr id="399" name="Frame399"/>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506730" cy="175260"/>
                      <wp:effectExtent l="0" t="0" r="0" b="0"/>
                      <wp:wrapNone/>
                      <wp:docPr id="400" name="Frame400"/>
                      <a:graphic xmlns:a="http://schemas.openxmlformats.org/drawingml/2006/main">
                        <a:graphicData uri="http://schemas.microsoft.com/office/word/2010/wordprocessingShape">
                          <wps:wsp>
                            <wps:cNvSpPr txBox="1"/>
                            <wps:spPr>
                              <a:xfrm>
                                <a:off x="0" y="0"/>
                                <a:ext cx="506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175895" cy="175260"/>
                      <wp:effectExtent l="0" t="0" r="0" b="0"/>
                      <wp:wrapNone/>
                      <wp:docPr id="401" name="Frame401"/>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435610" cy="175260"/>
                      <wp:effectExtent l="0" t="0" r="0" b="0"/>
                      <wp:wrapNone/>
                      <wp:docPr id="402" name="Frame402"/>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00660" cy="175260"/>
                      <wp:effectExtent l="0" t="0" r="0" b="0"/>
                      <wp:wrapNone/>
                      <wp:docPr id="403" name="Frame40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4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46" w:type="dxa"/>
            <w:tcBorders/>
            <w:vAlign w:val="center"/>
          </w:tcPr>
          <w:p>
            <w:pPr>
              <w:pStyle w:val="TableContents"/>
              <w:bidi w:val="0"/>
              <w:spacing w:before="0" w:after="0"/>
              <w:ind w:left="0" w:right="0" w:hanging="0"/>
              <w:jc w:val="left"/>
              <w:rPr/>
            </w:pPr>
            <w:r>
              <w:rPr/>
              <w:t>​</w:t>
            </w:r>
          </w:p>
        </w:tc>
        <w:tc>
          <w:tcPr>
            <w:tcW w:w="400" w:type="dxa"/>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center"/>
              <w:rPr/>
            </w:pPr>
            <w:r>
              <w:rPr/>
              <w:t>​</w:t>
            </w:r>
          </w:p>
        </w:tc>
        <w:tc>
          <w:tcPr>
            <w:tcW w:w="277"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0"/>
              <w:ind w:left="0" w:right="0" w:hanging="0"/>
              <w:jc w:val="left"/>
              <w:rPr/>
            </w:pPr>
            <w:r>
              <w:rPr/>
              <w:t>​</w:t>
            </w:r>
          </w:p>
        </w:tc>
        <w:tc>
          <w:tcPr>
            <w:tcW w:w="400" w:type="dxa"/>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center"/>
              <w:rPr/>
            </w:pPr>
            <w:r>
              <w:rPr/>
              <w:t>​</w:t>
            </w:r>
          </w:p>
        </w:tc>
        <w:tc>
          <w:tcPr>
            <w:tcW w:w="277"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46" w:type="dxa"/>
            <w:tcBorders/>
            <w:vAlign w:val="center"/>
          </w:tcPr>
          <w:p>
            <w:pPr>
              <w:pStyle w:val="TableContents"/>
              <w:bidi w:val="0"/>
              <w:spacing w:before="0" w:after="0"/>
              <w:ind w:left="0" w:right="0" w:hanging="0"/>
              <w:jc w:val="left"/>
              <w:rPr/>
            </w:pPr>
            <w:r>
              <w:rPr/>
              <w:t>  ​ ​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50" w:type="dxa"/>
            <w:tcBorders/>
            <w:vAlign w:val="center"/>
          </w:tcPr>
          <w:p>
            <w:pPr>
              <w:pStyle w:val="TableContents"/>
              <w:bidi w:val="0"/>
              <w:spacing w:before="0" w:after="0"/>
              <w:ind w:left="0" w:right="0" w:hanging="0"/>
              <w:jc w:val="left"/>
              <w:rPr/>
            </w:pPr>
            <w:r>
              <w:rPr/>
              <w:t>  ​ ​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216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vAlign w:val="center"/>
          </w:tcPr>
          <w:p>
            <w:pPr>
              <w:pStyle w:val="TableContents"/>
              <w:bidi w:val="0"/>
              <w:spacing w:before="0" w:after="0"/>
              <w:ind w:left="0" w:right="0" w:hanging="0"/>
              <w:jc w:val="center"/>
              <w:rPr/>
            </w:pPr>
            <w:r>
              <w:rPr/>
              <w:t>​</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services 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20,601</w:t>
            </w:r>
          </w:p>
        </w:tc>
        <w:tc>
          <w:tcPr>
            <w:tcW w:w="350"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19,823</w:t>
            </w:r>
          </w:p>
        </w:tc>
        <w:tc>
          <w:tcPr>
            <w:tcW w:w="346"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778</w:t>
            </w:r>
          </w:p>
        </w:tc>
        <w:tc>
          <w:tcPr>
            <w:tcW w:w="277" w:type="dxa"/>
            <w:tcBorders/>
            <w:shd w:fill="CCEEFF" w:val="clear"/>
            <w:vAlign w:val="center"/>
          </w:tcPr>
          <w:p>
            <w:pPr>
              <w:pStyle w:val="TableContents"/>
              <w:bidi w:val="0"/>
              <w:spacing w:before="0" w:after="0"/>
              <w:ind w:left="0" w:right="0" w:hanging="0"/>
              <w:jc w:val="left"/>
              <w:rPr/>
            </w:pPr>
            <w:r>
              <w:rPr/>
              <w:t> </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Cost of services revenues increased $0.8 million, or 3.9%, to $20.6 million for the three months ended March 31, 2026, compared to $19.8 million for the same period in 2025. The increase was primarily due to an increase in costs of service delivery personnel to support revenue growth in software subscription-related services and our managed services offering. </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 xml:space="preserve">Research and Development </w:t>
      </w:r>
    </w:p>
    <w:tbl>
      <w:tblPr>
        <w:tblW w:w="7624" w:type="dxa"/>
        <w:jc w:val="left"/>
        <w:tblInd w:w="0" w:type="dxa"/>
        <w:tblLayout w:type="fixed"/>
        <w:tblCellMar>
          <w:top w:w="0" w:type="dxa"/>
          <w:left w:w="0" w:type="dxa"/>
          <w:bottom w:w="0" w:type="dxa"/>
          <w:right w:w="0" w:type="dxa"/>
        </w:tblCellMar>
      </w:tblPr>
      <w:tblGrid>
        <w:gridCol w:w="2311"/>
        <w:gridCol w:w="346"/>
        <w:gridCol w:w="213"/>
        <w:gridCol w:w="684"/>
        <w:gridCol w:w="350"/>
        <w:gridCol w:w="213"/>
        <w:gridCol w:w="684"/>
        <w:gridCol w:w="346"/>
        <w:gridCol w:w="327"/>
        <w:gridCol w:w="885"/>
        <w:gridCol w:w="226"/>
        <w:gridCol w:w="723"/>
        <w:gridCol w:w="31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1467485" cy="175260"/>
                      <wp:effectExtent l="0" t="0" r="0" b="0"/>
                      <wp:wrapNone/>
                      <wp:docPr id="404" name="Frame404"/>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19710" cy="175260"/>
                      <wp:effectExtent l="0" t="0" r="0" b="0"/>
                      <wp:wrapNone/>
                      <wp:docPr id="405" name="Frame4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135255" cy="175260"/>
                      <wp:effectExtent l="0" t="0" r="0" b="0"/>
                      <wp:wrapNone/>
                      <wp:docPr id="406" name="Frame406"/>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434340" cy="175260"/>
                      <wp:effectExtent l="0" t="0" r="0" b="0"/>
                      <wp:wrapNone/>
                      <wp:docPr id="407" name="Frame407"/>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222250" cy="175260"/>
                      <wp:effectExtent l="0" t="0" r="0" b="0"/>
                      <wp:wrapNone/>
                      <wp:docPr id="408" name="Frame408"/>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135255" cy="175260"/>
                      <wp:effectExtent l="0" t="0" r="0" b="0"/>
                      <wp:wrapNone/>
                      <wp:docPr id="409" name="Frame409"/>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434340" cy="175260"/>
                      <wp:effectExtent l="0" t="0" r="0" b="0"/>
                      <wp:wrapNone/>
                      <wp:docPr id="410" name="Frame410"/>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219710" cy="175260"/>
                      <wp:effectExtent l="0" t="0" r="0" b="0"/>
                      <wp:wrapNone/>
                      <wp:docPr id="411" name="Frame4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07645" cy="175260"/>
                      <wp:effectExtent l="0" t="0" r="0" b="0"/>
                      <wp:wrapNone/>
                      <wp:docPr id="412" name="Frame412"/>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561975" cy="175260"/>
                      <wp:effectExtent l="0" t="0" r="0" b="0"/>
                      <wp:wrapNone/>
                      <wp:docPr id="413" name="Frame413"/>
                      <a:graphic xmlns:a="http://schemas.openxmlformats.org/drawingml/2006/main">
                        <a:graphicData uri="http://schemas.microsoft.com/office/word/2010/wordprocessingShape">
                          <wps:wsp>
                            <wps:cNvSpPr txBox="1"/>
                            <wps:spPr>
                              <a:xfrm>
                                <a:off x="0" y="0"/>
                                <a:ext cx="561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143510" cy="175260"/>
                      <wp:effectExtent l="0" t="0" r="0" b="0"/>
                      <wp:wrapNone/>
                      <wp:docPr id="414" name="Frame41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459105" cy="175260"/>
                      <wp:effectExtent l="0" t="0" r="0" b="0"/>
                      <wp:wrapNone/>
                      <wp:docPr id="415" name="Frame415"/>
                      <a:graphic xmlns:a="http://schemas.openxmlformats.org/drawingml/2006/main">
                        <a:graphicData uri="http://schemas.microsoft.com/office/word/2010/wordprocessingShape">
                          <wps:wsp>
                            <wps:cNvSpPr txBox="1"/>
                            <wps:spPr>
                              <a:xfrm>
                                <a:off x="0" y="0"/>
                                <a:ext cx="459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200660" cy="175260"/>
                      <wp:effectExtent l="0" t="0" r="0" b="0"/>
                      <wp:wrapNone/>
                      <wp:docPr id="416" name="Frame41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4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4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46" w:type="dxa"/>
            <w:tcBorders/>
            <w:vAlign w:val="center"/>
          </w:tcPr>
          <w:p>
            <w:pPr>
              <w:pStyle w:val="TableContents"/>
              <w:bidi w:val="0"/>
              <w:spacing w:before="0" w:after="0"/>
              <w:ind w:left="0" w:right="0" w:hanging="0"/>
              <w:jc w:val="left"/>
              <w:rPr/>
            </w:pPr>
            <w:r>
              <w:rPr/>
              <w:t>  ​ ​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50" w:type="dxa"/>
            <w:tcBorders/>
            <w:vAlign w:val="center"/>
          </w:tcPr>
          <w:p>
            <w:pPr>
              <w:pStyle w:val="TableContents"/>
              <w:bidi w:val="0"/>
              <w:spacing w:before="0" w:after="0"/>
              <w:ind w:left="0" w:right="0" w:hanging="0"/>
              <w:jc w:val="left"/>
              <w:rPr/>
            </w:pPr>
            <w:r>
              <w:rPr/>
              <w:t>  ​ ​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216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vAlign w:val="center"/>
          </w:tcPr>
          <w:p>
            <w:pPr>
              <w:pStyle w:val="TableContents"/>
              <w:bidi w:val="0"/>
              <w:spacing w:before="0" w:after="0"/>
              <w:ind w:left="0" w:right="0" w:hanging="0"/>
              <w:jc w:val="center"/>
              <w:rPr/>
            </w:pPr>
            <w:r>
              <w:rPr/>
              <w:t>​</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24,550</w:t>
            </w:r>
          </w:p>
        </w:tc>
        <w:tc>
          <w:tcPr>
            <w:tcW w:w="350"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20,886</w:t>
            </w:r>
          </w:p>
        </w:tc>
        <w:tc>
          <w:tcPr>
            <w:tcW w:w="34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3,664</w:t>
            </w:r>
          </w:p>
        </w:tc>
        <w:tc>
          <w:tcPr>
            <w:tcW w:w="226" w:type="dxa"/>
            <w:tcBorders/>
            <w:shd w:fill="CCEEFF" w:val="clear"/>
            <w:vAlign w:val="center"/>
          </w:tcPr>
          <w:p>
            <w:pPr>
              <w:pStyle w:val="TableContents"/>
              <w:bidi w:val="0"/>
              <w:spacing w:before="0" w:after="0"/>
              <w:ind w:left="0" w:right="0" w:hanging="0"/>
              <w:jc w:val="left"/>
              <w:rPr/>
            </w:pPr>
            <w:r>
              <w:rPr/>
              <w:t> </w:t>
            </w:r>
          </w:p>
        </w:tc>
        <w:tc>
          <w:tcPr>
            <w:tcW w:w="7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Research and development expenses increased $3.7 million, or 17.5%, to $24.6 million for the three months ended March 31, 2026 compared to $20.9 million for the same period in 2025. This increase in research and development expenses was primarily due to an increase in personnel costs related to development work associated with new solutions to address end-to-end data analysis and compliance needs of our customers, and continued expansion of connectors and application program interfaces to customer ERP and other software platforms. Additionally, this increase reflects additional research and development investments related to the commercialization of our AI-based Smart Categorization product, other AI-related internal tools and new product initiatives, and other emerging technologies.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 xml:space="preserve">Selling and Marketing </w:t>
      </w:r>
    </w:p>
    <w:tbl>
      <w:tblPr>
        <w:tblW w:w="7234" w:type="dxa"/>
        <w:jc w:val="left"/>
        <w:tblInd w:w="0" w:type="dxa"/>
        <w:tblLayout w:type="fixed"/>
        <w:tblCellMar>
          <w:top w:w="0" w:type="dxa"/>
          <w:left w:w="0" w:type="dxa"/>
          <w:bottom w:w="0" w:type="dxa"/>
          <w:right w:w="0" w:type="dxa"/>
        </w:tblCellMar>
      </w:tblPr>
      <w:tblGrid>
        <w:gridCol w:w="1921"/>
        <w:gridCol w:w="346"/>
        <w:gridCol w:w="213"/>
        <w:gridCol w:w="684"/>
        <w:gridCol w:w="350"/>
        <w:gridCol w:w="213"/>
        <w:gridCol w:w="684"/>
        <w:gridCol w:w="346"/>
        <w:gridCol w:w="353"/>
        <w:gridCol w:w="957"/>
        <w:gridCol w:w="244"/>
        <w:gridCol w:w="607"/>
        <w:gridCol w:w="316"/>
      </w:tblGrid>
      <w:tr>
        <w:trPr/>
        <w:tc>
          <w:tcPr>
            <w:tcW w:w="1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1219835" cy="175260"/>
                      <wp:effectExtent l="0" t="0" r="0" b="0"/>
                      <wp:wrapNone/>
                      <wp:docPr id="417" name="Frame417"/>
                      <a:graphic xmlns:a="http://schemas.openxmlformats.org/drawingml/2006/main">
                        <a:graphicData uri="http://schemas.microsoft.com/office/word/2010/wordprocessingShape">
                          <wps:wsp>
                            <wps:cNvSpPr txBox="1"/>
                            <wps:spPr>
                              <a:xfrm>
                                <a:off x="0" y="0"/>
                                <a:ext cx="1219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219710" cy="175260"/>
                      <wp:effectExtent l="0" t="0" r="0" b="0"/>
                      <wp:wrapNone/>
                      <wp:docPr id="418" name="Frame4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135255" cy="175260"/>
                      <wp:effectExtent l="0" t="0" r="0" b="0"/>
                      <wp:wrapNone/>
                      <wp:docPr id="419" name="Frame419"/>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434340" cy="175260"/>
                      <wp:effectExtent l="0" t="0" r="0" b="0"/>
                      <wp:wrapNone/>
                      <wp:docPr id="420" name="Frame420"/>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222250" cy="175260"/>
                      <wp:effectExtent l="0" t="0" r="0" b="0"/>
                      <wp:wrapNone/>
                      <wp:docPr id="421" name="Frame421"/>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135255" cy="175260"/>
                      <wp:effectExtent l="0" t="0" r="0" b="0"/>
                      <wp:wrapNone/>
                      <wp:docPr id="422" name="Frame422"/>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434340" cy="175260"/>
                      <wp:effectExtent l="0" t="0" r="0" b="0"/>
                      <wp:wrapNone/>
                      <wp:docPr id="423" name="Frame423"/>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219710" cy="175260"/>
                      <wp:effectExtent l="0" t="0" r="0" b="0"/>
                      <wp:wrapNone/>
                      <wp:docPr id="424" name="Frame4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224155" cy="175260"/>
                      <wp:effectExtent l="0" t="0" r="0" b="0"/>
                      <wp:wrapNone/>
                      <wp:docPr id="425" name="Frame425"/>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607695" cy="175260"/>
                      <wp:effectExtent l="0" t="0" r="0" b="0"/>
                      <wp:wrapNone/>
                      <wp:docPr id="426" name="Frame426"/>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154940" cy="175260"/>
                      <wp:effectExtent l="0" t="0" r="0" b="0"/>
                      <wp:wrapNone/>
                      <wp:docPr id="427" name="Frame427"/>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385445" cy="175260"/>
                      <wp:effectExtent l="0" t="0" r="0" b="0"/>
                      <wp:wrapNone/>
                      <wp:docPr id="428" name="Frame428"/>
                      <a:graphic xmlns:a="http://schemas.openxmlformats.org/drawingml/2006/main">
                        <a:graphicData uri="http://schemas.microsoft.com/office/word/2010/wordprocessingShape">
                          <wps:wsp>
                            <wps:cNvSpPr txBox="1"/>
                            <wps:spPr>
                              <a:xfrm>
                                <a:off x="0" y="0"/>
                                <a:ext cx="385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200660" cy="175260"/>
                      <wp:effectExtent l="0" t="0" r="0" b="0"/>
                      <wp:wrapNone/>
                      <wp:docPr id="429" name="Frame42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4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4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center"/>
              <w:rPr/>
            </w:pPr>
            <w:r>
              <w:rPr/>
              <w:t>​</w:t>
            </w:r>
          </w:p>
        </w:tc>
        <w:tc>
          <w:tcPr>
            <w:tcW w:w="244"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19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center"/>
              <w:rPr/>
            </w:pPr>
            <w:r>
              <w:rPr/>
              <w:t>​</w:t>
            </w:r>
          </w:p>
        </w:tc>
        <w:tc>
          <w:tcPr>
            <w:tcW w:w="244"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46" w:type="dxa"/>
            <w:tcBorders/>
            <w:vAlign w:val="center"/>
          </w:tcPr>
          <w:p>
            <w:pPr>
              <w:pStyle w:val="TableContents"/>
              <w:bidi w:val="0"/>
              <w:spacing w:before="0" w:after="0"/>
              <w:ind w:left="0" w:right="0" w:hanging="0"/>
              <w:jc w:val="left"/>
              <w:rPr/>
            </w:pPr>
            <w:r>
              <w:rPr/>
              <w:t>  ​ ​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50" w:type="dxa"/>
            <w:tcBorders/>
            <w:vAlign w:val="center"/>
          </w:tcPr>
          <w:p>
            <w:pPr>
              <w:pStyle w:val="TableContents"/>
              <w:bidi w:val="0"/>
              <w:spacing w:before="0" w:after="0"/>
              <w:ind w:left="0" w:right="0" w:hanging="0"/>
              <w:jc w:val="left"/>
              <w:rPr/>
            </w:pPr>
            <w:r>
              <w:rPr/>
              <w:t>  ​ ​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216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vAlign w:val="center"/>
          </w:tcPr>
          <w:p>
            <w:pPr>
              <w:pStyle w:val="TableContents"/>
              <w:bidi w:val="0"/>
              <w:spacing w:before="0" w:after="0"/>
              <w:ind w:left="0" w:right="0" w:hanging="0"/>
              <w:jc w:val="center"/>
              <w:rPr/>
            </w:pPr>
            <w:r>
              <w:rPr/>
              <w:t>​</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52,635</w:t>
            </w:r>
          </w:p>
        </w:tc>
        <w:tc>
          <w:tcPr>
            <w:tcW w:w="350"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48,155</w:t>
            </w:r>
          </w:p>
        </w:tc>
        <w:tc>
          <w:tcPr>
            <w:tcW w:w="34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4,480</w:t>
            </w:r>
          </w:p>
        </w:tc>
        <w:tc>
          <w:tcPr>
            <w:tcW w:w="244" w:type="dxa"/>
            <w:tcBorders/>
            <w:shd w:fill="CCEEFF" w:val="clear"/>
            <w:vAlign w:val="center"/>
          </w:tcPr>
          <w:p>
            <w:pPr>
              <w:pStyle w:val="TableContents"/>
              <w:bidi w:val="0"/>
              <w:spacing w:before="0" w:after="0"/>
              <w:ind w:left="0" w:right="0" w:hanging="0"/>
              <w:jc w:val="left"/>
              <w:rPr/>
            </w:pPr>
            <w:r>
              <w:rPr/>
              <w:t> </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Selling and marketing expenses increased $4.5 million, or 9.3%, to $52.6 million for the three months ended March 31, 2026 compared to $48.2 million for the same period in 2025. This increase was primarily driven by a $2.9 million increase in payroll and related expenses associated with the growth in period-over-period subscription sales and services revenues and expansion of our partner and channel management programs. Additionally, there was an increase of $1.5 million in advertising and promotional spending related to expanded brand awareness efforts.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General and Administrative</w:t>
      </w:r>
    </w:p>
    <w:tbl>
      <w:tblPr>
        <w:tblW w:w="7624" w:type="dxa"/>
        <w:jc w:val="left"/>
        <w:tblInd w:w="0" w:type="dxa"/>
        <w:tblLayout w:type="fixed"/>
        <w:tblCellMar>
          <w:top w:w="0" w:type="dxa"/>
          <w:left w:w="0" w:type="dxa"/>
          <w:bottom w:w="0" w:type="dxa"/>
          <w:right w:w="0" w:type="dxa"/>
        </w:tblCellMar>
      </w:tblPr>
      <w:tblGrid>
        <w:gridCol w:w="2311"/>
        <w:gridCol w:w="346"/>
        <w:gridCol w:w="213"/>
        <w:gridCol w:w="684"/>
        <w:gridCol w:w="350"/>
        <w:gridCol w:w="213"/>
        <w:gridCol w:w="684"/>
        <w:gridCol w:w="346"/>
        <w:gridCol w:w="327"/>
        <w:gridCol w:w="885"/>
        <w:gridCol w:w="226"/>
        <w:gridCol w:w="723"/>
        <w:gridCol w:w="31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1467485" cy="175260"/>
                      <wp:effectExtent l="0" t="0" r="0" b="0"/>
                      <wp:wrapNone/>
                      <wp:docPr id="430" name="Frame430"/>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19710" cy="175260"/>
                      <wp:effectExtent l="0" t="0" r="0" b="0"/>
                      <wp:wrapNone/>
                      <wp:docPr id="431" name="Frame4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135255" cy="175260"/>
                      <wp:effectExtent l="0" t="0" r="0" b="0"/>
                      <wp:wrapNone/>
                      <wp:docPr id="432" name="Frame432"/>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434340" cy="175260"/>
                      <wp:effectExtent l="0" t="0" r="0" b="0"/>
                      <wp:wrapNone/>
                      <wp:docPr id="433" name="Frame433"/>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22250" cy="175260"/>
                      <wp:effectExtent l="0" t="0" r="0" b="0"/>
                      <wp:wrapNone/>
                      <wp:docPr id="434" name="Frame434"/>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135255" cy="175260"/>
                      <wp:effectExtent l="0" t="0" r="0" b="0"/>
                      <wp:wrapNone/>
                      <wp:docPr id="435" name="Frame435"/>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434340" cy="175260"/>
                      <wp:effectExtent l="0" t="0" r="0" b="0"/>
                      <wp:wrapNone/>
                      <wp:docPr id="436" name="Frame436"/>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219710" cy="175260"/>
                      <wp:effectExtent l="0" t="0" r="0" b="0"/>
                      <wp:wrapNone/>
                      <wp:docPr id="437" name="Frame4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207645" cy="175260"/>
                      <wp:effectExtent l="0" t="0" r="0" b="0"/>
                      <wp:wrapNone/>
                      <wp:docPr id="438" name="Frame438"/>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561975" cy="175260"/>
                      <wp:effectExtent l="0" t="0" r="0" b="0"/>
                      <wp:wrapNone/>
                      <wp:docPr id="439" name="Frame439"/>
                      <a:graphic xmlns:a="http://schemas.openxmlformats.org/drawingml/2006/main">
                        <a:graphicData uri="http://schemas.microsoft.com/office/word/2010/wordprocessingShape">
                          <wps:wsp>
                            <wps:cNvSpPr txBox="1"/>
                            <wps:spPr>
                              <a:xfrm>
                                <a:off x="0" y="0"/>
                                <a:ext cx="561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143510" cy="175260"/>
                      <wp:effectExtent l="0" t="0" r="0" b="0"/>
                      <wp:wrapNone/>
                      <wp:docPr id="440" name="Frame44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459105" cy="175260"/>
                      <wp:effectExtent l="0" t="0" r="0" b="0"/>
                      <wp:wrapNone/>
                      <wp:docPr id="441" name="Frame441"/>
                      <a:graphic xmlns:a="http://schemas.openxmlformats.org/drawingml/2006/main">
                        <a:graphicData uri="http://schemas.microsoft.com/office/word/2010/wordprocessingShape">
                          <wps:wsp>
                            <wps:cNvSpPr txBox="1"/>
                            <wps:spPr>
                              <a:xfrm>
                                <a:off x="0" y="0"/>
                                <a:ext cx="459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00660" cy="175260"/>
                      <wp:effectExtent l="0" t="0" r="0" b="0"/>
                      <wp:wrapNone/>
                      <wp:docPr id="442" name="Frame44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4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4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46" w:type="dxa"/>
            <w:tcBorders/>
            <w:vAlign w:val="center"/>
          </w:tcPr>
          <w:p>
            <w:pPr>
              <w:pStyle w:val="TableContents"/>
              <w:bidi w:val="0"/>
              <w:spacing w:before="0" w:after="0"/>
              <w:ind w:left="0" w:right="0" w:hanging="0"/>
              <w:jc w:val="left"/>
              <w:rPr/>
            </w:pPr>
            <w:r>
              <w:rPr/>
              <w:t>  ​ ​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50" w:type="dxa"/>
            <w:tcBorders/>
            <w:vAlign w:val="center"/>
          </w:tcPr>
          <w:p>
            <w:pPr>
              <w:pStyle w:val="TableContents"/>
              <w:bidi w:val="0"/>
              <w:spacing w:before="0" w:after="0"/>
              <w:ind w:left="0" w:right="0" w:hanging="0"/>
              <w:jc w:val="left"/>
              <w:rPr/>
            </w:pPr>
            <w:r>
              <w:rPr/>
              <w:t>  ​ ​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216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vAlign w:val="center"/>
          </w:tcPr>
          <w:p>
            <w:pPr>
              <w:pStyle w:val="TableContents"/>
              <w:bidi w:val="0"/>
              <w:spacing w:before="0" w:after="0"/>
              <w:ind w:left="0" w:right="0" w:hanging="0"/>
              <w:jc w:val="center"/>
              <w:rPr/>
            </w:pPr>
            <w:r>
              <w:rPr/>
              <w:t>​</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54,339</w:t>
            </w:r>
          </w:p>
        </w:tc>
        <w:tc>
          <w:tcPr>
            <w:tcW w:w="350"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45,028</w:t>
            </w:r>
          </w:p>
        </w:tc>
        <w:tc>
          <w:tcPr>
            <w:tcW w:w="34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9,311</w:t>
            </w:r>
          </w:p>
        </w:tc>
        <w:tc>
          <w:tcPr>
            <w:tcW w:w="226" w:type="dxa"/>
            <w:tcBorders/>
            <w:shd w:fill="CCEEFF" w:val="clear"/>
            <w:vAlign w:val="center"/>
          </w:tcPr>
          <w:p>
            <w:pPr>
              <w:pStyle w:val="TableContents"/>
              <w:bidi w:val="0"/>
              <w:spacing w:before="0" w:after="0"/>
              <w:ind w:left="0" w:right="0" w:hanging="0"/>
              <w:jc w:val="left"/>
              <w:rPr/>
            </w:pPr>
            <w:r>
              <w:rPr/>
              <w:t> </w:t>
            </w:r>
          </w:p>
        </w:tc>
        <w:tc>
          <w:tcPr>
            <w:tcW w:w="7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General and administrative expenses increased $9.3 million, or 20.7%, to $54.3 million for the three months ended March 31, 2026 compared to $45.0 million for the same period in 2025, primarily driven by planned strategic investments in information technology infrastructure, business process re-engineering and other initiatives to drive future operating leverage, as well as investments in employees, systems and other resources in support of our growth. Additionally, $6.2 million of severance expense and $2.6 million of execution costs related to our Value Creation Plan were recorded in the first three months ended March 31, 2026. For further information refer to Note 15, “Restructuring” to the condensed consolidated financial statements included in this Quarterly Report on Form 10-Q.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Depreciation and Amortization</w:t>
      </w:r>
    </w:p>
    <w:tbl>
      <w:tblPr>
        <w:tblW w:w="7909" w:type="dxa"/>
        <w:jc w:val="left"/>
        <w:tblInd w:w="0" w:type="dxa"/>
        <w:tblLayout w:type="fixed"/>
        <w:tblCellMar>
          <w:top w:w="0" w:type="dxa"/>
          <w:left w:w="0" w:type="dxa"/>
          <w:bottom w:w="0" w:type="dxa"/>
          <w:right w:w="0" w:type="dxa"/>
        </w:tblCellMar>
      </w:tblPr>
      <w:tblGrid>
        <w:gridCol w:w="2596"/>
        <w:gridCol w:w="346"/>
        <w:gridCol w:w="237"/>
        <w:gridCol w:w="641"/>
        <w:gridCol w:w="388"/>
        <w:gridCol w:w="237"/>
        <w:gridCol w:w="641"/>
        <w:gridCol w:w="346"/>
        <w:gridCol w:w="340"/>
        <w:gridCol w:w="679"/>
        <w:gridCol w:w="558"/>
        <w:gridCol w:w="584"/>
        <w:gridCol w:w="316"/>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1648460" cy="175260"/>
                      <wp:effectExtent l="0" t="0" r="0" b="0"/>
                      <wp:wrapNone/>
                      <wp:docPr id="443" name="Frame443"/>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219710" cy="175260"/>
                      <wp:effectExtent l="0" t="0" r="0" b="0"/>
                      <wp:wrapNone/>
                      <wp:docPr id="444" name="Frame4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150495" cy="175260"/>
                      <wp:effectExtent l="0" t="0" r="0" b="0"/>
                      <wp:wrapNone/>
                      <wp:docPr id="445" name="Frame445"/>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407035" cy="175260"/>
                      <wp:effectExtent l="0" t="0" r="0" b="0"/>
                      <wp:wrapNone/>
                      <wp:docPr id="446" name="Frame446"/>
                      <a:graphic xmlns:a="http://schemas.openxmlformats.org/drawingml/2006/main">
                        <a:graphicData uri="http://schemas.microsoft.com/office/word/2010/wordprocessingShape">
                          <wps:wsp>
                            <wps:cNvSpPr txBox="1"/>
                            <wps:spPr>
                              <a:xfrm>
                                <a:off x="0" y="0"/>
                                <a:ext cx="407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246380" cy="175260"/>
                      <wp:effectExtent l="0" t="0" r="0" b="0"/>
                      <wp:wrapNone/>
                      <wp:docPr id="447" name="Frame447"/>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150495" cy="175260"/>
                      <wp:effectExtent l="0" t="0" r="0" b="0"/>
                      <wp:wrapNone/>
                      <wp:docPr id="448" name="Frame448"/>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407035" cy="175260"/>
                      <wp:effectExtent l="0" t="0" r="0" b="0"/>
                      <wp:wrapNone/>
                      <wp:docPr id="449" name="Frame449"/>
                      <a:graphic xmlns:a="http://schemas.openxmlformats.org/drawingml/2006/main">
                        <a:graphicData uri="http://schemas.microsoft.com/office/word/2010/wordprocessingShape">
                          <wps:wsp>
                            <wps:cNvSpPr txBox="1"/>
                            <wps:spPr>
                              <a:xfrm>
                                <a:off x="0" y="0"/>
                                <a:ext cx="407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219710" cy="175260"/>
                      <wp:effectExtent l="0" t="0" r="0" b="0"/>
                      <wp:wrapNone/>
                      <wp:docPr id="450" name="Frame4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215900" cy="175260"/>
                      <wp:effectExtent l="0" t="0" r="0" b="0"/>
                      <wp:wrapNone/>
                      <wp:docPr id="451" name="Frame451"/>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431165" cy="175260"/>
                      <wp:effectExtent l="0" t="0" r="0" b="0"/>
                      <wp:wrapNone/>
                      <wp:docPr id="452" name="Frame452"/>
                      <a:graphic xmlns:a="http://schemas.openxmlformats.org/drawingml/2006/main">
                        <a:graphicData uri="http://schemas.microsoft.com/office/word/2010/wordprocessingShape">
                          <wps:wsp>
                            <wps:cNvSpPr txBox="1"/>
                            <wps:spPr>
                              <a:xfrm>
                                <a:off x="0" y="0"/>
                                <a:ext cx="431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354330" cy="175260"/>
                      <wp:effectExtent l="0" t="0" r="0" b="0"/>
                      <wp:wrapNone/>
                      <wp:docPr id="453" name="Frame453"/>
                      <a:graphic xmlns:a="http://schemas.openxmlformats.org/drawingml/2006/main">
                        <a:graphicData uri="http://schemas.microsoft.com/office/word/2010/wordprocessingShape">
                          <wps:wsp>
                            <wps:cNvSpPr txBox="1"/>
                            <wps:spPr>
                              <a:xfrm>
                                <a:off x="0" y="0"/>
                                <a:ext cx="354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370840" cy="175260"/>
                      <wp:effectExtent l="0" t="0" r="0" b="0"/>
                      <wp:wrapNone/>
                      <wp:docPr id="454" name="Frame454"/>
                      <a:graphic xmlns:a="http://schemas.openxmlformats.org/drawingml/2006/main">
                        <a:graphicData uri="http://schemas.microsoft.com/office/word/2010/wordprocessingShape">
                          <wps:wsp>
                            <wps:cNvSpPr txBox="1"/>
                            <wps:spPr>
                              <a:xfrm>
                                <a:off x="0" y="0"/>
                                <a:ext cx="370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200660" cy="175260"/>
                      <wp:effectExtent l="0" t="0" r="0" b="0"/>
                      <wp:wrapNone/>
                      <wp:docPr id="455" name="Frame45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4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46" w:type="dxa"/>
            <w:tcBorders/>
            <w:vAlign w:val="center"/>
          </w:tcPr>
          <w:p>
            <w:pPr>
              <w:pStyle w:val="TableContents"/>
              <w:bidi w:val="0"/>
              <w:spacing w:before="0" w:after="0"/>
              <w:ind w:left="0" w:right="0" w:hanging="0"/>
              <w:jc w:val="left"/>
              <w:rPr/>
            </w:pPr>
            <w:r>
              <w:rPr/>
              <w:t>​</w:t>
            </w:r>
          </w:p>
        </w:tc>
        <w:tc>
          <w:tcPr>
            <w:tcW w:w="340" w:type="dxa"/>
            <w:tcBorders/>
            <w:vAlign w:val="center"/>
          </w:tcPr>
          <w:p>
            <w:pPr>
              <w:pStyle w:val="TableContents"/>
              <w:bidi w:val="0"/>
              <w:spacing w:before="0" w:after="0"/>
              <w:ind w:left="0" w:right="0" w:hanging="0"/>
              <w:jc w:val="left"/>
              <w:rPr/>
            </w:pPr>
            <w:r>
              <w:rPr/>
              <w:t>​</w:t>
            </w:r>
          </w:p>
        </w:tc>
        <w:tc>
          <w:tcPr>
            <w:tcW w:w="679" w:type="dxa"/>
            <w:tcBorders/>
            <w:vAlign w:val="center"/>
          </w:tcPr>
          <w:p>
            <w:pPr>
              <w:pStyle w:val="TableContents"/>
              <w:bidi w:val="0"/>
              <w:spacing w:before="0" w:after="0"/>
              <w:ind w:left="0" w:right="0" w:hanging="0"/>
              <w:jc w:val="center"/>
              <w:rPr/>
            </w:pPr>
            <w:r>
              <w:rPr/>
              <w:t>​</w:t>
            </w:r>
          </w:p>
        </w:tc>
        <w:tc>
          <w:tcPr>
            <w:tcW w:w="558" w:type="dxa"/>
            <w:tcBorders/>
            <w:vAlign w:val="center"/>
          </w:tcPr>
          <w:p>
            <w:pPr>
              <w:pStyle w:val="TableContents"/>
              <w:bidi w:val="0"/>
              <w:spacing w:before="0" w:after="0"/>
              <w:ind w:left="0" w:right="0" w:hanging="0"/>
              <w:jc w:val="left"/>
              <w:rPr/>
            </w:pPr>
            <w:r>
              <w:rPr/>
              <w:t>​</w:t>
            </w:r>
          </w:p>
        </w:tc>
        <w:tc>
          <w:tcPr>
            <w:tcW w:w="584"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0"/>
              <w:ind w:left="0" w:right="0" w:hanging="0"/>
              <w:jc w:val="left"/>
              <w:rPr/>
            </w:pPr>
            <w:r>
              <w:rPr/>
              <w:t>​</w:t>
            </w:r>
          </w:p>
        </w:tc>
        <w:tc>
          <w:tcPr>
            <w:tcW w:w="340" w:type="dxa"/>
            <w:tcBorders/>
            <w:vAlign w:val="center"/>
          </w:tcPr>
          <w:p>
            <w:pPr>
              <w:pStyle w:val="TableContents"/>
              <w:bidi w:val="0"/>
              <w:spacing w:before="0" w:after="0"/>
              <w:ind w:left="0" w:right="0" w:hanging="0"/>
              <w:jc w:val="left"/>
              <w:rPr/>
            </w:pPr>
            <w:r>
              <w:rPr/>
              <w:t>​</w:t>
            </w:r>
          </w:p>
        </w:tc>
        <w:tc>
          <w:tcPr>
            <w:tcW w:w="679" w:type="dxa"/>
            <w:tcBorders/>
            <w:vAlign w:val="center"/>
          </w:tcPr>
          <w:p>
            <w:pPr>
              <w:pStyle w:val="TableContents"/>
              <w:bidi w:val="0"/>
              <w:spacing w:before="0" w:after="0"/>
              <w:ind w:left="0" w:right="0" w:hanging="0"/>
              <w:jc w:val="center"/>
              <w:rPr/>
            </w:pPr>
            <w:r>
              <w:rPr/>
              <w:t>​</w:t>
            </w:r>
          </w:p>
        </w:tc>
        <w:tc>
          <w:tcPr>
            <w:tcW w:w="558" w:type="dxa"/>
            <w:tcBorders/>
            <w:vAlign w:val="center"/>
          </w:tcPr>
          <w:p>
            <w:pPr>
              <w:pStyle w:val="TableContents"/>
              <w:bidi w:val="0"/>
              <w:spacing w:before="0" w:after="0"/>
              <w:ind w:left="0" w:right="0" w:hanging="0"/>
              <w:jc w:val="left"/>
              <w:rPr/>
            </w:pPr>
            <w:r>
              <w:rPr/>
              <w:t>​</w:t>
            </w:r>
          </w:p>
        </w:tc>
        <w:tc>
          <w:tcPr>
            <w:tcW w:w="584"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46" w:type="dxa"/>
            <w:tcBorders/>
            <w:vAlign w:val="center"/>
          </w:tcPr>
          <w:p>
            <w:pPr>
              <w:pStyle w:val="TableContents"/>
              <w:bidi w:val="0"/>
              <w:spacing w:before="0" w:after="0"/>
              <w:ind w:left="0" w:right="0" w:hanging="0"/>
              <w:jc w:val="left"/>
              <w:rPr/>
            </w:pPr>
            <w:r>
              <w:rPr/>
              <w:t>  ​ ​ ​</w:t>
            </w:r>
          </w:p>
        </w:tc>
        <w:tc>
          <w:tcPr>
            <w:tcW w:w="8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88" w:type="dxa"/>
            <w:tcBorders/>
            <w:vAlign w:val="center"/>
          </w:tcPr>
          <w:p>
            <w:pPr>
              <w:pStyle w:val="TableContents"/>
              <w:bidi w:val="0"/>
              <w:spacing w:before="0" w:after="0"/>
              <w:ind w:left="0" w:right="0" w:hanging="0"/>
              <w:jc w:val="left"/>
              <w:rPr/>
            </w:pPr>
            <w:r>
              <w:rPr/>
              <w:t>  ​ ​ ​</w:t>
            </w:r>
          </w:p>
        </w:tc>
        <w:tc>
          <w:tcPr>
            <w:tcW w:w="8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216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vAlign w:val="center"/>
          </w:tcPr>
          <w:p>
            <w:pPr>
              <w:pStyle w:val="TableContents"/>
              <w:bidi w:val="0"/>
              <w:spacing w:before="0" w:after="0"/>
              <w:ind w:left="0" w:right="0" w:hanging="0"/>
              <w:jc w:val="center"/>
              <w:rPr/>
            </w:pPr>
            <w:r>
              <w:rPr/>
              <w:t>​</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  ​ ​ ​</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6,442</w:t>
            </w:r>
          </w:p>
        </w:tc>
        <w:tc>
          <w:tcPr>
            <w:tcW w:w="388" w:type="dxa"/>
            <w:tcBorders/>
            <w:shd w:fill="CCEEFF" w:val="clear"/>
            <w:vAlign w:val="center"/>
          </w:tcPr>
          <w:p>
            <w:pPr>
              <w:pStyle w:val="TableContents"/>
              <w:bidi w:val="0"/>
              <w:spacing w:before="0" w:after="0"/>
              <w:ind w:left="0" w:right="0" w:hanging="0"/>
              <w:jc w:val="left"/>
              <w:rPr/>
            </w:pPr>
            <w:r>
              <w:rPr/>
              <w:t>  ​ ​ ​</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5,880</w:t>
            </w:r>
          </w:p>
        </w:tc>
        <w:tc>
          <w:tcPr>
            <w:tcW w:w="346" w:type="dxa"/>
            <w:tcBorders/>
            <w:shd w:fill="CCEEFF" w:val="clear"/>
            <w:vAlign w:val="center"/>
          </w:tcPr>
          <w:p>
            <w:pPr>
              <w:pStyle w:val="TableContents"/>
              <w:bidi w:val="0"/>
              <w:spacing w:before="0" w:after="0"/>
              <w:ind w:left="0" w:right="0" w:hanging="0"/>
              <w:jc w:val="left"/>
              <w:rPr/>
            </w:pPr>
            <w:r>
              <w:rPr/>
              <w:t>  ​ ​ ​</w:t>
            </w:r>
          </w:p>
        </w:tc>
        <w:tc>
          <w:tcPr>
            <w:tcW w:w="3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w:t>
            </w:r>
          </w:p>
        </w:tc>
        <w:tc>
          <w:tcPr>
            <w:tcW w:w="558" w:type="dxa"/>
            <w:tcBorders/>
            <w:shd w:fill="CCEEFF" w:val="clear"/>
            <w:vAlign w:val="center"/>
          </w:tcPr>
          <w:p>
            <w:pPr>
              <w:pStyle w:val="TableContents"/>
              <w:bidi w:val="0"/>
              <w:spacing w:before="0" w:after="0"/>
              <w:ind w:left="0" w:right="0" w:hanging="0"/>
              <w:jc w:val="left"/>
              <w:rPr/>
            </w:pPr>
            <w:r>
              <w:rPr/>
              <w:t>  ​ ​ ​</w:t>
            </w:r>
          </w:p>
        </w:tc>
        <w:tc>
          <w:tcPr>
            <w:tcW w:w="5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Depreciation and amortization expenses increased $0.6 million, or 9.6%, to $6.4 million for the three months ended March 31, 2026 compared to $5.9 million for the same period in 2025. The increase was primarily due to the impact of infrastructure and technology purchases and other capitalized costs to support our growth. </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Change in Fair Value of Acquisition Contingent Earn-outs</w:t>
      </w:r>
    </w:p>
    <w:p>
      <w:pPr>
        <w:pStyle w:val="TextBody"/>
        <w:bidi w:val="0"/>
        <w:spacing w:before="0" w:after="0"/>
        <w:ind w:left="0" w:right="0" w:firstLine="360"/>
        <w:jc w:val="both"/>
        <w:rPr/>
      </w:pPr>
      <w:r>
        <w:rPr/>
        <w:t>​</w:t>
      </w:r>
    </w:p>
    <w:tbl>
      <w:tblPr>
        <w:tblW w:w="9137" w:type="dxa"/>
        <w:jc w:val="left"/>
        <w:tblInd w:w="0" w:type="dxa"/>
        <w:tblLayout w:type="fixed"/>
        <w:tblCellMar>
          <w:top w:w="0" w:type="dxa"/>
          <w:left w:w="0" w:type="dxa"/>
          <w:bottom w:w="0" w:type="dxa"/>
          <w:right w:w="0" w:type="dxa"/>
        </w:tblCellMar>
      </w:tblPr>
      <w:tblGrid>
        <w:gridCol w:w="4036"/>
        <w:gridCol w:w="406"/>
        <w:gridCol w:w="211"/>
        <w:gridCol w:w="745"/>
        <w:gridCol w:w="117"/>
        <w:gridCol w:w="211"/>
        <w:gridCol w:w="859"/>
        <w:gridCol w:w="346"/>
        <w:gridCol w:w="221"/>
        <w:gridCol w:w="644"/>
        <w:gridCol w:w="390"/>
        <w:gridCol w:w="593"/>
        <w:gridCol w:w="358"/>
      </w:tblGrid>
      <w:tr>
        <w:trPr/>
        <w:tc>
          <w:tcPr>
            <w:tcW w:w="4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2562860" cy="175260"/>
                      <wp:effectExtent l="0" t="0" r="0" b="0"/>
                      <wp:wrapNone/>
                      <wp:docPr id="456" name="Frame456"/>
                      <a:graphic xmlns:a="http://schemas.openxmlformats.org/drawingml/2006/main">
                        <a:graphicData uri="http://schemas.microsoft.com/office/word/2010/wordprocessingShape">
                          <wps:wsp>
                            <wps:cNvSpPr txBox="1"/>
                            <wps:spPr>
                              <a:xfrm>
                                <a:off x="0" y="0"/>
                                <a:ext cx="2562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257810" cy="175260"/>
                      <wp:effectExtent l="0" t="0" r="0" b="0"/>
                      <wp:wrapNone/>
                      <wp:docPr id="457" name="Frame457"/>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133985" cy="175260"/>
                      <wp:effectExtent l="0" t="0" r="0" b="0"/>
                      <wp:wrapNone/>
                      <wp:docPr id="458" name="Frame4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473075" cy="175260"/>
                      <wp:effectExtent l="0" t="0" r="0" b="0"/>
                      <wp:wrapNone/>
                      <wp:docPr id="459" name="Frame459"/>
                      <a:graphic xmlns:a="http://schemas.openxmlformats.org/drawingml/2006/main">
                        <a:graphicData uri="http://schemas.microsoft.com/office/word/2010/wordprocessingShape">
                          <wps:wsp>
                            <wps:cNvSpPr txBox="1"/>
                            <wps:spPr>
                              <a:xfrm>
                                <a:off x="0" y="0"/>
                                <a:ext cx="4730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74295" cy="175260"/>
                      <wp:effectExtent l="0" t="0" r="0" b="0"/>
                      <wp:wrapNone/>
                      <wp:docPr id="460" name="Frame460"/>
                      <a:graphic xmlns:a="http://schemas.openxmlformats.org/drawingml/2006/main">
                        <a:graphicData uri="http://schemas.microsoft.com/office/word/2010/wordprocessingShape">
                          <wps:wsp>
                            <wps:cNvSpPr txBox="1"/>
                            <wps:spPr>
                              <a:xfrm>
                                <a:off x="0" y="0"/>
                                <a:ext cx="74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133985" cy="175260"/>
                      <wp:effectExtent l="0" t="0" r="0" b="0"/>
                      <wp:wrapNone/>
                      <wp:docPr id="461" name="Frame4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545465" cy="175260"/>
                      <wp:effectExtent l="0" t="0" r="0" b="0"/>
                      <wp:wrapNone/>
                      <wp:docPr id="462" name="Frame462"/>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219710" cy="175260"/>
                      <wp:effectExtent l="0" t="0" r="0" b="0"/>
                      <wp:wrapNone/>
                      <wp:docPr id="463" name="Frame4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140335" cy="175260"/>
                      <wp:effectExtent l="0" t="0" r="0" b="0"/>
                      <wp:wrapNone/>
                      <wp:docPr id="464" name="Frame464"/>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408940" cy="175260"/>
                      <wp:effectExtent l="0" t="0" r="0" b="0"/>
                      <wp:wrapNone/>
                      <wp:docPr id="465" name="Frame465"/>
                      <a:graphic xmlns:a="http://schemas.openxmlformats.org/drawingml/2006/main">
                        <a:graphicData uri="http://schemas.microsoft.com/office/word/2010/wordprocessingShape">
                          <wps:wsp>
                            <wps:cNvSpPr txBox="1"/>
                            <wps:spPr>
                              <a:xfrm>
                                <a:off x="0" y="0"/>
                                <a:ext cx="408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247650" cy="175260"/>
                      <wp:effectExtent l="0" t="0" r="0" b="0"/>
                      <wp:wrapNone/>
                      <wp:docPr id="466" name="Frame466"/>
                      <a:graphic xmlns:a="http://schemas.openxmlformats.org/drawingml/2006/main">
                        <a:graphicData uri="http://schemas.microsoft.com/office/word/2010/wordprocessingShape">
                          <wps:wsp>
                            <wps:cNvSpPr txBox="1"/>
                            <wps:spPr>
                              <a:xfrm>
                                <a:off x="0" y="0"/>
                                <a:ext cx="2476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376555" cy="175260"/>
                      <wp:effectExtent l="0" t="0" r="0" b="0"/>
                      <wp:wrapNone/>
                      <wp:docPr id="467" name="Frame467"/>
                      <a:graphic xmlns:a="http://schemas.openxmlformats.org/drawingml/2006/main">
                        <a:graphicData uri="http://schemas.microsoft.com/office/word/2010/wordprocessingShape">
                          <wps:wsp>
                            <wps:cNvSpPr txBox="1"/>
                            <wps:spPr>
                              <a:xfrm>
                                <a:off x="0" y="0"/>
                                <a:ext cx="376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227330" cy="175260"/>
                      <wp:effectExtent l="0" t="0" r="0" b="0"/>
                      <wp:wrapNone/>
                      <wp:docPr id="468" name="Frame468"/>
                      <a:graphic xmlns:a="http://schemas.openxmlformats.org/drawingml/2006/main">
                        <a:graphicData uri="http://schemas.microsoft.com/office/word/2010/wordprocessingShape">
                          <wps:wsp>
                            <wps:cNvSpPr txBox="1"/>
                            <wps:spPr>
                              <a:xfrm>
                                <a:off x="0" y="0"/>
                                <a:ext cx="2273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36"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left"/>
              <w:rPr/>
            </w:pPr>
            <w:r>
              <w:rPr/>
              <w:t>​</w:t>
            </w:r>
          </w:p>
        </w:tc>
        <w:tc>
          <w:tcPr>
            <w:tcW w:w="2143"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4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center"/>
              <w:rPr/>
            </w:pPr>
            <w:r>
              <w:rPr/>
              <w:t>​</w:t>
            </w:r>
          </w:p>
        </w:tc>
        <w:tc>
          <w:tcPr>
            <w:tcW w:w="390" w:type="dxa"/>
            <w:tcBorders/>
            <w:vAlign w:val="center"/>
          </w:tcPr>
          <w:p>
            <w:pPr>
              <w:pStyle w:val="TableContents"/>
              <w:bidi w:val="0"/>
              <w:spacing w:before="0" w:after="1"/>
              <w:ind w:left="0" w:right="0" w:hanging="0"/>
              <w:jc w:val="left"/>
              <w:rPr/>
            </w:pPr>
            <w:r>
              <w:rPr/>
              <w:t>​</w:t>
            </w:r>
          </w:p>
        </w:tc>
        <w:tc>
          <w:tcPr>
            <w:tcW w:w="593" w:type="dxa"/>
            <w:tcBorders/>
            <w:vAlign w:val="center"/>
          </w:tcPr>
          <w:p>
            <w:pPr>
              <w:pStyle w:val="TableContents"/>
              <w:bidi w:val="0"/>
              <w:spacing w:before="0" w:after="1"/>
              <w:ind w:left="0" w:right="0" w:hanging="0"/>
              <w:jc w:val="center"/>
              <w:rPr/>
            </w:pPr>
            <w:r>
              <w:rPr/>
              <w:t>​</w:t>
            </w:r>
          </w:p>
        </w:tc>
        <w:tc>
          <w:tcPr>
            <w:tcW w:w="358" w:type="dxa"/>
            <w:tcBorders/>
            <w:vAlign w:val="center"/>
          </w:tcPr>
          <w:p>
            <w:pPr>
              <w:pStyle w:val="TableContents"/>
              <w:bidi w:val="0"/>
              <w:spacing w:before="0" w:after="1"/>
              <w:ind w:left="0" w:right="0" w:hanging="0"/>
              <w:jc w:val="left"/>
              <w:rPr/>
            </w:pPr>
            <w:r>
              <w:rPr/>
              <w:t>​</w:t>
            </w:r>
          </w:p>
        </w:tc>
      </w:tr>
      <w:tr>
        <w:trPr/>
        <w:tc>
          <w:tcPr>
            <w:tcW w:w="4036"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left"/>
              <w:rPr/>
            </w:pPr>
            <w:r>
              <w:rPr/>
              <w:t>  ​ ​ ​ ​</w:t>
            </w:r>
          </w:p>
        </w:tc>
        <w:tc>
          <w:tcPr>
            <w:tcW w:w="214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center"/>
              <w:rPr/>
            </w:pPr>
            <w:r>
              <w:rPr/>
              <w:t>​</w:t>
            </w:r>
          </w:p>
        </w:tc>
        <w:tc>
          <w:tcPr>
            <w:tcW w:w="390" w:type="dxa"/>
            <w:tcBorders/>
            <w:vAlign w:val="center"/>
          </w:tcPr>
          <w:p>
            <w:pPr>
              <w:pStyle w:val="TableContents"/>
              <w:bidi w:val="0"/>
              <w:spacing w:before="0" w:after="1"/>
              <w:ind w:left="0" w:right="0" w:hanging="0"/>
              <w:jc w:val="left"/>
              <w:rPr/>
            </w:pPr>
            <w:r>
              <w:rPr/>
              <w:t>​</w:t>
            </w:r>
          </w:p>
        </w:tc>
        <w:tc>
          <w:tcPr>
            <w:tcW w:w="593" w:type="dxa"/>
            <w:tcBorders/>
            <w:vAlign w:val="center"/>
          </w:tcPr>
          <w:p>
            <w:pPr>
              <w:pStyle w:val="TableContents"/>
              <w:bidi w:val="0"/>
              <w:spacing w:before="0" w:after="1"/>
              <w:ind w:left="0" w:right="0" w:hanging="0"/>
              <w:jc w:val="center"/>
              <w:rPr/>
            </w:pPr>
            <w:r>
              <w:rPr/>
              <w:t>​</w:t>
            </w:r>
          </w:p>
        </w:tc>
        <w:tc>
          <w:tcPr>
            <w:tcW w:w="358" w:type="dxa"/>
            <w:tcBorders/>
            <w:vAlign w:val="center"/>
          </w:tcPr>
          <w:p>
            <w:pPr>
              <w:pStyle w:val="TableContents"/>
              <w:bidi w:val="0"/>
              <w:spacing w:before="0" w:after="1"/>
              <w:ind w:left="0" w:right="0" w:hanging="0"/>
              <w:jc w:val="left"/>
              <w:rPr/>
            </w:pPr>
            <w:r>
              <w:rPr/>
              <w:t>​</w:t>
            </w:r>
          </w:p>
        </w:tc>
      </w:tr>
      <w:tr>
        <w:trPr/>
        <w:tc>
          <w:tcPr>
            <w:tcW w:w="403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406" w:type="dxa"/>
            <w:tcBorders/>
            <w:vAlign w:val="center"/>
          </w:tcPr>
          <w:p>
            <w:pPr>
              <w:pStyle w:val="TableContents"/>
              <w:bidi w:val="0"/>
              <w:spacing w:before="0" w:after="1"/>
              <w:ind w:left="0" w:right="0" w:hanging="0"/>
              <w:jc w:val="left"/>
              <w:rPr/>
            </w:pPr>
            <w:r>
              <w:rPr/>
              <w:t>​</w:t>
            </w:r>
          </w:p>
        </w:tc>
        <w:tc>
          <w:tcPr>
            <w:tcW w:w="9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17" w:type="dxa"/>
            <w:tcBorders/>
            <w:vAlign w:val="center"/>
          </w:tcPr>
          <w:p>
            <w:pPr>
              <w:pStyle w:val="TableContents"/>
              <w:bidi w:val="0"/>
              <w:spacing w:before="0" w:after="1"/>
              <w:ind w:left="0" w:right="0" w:hanging="0"/>
              <w:jc w:val="center"/>
              <w:rPr/>
            </w:pPr>
            <w:r>
              <w:rPr/>
              <w:t>​</w:t>
            </w:r>
          </w:p>
        </w:tc>
        <w:tc>
          <w:tcPr>
            <w:tcW w:w="10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left"/>
              <w:rPr/>
            </w:pPr>
            <w:r>
              <w:rPr/>
              <w:t>  ​ ​ ​</w:t>
            </w:r>
          </w:p>
        </w:tc>
        <w:tc>
          <w:tcPr>
            <w:tcW w:w="220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r>
      <w:tr>
        <w:trPr/>
        <w:tc>
          <w:tcPr>
            <w:tcW w:w="40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Change in fair value of acquisition contingent earn-outs</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(5,738)</w:t>
            </w:r>
          </w:p>
        </w:tc>
        <w:tc>
          <w:tcPr>
            <w:tcW w:w="117"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(14,700)</w:t>
            </w:r>
          </w:p>
        </w:tc>
        <w:tc>
          <w:tcPr>
            <w:tcW w:w="346" w:type="dxa"/>
            <w:tcBorders/>
            <w:shd w:fill="CCEEFF" w:val="clear"/>
            <w:vAlign w:val="center"/>
          </w:tcPr>
          <w:p>
            <w:pPr>
              <w:pStyle w:val="TableContents"/>
              <w:bidi w:val="0"/>
              <w:spacing w:before="0" w:after="1"/>
              <w:ind w:left="0" w:right="0" w:hanging="0"/>
              <w:jc w:val="left"/>
              <w:rPr/>
            </w:pPr>
            <w:r>
              <w:rPr/>
              <w:t>  ​ ​ ​</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8,962</w:t>
            </w:r>
          </w:p>
        </w:tc>
        <w:tc>
          <w:tcPr>
            <w:tcW w:w="390" w:type="dxa"/>
            <w:tcBorders/>
            <w:shd w:fill="CCEEFF" w:val="clear"/>
            <w:vAlign w:val="center"/>
          </w:tcPr>
          <w:p>
            <w:pPr>
              <w:pStyle w:val="TableContents"/>
              <w:bidi w:val="0"/>
              <w:spacing w:before="0" w:after="1"/>
              <w:ind w:left="0" w:right="0" w:hanging="0"/>
              <w:jc w:val="right"/>
              <w:rPr/>
            </w:pPr>
            <w:r>
              <w:rPr/>
              <w:t>  ​ ​ ​</w:t>
            </w:r>
          </w:p>
        </w:tc>
        <w:tc>
          <w:tcPr>
            <w:tcW w:w="5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(61.0)</w:t>
            </w:r>
          </w:p>
        </w:tc>
        <w:tc>
          <w:tcPr>
            <w:tcW w:w="3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36"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45" w:type="dxa"/>
            <w:tcBorders/>
            <w:vAlign w:val="center"/>
          </w:tcPr>
          <w:p>
            <w:pPr>
              <w:pStyle w:val="TableContents"/>
              <w:bidi w:val="0"/>
              <w:spacing w:before="0" w:after="1"/>
              <w:ind w:left="0" w:right="0" w:hanging="0"/>
              <w:jc w:val="left"/>
              <w:rPr/>
            </w:pPr>
            <w:r>
              <w:rPr/>
              <w:t>​</w:t>
            </w:r>
          </w:p>
        </w:tc>
        <w:tc>
          <w:tcPr>
            <w:tcW w:w="117"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5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left"/>
              <w:rPr/>
            </w:pPr>
            <w:r>
              <w:rPr/>
              <w:t>​</w:t>
            </w:r>
          </w:p>
        </w:tc>
        <w:tc>
          <w:tcPr>
            <w:tcW w:w="390" w:type="dxa"/>
            <w:tcBorders/>
            <w:vAlign w:val="center"/>
          </w:tcPr>
          <w:p>
            <w:pPr>
              <w:pStyle w:val="TableContents"/>
              <w:bidi w:val="0"/>
              <w:spacing w:before="0" w:after="1"/>
              <w:ind w:left="0" w:right="0" w:hanging="0"/>
              <w:jc w:val="left"/>
              <w:rPr/>
            </w:pPr>
            <w:r>
              <w:rPr/>
              <w:t>​</w:t>
            </w:r>
          </w:p>
        </w:tc>
        <w:tc>
          <w:tcPr>
            <w:tcW w:w="593" w:type="dxa"/>
            <w:tcBorders/>
            <w:vAlign w:val="center"/>
          </w:tcPr>
          <w:p>
            <w:pPr>
              <w:pStyle w:val="TableContents"/>
              <w:bidi w:val="0"/>
              <w:spacing w:before="0" w:after="1"/>
              <w:ind w:left="0" w:right="0" w:hanging="0"/>
              <w:jc w:val="left"/>
              <w:rPr/>
            </w:pPr>
            <w:r>
              <w:rPr/>
              <w:t>​</w:t>
            </w:r>
          </w:p>
        </w:tc>
        <w:tc>
          <w:tcPr>
            <w:tcW w:w="358"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Change in fair value of acquisition contingent earn-outs was $(5.7) million for the three months ended March 31, 2026 due to adjustments to the fair values of our ecosio acquisition contingent Cash Earn-outs and Stock Earn-outs of $(0.3) million and $(5.4) million, respectively. Change in fair value of acquisition contingent earn-outs was $(14.7) million for the three months ended March 31, 2025 due to adjustments to the fair values of our ecosio acquisition contingent Cash Earn-outs and Stock Earn-outs of $1.7 million and $(16.4) million, respectively. For further information, refer to Note 4, “Financial Instruments and Fair Value Measurements” to the condensed consolidated financial statements included in this Quarterly Report on Form 10-Q.</w:t>
      </w:r>
    </w:p>
    <w:p>
      <w:pPr>
        <w:pStyle w:val="TextBody"/>
        <w:bidi w:val="0"/>
        <w:spacing w:before="0" w:after="0"/>
        <w:ind w:left="0" w:right="0" w:firstLine="360"/>
        <w:jc w:val="left"/>
        <w:rPr>
          <w:rFonts w:ascii="Times New Roman;Times;serif" w:hAnsi="Times New Roman;Times;serif"/>
          <w:b/>
          <w:sz w:val="20"/>
        </w:rPr>
      </w:pPr>
      <w:r>
        <w:rPr>
          <w:rFonts w:ascii="Times New Roman;Times;serif" w:hAnsi="Times New Roman;Times;serif"/>
          <w:b/>
          <w:sz w:val="20"/>
        </w:rPr>
        <w:t>Other Operating Expense, Net</w:t>
      </w:r>
    </w:p>
    <w:tbl>
      <w:tblPr>
        <w:tblW w:w="7759" w:type="dxa"/>
        <w:jc w:val="left"/>
        <w:tblInd w:w="0" w:type="dxa"/>
        <w:tblLayout w:type="fixed"/>
        <w:tblCellMar>
          <w:top w:w="0" w:type="dxa"/>
          <w:left w:w="0" w:type="dxa"/>
          <w:bottom w:w="0" w:type="dxa"/>
          <w:right w:w="0" w:type="dxa"/>
        </w:tblCellMar>
      </w:tblPr>
      <w:tblGrid>
        <w:gridCol w:w="2446"/>
        <w:gridCol w:w="346"/>
        <w:gridCol w:w="237"/>
        <w:gridCol w:w="641"/>
        <w:gridCol w:w="388"/>
        <w:gridCol w:w="237"/>
        <w:gridCol w:w="641"/>
        <w:gridCol w:w="346"/>
        <w:gridCol w:w="352"/>
        <w:gridCol w:w="627"/>
        <w:gridCol w:w="577"/>
        <w:gridCol w:w="605"/>
        <w:gridCol w:w="316"/>
      </w:tblGrid>
      <w:tr>
        <w:trPr/>
        <w:tc>
          <w:tcPr>
            <w:tcW w:w="2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1553210" cy="175260"/>
                      <wp:effectExtent l="0" t="0" r="0" b="0"/>
                      <wp:wrapNone/>
                      <wp:docPr id="469" name="Frame469"/>
                      <a:graphic xmlns:a="http://schemas.openxmlformats.org/drawingml/2006/main">
                        <a:graphicData uri="http://schemas.microsoft.com/office/word/2010/wordprocessingShape">
                          <wps:wsp>
                            <wps:cNvSpPr txBox="1"/>
                            <wps:spPr>
                              <a:xfrm>
                                <a:off x="0" y="0"/>
                                <a:ext cx="1553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219710" cy="175260"/>
                      <wp:effectExtent l="0" t="0" r="0" b="0"/>
                      <wp:wrapNone/>
                      <wp:docPr id="470" name="Frame4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150495" cy="175260"/>
                      <wp:effectExtent l="0" t="0" r="0" b="0"/>
                      <wp:wrapNone/>
                      <wp:docPr id="471" name="Frame471"/>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407035" cy="175260"/>
                      <wp:effectExtent l="0" t="0" r="0" b="0"/>
                      <wp:wrapNone/>
                      <wp:docPr id="472" name="Frame472"/>
                      <a:graphic xmlns:a="http://schemas.openxmlformats.org/drawingml/2006/main">
                        <a:graphicData uri="http://schemas.microsoft.com/office/word/2010/wordprocessingShape">
                          <wps:wsp>
                            <wps:cNvSpPr txBox="1"/>
                            <wps:spPr>
                              <a:xfrm>
                                <a:off x="0" y="0"/>
                                <a:ext cx="407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246380" cy="175260"/>
                      <wp:effectExtent l="0" t="0" r="0" b="0"/>
                      <wp:wrapNone/>
                      <wp:docPr id="473" name="Frame473"/>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150495" cy="175260"/>
                      <wp:effectExtent l="0" t="0" r="0" b="0"/>
                      <wp:wrapNone/>
                      <wp:docPr id="474" name="Frame474"/>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407035" cy="175260"/>
                      <wp:effectExtent l="0" t="0" r="0" b="0"/>
                      <wp:wrapNone/>
                      <wp:docPr id="475" name="Frame475"/>
                      <a:graphic xmlns:a="http://schemas.openxmlformats.org/drawingml/2006/main">
                        <a:graphicData uri="http://schemas.microsoft.com/office/word/2010/wordprocessingShape">
                          <wps:wsp>
                            <wps:cNvSpPr txBox="1"/>
                            <wps:spPr>
                              <a:xfrm>
                                <a:off x="0" y="0"/>
                                <a:ext cx="407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219710" cy="175260"/>
                      <wp:effectExtent l="0" t="0" r="0" b="0"/>
                      <wp:wrapNone/>
                      <wp:docPr id="476" name="Frame4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223520" cy="175260"/>
                      <wp:effectExtent l="0" t="0" r="0" b="0"/>
                      <wp:wrapNone/>
                      <wp:docPr id="477" name="Frame477"/>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398145" cy="175260"/>
                      <wp:effectExtent l="0" t="0" r="0" b="0"/>
                      <wp:wrapNone/>
                      <wp:docPr id="478" name="Frame478"/>
                      <a:graphic xmlns:a="http://schemas.openxmlformats.org/drawingml/2006/main">
                        <a:graphicData uri="http://schemas.microsoft.com/office/word/2010/wordprocessingShape">
                          <wps:wsp>
                            <wps:cNvSpPr txBox="1"/>
                            <wps:spPr>
                              <a:xfrm>
                                <a:off x="0" y="0"/>
                                <a:ext cx="398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366395" cy="175260"/>
                      <wp:effectExtent l="0" t="0" r="0" b="0"/>
                      <wp:wrapNone/>
                      <wp:docPr id="479" name="Frame479"/>
                      <a:graphic xmlns:a="http://schemas.openxmlformats.org/drawingml/2006/main">
                        <a:graphicData uri="http://schemas.microsoft.com/office/word/2010/wordprocessingShape">
                          <wps:wsp>
                            <wps:cNvSpPr txBox="1"/>
                            <wps:spPr>
                              <a:xfrm>
                                <a:off x="0" y="0"/>
                                <a:ext cx="366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384175" cy="175260"/>
                      <wp:effectExtent l="0" t="0" r="0" b="0"/>
                      <wp:wrapNone/>
                      <wp:docPr id="480" name="Frame480"/>
                      <a:graphic xmlns:a="http://schemas.openxmlformats.org/drawingml/2006/main">
                        <a:graphicData uri="http://schemas.microsoft.com/office/word/2010/wordprocessingShape">
                          <wps:wsp>
                            <wps:cNvSpPr txBox="1"/>
                            <wps:spPr>
                              <a:xfrm>
                                <a:off x="0" y="0"/>
                                <a:ext cx="384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200660" cy="175260"/>
                      <wp:effectExtent l="0" t="0" r="0" b="0"/>
                      <wp:wrapNone/>
                      <wp:docPr id="481" name="Frame48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4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4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627" w:type="dxa"/>
            <w:tcBorders/>
            <w:vAlign w:val="center"/>
          </w:tcPr>
          <w:p>
            <w:pPr>
              <w:pStyle w:val="TableContents"/>
              <w:bidi w:val="0"/>
              <w:spacing w:before="0" w:after="0"/>
              <w:ind w:left="0" w:right="0" w:hanging="0"/>
              <w:jc w:val="center"/>
              <w:rPr/>
            </w:pPr>
            <w:r>
              <w:rPr/>
              <w:t>​</w:t>
            </w:r>
          </w:p>
        </w:tc>
        <w:tc>
          <w:tcPr>
            <w:tcW w:w="577"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4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627" w:type="dxa"/>
            <w:tcBorders/>
            <w:vAlign w:val="center"/>
          </w:tcPr>
          <w:p>
            <w:pPr>
              <w:pStyle w:val="TableContents"/>
              <w:bidi w:val="0"/>
              <w:spacing w:before="0" w:after="0"/>
              <w:ind w:left="0" w:right="0" w:hanging="0"/>
              <w:jc w:val="center"/>
              <w:rPr/>
            </w:pPr>
            <w:r>
              <w:rPr/>
              <w:t>​</w:t>
            </w:r>
          </w:p>
        </w:tc>
        <w:tc>
          <w:tcPr>
            <w:tcW w:w="577"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46" w:type="dxa"/>
            <w:tcBorders/>
            <w:vAlign w:val="center"/>
          </w:tcPr>
          <w:p>
            <w:pPr>
              <w:pStyle w:val="TableContents"/>
              <w:bidi w:val="0"/>
              <w:spacing w:before="0" w:after="0"/>
              <w:ind w:left="0" w:right="0" w:hanging="0"/>
              <w:jc w:val="left"/>
              <w:rPr/>
            </w:pPr>
            <w:r>
              <w:rPr/>
              <w:t>  ​ ​ ​</w:t>
            </w:r>
          </w:p>
        </w:tc>
        <w:tc>
          <w:tcPr>
            <w:tcW w:w="8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88" w:type="dxa"/>
            <w:tcBorders/>
            <w:vAlign w:val="center"/>
          </w:tcPr>
          <w:p>
            <w:pPr>
              <w:pStyle w:val="TableContents"/>
              <w:bidi w:val="0"/>
              <w:spacing w:before="0" w:after="0"/>
              <w:ind w:left="0" w:right="0" w:hanging="0"/>
              <w:jc w:val="left"/>
              <w:rPr/>
            </w:pPr>
            <w:r>
              <w:rPr/>
              <w:t>  ​ ​ ​</w:t>
            </w:r>
          </w:p>
        </w:tc>
        <w:tc>
          <w:tcPr>
            <w:tcW w:w="8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216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vAlign w:val="center"/>
          </w:tcPr>
          <w:p>
            <w:pPr>
              <w:pStyle w:val="TableContents"/>
              <w:bidi w:val="0"/>
              <w:spacing w:before="0" w:after="0"/>
              <w:ind w:left="0" w:right="0" w:hanging="0"/>
              <w:jc w:val="center"/>
              <w:rPr/>
            </w:pPr>
            <w:r>
              <w:rPr/>
              <w:t>​</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operating expense, net</w:t>
            </w:r>
          </w:p>
        </w:tc>
        <w:tc>
          <w:tcPr>
            <w:tcW w:w="346" w:type="dxa"/>
            <w:tcBorders/>
            <w:shd w:fill="CCEEFF" w:val="clear"/>
            <w:vAlign w:val="center"/>
          </w:tcPr>
          <w:p>
            <w:pPr>
              <w:pStyle w:val="TableContents"/>
              <w:bidi w:val="0"/>
              <w:spacing w:before="0" w:after="0"/>
              <w:ind w:left="0" w:right="0" w:hanging="0"/>
              <w:jc w:val="left"/>
              <w:rPr/>
            </w:pPr>
            <w:r>
              <w:rPr/>
              <w:t>  ​ ​ ​</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3,247</w:t>
            </w:r>
          </w:p>
        </w:tc>
        <w:tc>
          <w:tcPr>
            <w:tcW w:w="388" w:type="dxa"/>
            <w:tcBorders/>
            <w:shd w:fill="CCEEFF" w:val="clear"/>
            <w:vAlign w:val="center"/>
          </w:tcPr>
          <w:p>
            <w:pPr>
              <w:pStyle w:val="TableContents"/>
              <w:bidi w:val="0"/>
              <w:spacing w:before="0" w:after="0"/>
              <w:ind w:left="0" w:right="0" w:hanging="0"/>
              <w:jc w:val="left"/>
              <w:rPr/>
            </w:pPr>
            <w:r>
              <w:rPr/>
              <w:t>  ​ ​ ​</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3,259</w:t>
            </w:r>
          </w:p>
        </w:tc>
        <w:tc>
          <w:tcPr>
            <w:tcW w:w="346" w:type="dxa"/>
            <w:tcBorders/>
            <w:shd w:fill="CCEEFF" w:val="clear"/>
            <w:vAlign w:val="center"/>
          </w:tcPr>
          <w:p>
            <w:pPr>
              <w:pStyle w:val="TableContents"/>
              <w:bidi w:val="0"/>
              <w:spacing w:before="0" w:after="0"/>
              <w:ind w:left="0" w:right="0" w:hanging="0"/>
              <w:jc w:val="left"/>
              <w:rPr/>
            </w:pPr>
            <w:r>
              <w:rPr/>
              <w:t>  ​ ​ ​</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577" w:type="dxa"/>
            <w:tcBorders/>
            <w:shd w:fill="CCEEFF" w:val="clear"/>
            <w:vAlign w:val="center"/>
          </w:tcPr>
          <w:p>
            <w:pPr>
              <w:pStyle w:val="TableContents"/>
              <w:bidi w:val="0"/>
              <w:spacing w:before="0" w:after="0"/>
              <w:ind w:left="0" w:right="0" w:hanging="0"/>
              <w:jc w:val="left"/>
              <w:rPr/>
            </w:pPr>
            <w:r>
              <w:rPr/>
              <w:t>  ​ ​ ​</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36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Other operating expense, net was $3.2 million for the three months ended March 31, 2026 compared to $3.3 million for the same period in 2025. Legal costs associated with a pending legal claim were $2.7 million and $2.4 million in the first three months ended March 31, 2026 and 2025, respectively. For further information, refer to Note 12, “Commitments and Contingencies” to the condensed consolidated financial statements included in this Quarterly Report on Form 10-Q. Additionally, foreign currency transaction gains (losses) were $(0.2) million and $0.6 million for the first three months ended March 31, 2026 and 2025, respectively.</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b/>
          <w:sz w:val="20"/>
        </w:rPr>
      </w:pPr>
      <w:r>
        <w:rPr>
          <w:rFonts w:ascii="Times New Roman;Times;serif" w:hAnsi="Times New Roman;Times;serif"/>
          <w:b/>
          <w:sz w:val="20"/>
        </w:rPr>
        <w:t>Interest Income, Net</w:t>
      </w:r>
    </w:p>
    <w:tbl>
      <w:tblPr>
        <w:tblW w:w="7024" w:type="dxa"/>
        <w:jc w:val="left"/>
        <w:tblInd w:w="0" w:type="dxa"/>
        <w:tblLayout w:type="fixed"/>
        <w:tblCellMar>
          <w:top w:w="0" w:type="dxa"/>
          <w:left w:w="0" w:type="dxa"/>
          <w:bottom w:w="0" w:type="dxa"/>
          <w:right w:w="0" w:type="dxa"/>
        </w:tblCellMar>
      </w:tblPr>
      <w:tblGrid>
        <w:gridCol w:w="1711"/>
        <w:gridCol w:w="346"/>
        <w:gridCol w:w="226"/>
        <w:gridCol w:w="580"/>
        <w:gridCol w:w="371"/>
        <w:gridCol w:w="226"/>
        <w:gridCol w:w="741"/>
        <w:gridCol w:w="346"/>
        <w:gridCol w:w="303"/>
        <w:gridCol w:w="604"/>
        <w:gridCol w:w="497"/>
        <w:gridCol w:w="757"/>
        <w:gridCol w:w="316"/>
      </w:tblGrid>
      <w:tr>
        <w:trPr/>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1086485" cy="175260"/>
                      <wp:effectExtent l="0" t="0" r="0" b="0"/>
                      <wp:wrapNone/>
                      <wp:docPr id="482" name="Frame482"/>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219710" cy="175260"/>
                      <wp:effectExtent l="0" t="0" r="0" b="0"/>
                      <wp:wrapNone/>
                      <wp:docPr id="483" name="Frame4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143510" cy="175260"/>
                      <wp:effectExtent l="0" t="0" r="0" b="0"/>
                      <wp:wrapNone/>
                      <wp:docPr id="484" name="Frame48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368300" cy="175260"/>
                      <wp:effectExtent l="0" t="0" r="0" b="0"/>
                      <wp:wrapNone/>
                      <wp:docPr id="485" name="Frame485"/>
                      <a:graphic xmlns:a="http://schemas.openxmlformats.org/drawingml/2006/main">
                        <a:graphicData uri="http://schemas.microsoft.com/office/word/2010/wordprocessingShape">
                          <wps:wsp>
                            <wps:cNvSpPr txBox="1"/>
                            <wps:spPr>
                              <a:xfrm>
                                <a:off x="0" y="0"/>
                                <a:ext cx="368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235585" cy="175260"/>
                      <wp:effectExtent l="0" t="0" r="0" b="0"/>
                      <wp:wrapNone/>
                      <wp:docPr id="486" name="Frame486"/>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143510" cy="175260"/>
                      <wp:effectExtent l="0" t="0" r="0" b="0"/>
                      <wp:wrapNone/>
                      <wp:docPr id="487" name="Frame48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470535" cy="175260"/>
                      <wp:effectExtent l="0" t="0" r="0" b="0"/>
                      <wp:wrapNone/>
                      <wp:docPr id="488" name="Frame488"/>
                      <a:graphic xmlns:a="http://schemas.openxmlformats.org/drawingml/2006/main">
                        <a:graphicData uri="http://schemas.microsoft.com/office/word/2010/wordprocessingShape">
                          <wps:wsp>
                            <wps:cNvSpPr txBox="1"/>
                            <wps:spPr>
                              <a:xfrm>
                                <a:off x="0" y="0"/>
                                <a:ext cx="470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219710" cy="175260"/>
                      <wp:effectExtent l="0" t="0" r="0" b="0"/>
                      <wp:wrapNone/>
                      <wp:docPr id="489" name="Frame4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192405" cy="175260"/>
                      <wp:effectExtent l="0" t="0" r="0" b="0"/>
                      <wp:wrapNone/>
                      <wp:docPr id="490" name="Frame490"/>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383540" cy="175260"/>
                      <wp:effectExtent l="0" t="0" r="0" b="0"/>
                      <wp:wrapNone/>
                      <wp:docPr id="491" name="Frame491"/>
                      <a:graphic xmlns:a="http://schemas.openxmlformats.org/drawingml/2006/main">
                        <a:graphicData uri="http://schemas.microsoft.com/office/word/2010/wordprocessingShape">
                          <wps:wsp>
                            <wps:cNvSpPr txBox="1"/>
                            <wps:spPr>
                              <a:xfrm>
                                <a:off x="0" y="0"/>
                                <a:ext cx="383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315595" cy="175260"/>
                      <wp:effectExtent l="0" t="0" r="0" b="0"/>
                      <wp:wrapNone/>
                      <wp:docPr id="492" name="Frame492"/>
                      <a:graphic xmlns:a="http://schemas.openxmlformats.org/drawingml/2006/main">
                        <a:graphicData uri="http://schemas.microsoft.com/office/word/2010/wordprocessingShape">
                          <wps:wsp>
                            <wps:cNvSpPr txBox="1"/>
                            <wps:spPr>
                              <a:xfrm>
                                <a:off x="0" y="0"/>
                                <a:ext cx="315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480695" cy="175260"/>
                      <wp:effectExtent l="0" t="0" r="0" b="0"/>
                      <wp:wrapNone/>
                      <wp:docPr id="493" name="Frame493"/>
                      <a:graphic xmlns:a="http://schemas.openxmlformats.org/drawingml/2006/main">
                        <a:graphicData uri="http://schemas.microsoft.com/office/word/2010/wordprocessingShape">
                          <wps:wsp>
                            <wps:cNvSpPr txBox="1"/>
                            <wps:spPr>
                              <a:xfrm>
                                <a:off x="0" y="0"/>
                                <a:ext cx="480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200660" cy="175260"/>
                      <wp:effectExtent l="0" t="0" r="0" b="0"/>
                      <wp:wrapNone/>
                      <wp:docPr id="494" name="Frame49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4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604" w:type="dxa"/>
            <w:tcBorders/>
            <w:vAlign w:val="center"/>
          </w:tcPr>
          <w:p>
            <w:pPr>
              <w:pStyle w:val="TableContents"/>
              <w:bidi w:val="0"/>
              <w:spacing w:before="0" w:after="0"/>
              <w:ind w:left="0" w:right="0" w:hanging="0"/>
              <w:jc w:val="center"/>
              <w:rPr/>
            </w:pPr>
            <w:r>
              <w:rPr/>
              <w:t>​</w:t>
            </w:r>
          </w:p>
        </w:tc>
        <w:tc>
          <w:tcPr>
            <w:tcW w:w="497"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17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604" w:type="dxa"/>
            <w:tcBorders/>
            <w:vAlign w:val="center"/>
          </w:tcPr>
          <w:p>
            <w:pPr>
              <w:pStyle w:val="TableContents"/>
              <w:bidi w:val="0"/>
              <w:spacing w:before="0" w:after="0"/>
              <w:ind w:left="0" w:right="0" w:hanging="0"/>
              <w:jc w:val="center"/>
              <w:rPr/>
            </w:pPr>
            <w:r>
              <w:rPr/>
              <w:t>​</w:t>
            </w:r>
          </w:p>
        </w:tc>
        <w:tc>
          <w:tcPr>
            <w:tcW w:w="497"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171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46" w:type="dxa"/>
            <w:tcBorders/>
            <w:vAlign w:val="center"/>
          </w:tcPr>
          <w:p>
            <w:pPr>
              <w:pStyle w:val="TableContents"/>
              <w:bidi w:val="0"/>
              <w:spacing w:before="0" w:after="0"/>
              <w:ind w:left="0" w:right="0" w:hanging="0"/>
              <w:jc w:val="left"/>
              <w:rPr/>
            </w:pPr>
            <w:r>
              <w:rPr/>
              <w:t>  ​ ​ ​</w:t>
            </w:r>
          </w:p>
        </w:tc>
        <w:tc>
          <w:tcPr>
            <w:tcW w:w="8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71" w:type="dxa"/>
            <w:tcBorders/>
            <w:vAlign w:val="center"/>
          </w:tcPr>
          <w:p>
            <w:pPr>
              <w:pStyle w:val="TableContents"/>
              <w:bidi w:val="0"/>
              <w:spacing w:before="0" w:after="0"/>
              <w:ind w:left="0" w:right="0" w:hanging="0"/>
              <w:jc w:val="left"/>
              <w:rPr/>
            </w:pPr>
            <w:r>
              <w:rPr/>
              <w:t>  ​ ​ ​</w:t>
            </w:r>
          </w:p>
        </w:tc>
        <w:tc>
          <w:tcPr>
            <w:tcW w:w="9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216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vAlign w:val="center"/>
          </w:tcPr>
          <w:p>
            <w:pPr>
              <w:pStyle w:val="TableContents"/>
              <w:bidi w:val="0"/>
              <w:spacing w:before="0" w:after="0"/>
              <w:ind w:left="0" w:right="0" w:hanging="0"/>
              <w:jc w:val="center"/>
              <w:rPr/>
            </w:pPr>
            <w:r>
              <w:rPr/>
              <w:t>​</w:t>
            </w:r>
          </w:p>
        </w:tc>
      </w:tr>
      <w:tr>
        <w:trPr/>
        <w:tc>
          <w:tcPr>
            <w:tcW w:w="1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net</w:t>
            </w:r>
          </w:p>
        </w:tc>
        <w:tc>
          <w:tcPr>
            <w:tcW w:w="346" w:type="dxa"/>
            <w:tcBorders/>
            <w:shd w:fill="CCEEFF" w:val="clear"/>
            <w:vAlign w:val="center"/>
          </w:tcPr>
          <w:p>
            <w:pPr>
              <w:pStyle w:val="TableContents"/>
              <w:bidi w:val="0"/>
              <w:spacing w:before="0" w:after="0"/>
              <w:ind w:left="0" w:right="0" w:hanging="0"/>
              <w:jc w:val="left"/>
              <w:rPr/>
            </w:pPr>
            <w:r>
              <w:rPr/>
              <w:t>  ​ ​ ​</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(957)</w:t>
            </w:r>
          </w:p>
        </w:tc>
        <w:tc>
          <w:tcPr>
            <w:tcW w:w="371" w:type="dxa"/>
            <w:tcBorders/>
            <w:shd w:fill="CCEEFF" w:val="clear"/>
            <w:vAlign w:val="center"/>
          </w:tcPr>
          <w:p>
            <w:pPr>
              <w:pStyle w:val="TableContents"/>
              <w:bidi w:val="0"/>
              <w:spacing w:before="0" w:after="0"/>
              <w:ind w:left="0" w:right="0" w:hanging="0"/>
              <w:jc w:val="left"/>
              <w:rPr/>
            </w:pPr>
            <w:r>
              <w:rPr/>
              <w:t>  ​ ​ ​</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(1,539)</w:t>
            </w:r>
          </w:p>
        </w:tc>
        <w:tc>
          <w:tcPr>
            <w:tcW w:w="346" w:type="dxa"/>
            <w:tcBorders/>
            <w:shd w:fill="CCEEFF" w:val="clear"/>
            <w:vAlign w:val="center"/>
          </w:tcPr>
          <w:p>
            <w:pPr>
              <w:pStyle w:val="TableContents"/>
              <w:bidi w:val="0"/>
              <w:spacing w:before="0" w:after="0"/>
              <w:ind w:left="0" w:right="0" w:hanging="0"/>
              <w:jc w:val="left"/>
              <w:rPr/>
            </w:pPr>
            <w:r>
              <w:rPr/>
              <w:t>  ​ ​ ​</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582</w:t>
            </w:r>
          </w:p>
        </w:tc>
        <w:tc>
          <w:tcPr>
            <w:tcW w:w="497" w:type="dxa"/>
            <w:tcBorders/>
            <w:shd w:fill="CCEEFF" w:val="clear"/>
            <w:vAlign w:val="center"/>
          </w:tcPr>
          <w:p>
            <w:pPr>
              <w:pStyle w:val="TableContents"/>
              <w:bidi w:val="0"/>
              <w:spacing w:before="0" w:after="0"/>
              <w:ind w:left="0" w:right="0" w:hanging="0"/>
              <w:jc w:val="left"/>
              <w:rPr/>
            </w:pPr>
            <w:r>
              <w:rPr/>
              <w:t>  ​ ​ ​</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Interest income, net was $1.0 million for the three months ended March 31, 2026 compared to $1.5 million for the same period in 2025. This change was mainly due to a $0.6 million decrease in interest income, driven by lower dollars invested and lower interest rates during the period.</w:t>
      </w:r>
    </w:p>
    <w:p>
      <w:pPr>
        <w:pStyle w:val="TextBody"/>
        <w:bidi w:val="0"/>
        <w:spacing w:before="0" w:after="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 xml:space="preserve">Income Tax Benefit </w:t>
      </w:r>
    </w:p>
    <w:tbl>
      <w:tblPr>
        <w:tblW w:w="7030" w:type="dxa"/>
        <w:jc w:val="left"/>
        <w:tblInd w:w="0" w:type="dxa"/>
        <w:tblLayout w:type="fixed"/>
        <w:tblCellMar>
          <w:top w:w="0" w:type="dxa"/>
          <w:left w:w="0" w:type="dxa"/>
          <w:bottom w:w="0" w:type="dxa"/>
          <w:right w:w="0" w:type="dxa"/>
        </w:tblCellMar>
      </w:tblPr>
      <w:tblGrid>
        <w:gridCol w:w="1711"/>
        <w:gridCol w:w="346"/>
        <w:gridCol w:w="211"/>
        <w:gridCol w:w="691"/>
        <w:gridCol w:w="346"/>
        <w:gridCol w:w="211"/>
        <w:gridCol w:w="691"/>
        <w:gridCol w:w="346"/>
        <w:gridCol w:w="275"/>
        <w:gridCol w:w="824"/>
        <w:gridCol w:w="452"/>
        <w:gridCol w:w="610"/>
        <w:gridCol w:w="316"/>
      </w:tblGrid>
      <w:tr>
        <w:trPr/>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1086485" cy="175260"/>
                      <wp:effectExtent l="0" t="0" r="0" b="0"/>
                      <wp:wrapNone/>
                      <wp:docPr id="495" name="Frame495"/>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219710" cy="175260"/>
                      <wp:effectExtent l="0" t="0" r="0" b="0"/>
                      <wp:wrapNone/>
                      <wp:docPr id="496" name="Frame4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133985" cy="175260"/>
                      <wp:effectExtent l="0" t="0" r="0" b="0"/>
                      <wp:wrapNone/>
                      <wp:docPr id="497" name="Frame4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438785" cy="175260"/>
                      <wp:effectExtent l="0" t="0" r="0" b="0"/>
                      <wp:wrapNone/>
                      <wp:docPr id="498" name="Frame49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219710" cy="175260"/>
                      <wp:effectExtent l="0" t="0" r="0" b="0"/>
                      <wp:wrapNone/>
                      <wp:docPr id="499" name="Frame4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133985" cy="175260"/>
                      <wp:effectExtent l="0" t="0" r="0" b="0"/>
                      <wp:wrapNone/>
                      <wp:docPr id="500" name="Frame5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438785" cy="175260"/>
                      <wp:effectExtent l="0" t="0" r="0" b="0"/>
                      <wp:wrapNone/>
                      <wp:docPr id="501" name="Frame50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219710" cy="175260"/>
                      <wp:effectExtent l="0" t="0" r="0" b="0"/>
                      <wp:wrapNone/>
                      <wp:docPr id="502" name="Frame5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174625" cy="175260"/>
                      <wp:effectExtent l="0" t="0" r="0" b="0"/>
                      <wp:wrapNone/>
                      <wp:docPr id="503" name="Frame503"/>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523240" cy="175260"/>
                      <wp:effectExtent l="0" t="0" r="0" b="0"/>
                      <wp:wrapNone/>
                      <wp:docPr id="504" name="Frame504"/>
                      <a:graphic xmlns:a="http://schemas.openxmlformats.org/drawingml/2006/main">
                        <a:graphicData uri="http://schemas.microsoft.com/office/word/2010/wordprocessingShape">
                          <wps:wsp>
                            <wps:cNvSpPr txBox="1"/>
                            <wps:spPr>
                              <a:xfrm>
                                <a:off x="0" y="0"/>
                                <a:ext cx="523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287020" cy="175260"/>
                      <wp:effectExtent l="0" t="0" r="0" b="0"/>
                      <wp:wrapNone/>
                      <wp:docPr id="505" name="Frame505"/>
                      <a:graphic xmlns:a="http://schemas.openxmlformats.org/drawingml/2006/main">
                        <a:graphicData uri="http://schemas.microsoft.com/office/word/2010/wordprocessingShape">
                          <wps:wsp>
                            <wps:cNvSpPr txBox="1"/>
                            <wps:spPr>
                              <a:xfrm>
                                <a:off x="0" y="0"/>
                                <a:ext cx="287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387350" cy="175260"/>
                      <wp:effectExtent l="0" t="0" r="0" b="0"/>
                      <wp:wrapNone/>
                      <wp:docPr id="506" name="Frame506"/>
                      <a:graphic xmlns:a="http://schemas.openxmlformats.org/drawingml/2006/main">
                        <a:graphicData uri="http://schemas.microsoft.com/office/word/2010/wordprocessingShape">
                          <wps:wsp>
                            <wps:cNvSpPr txBox="1"/>
                            <wps:spPr>
                              <a:xfrm>
                                <a:off x="0" y="0"/>
                                <a:ext cx="387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200660" cy="175260"/>
                      <wp:effectExtent l="0" t="0" r="0" b="0"/>
                      <wp:wrapNone/>
                      <wp:docPr id="507" name="Frame50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5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4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center"/>
              <w:rPr/>
            </w:pPr>
            <w:r>
              <w:rPr/>
              <w:t>​</w:t>
            </w:r>
          </w:p>
        </w:tc>
        <w:tc>
          <w:tcPr>
            <w:tcW w:w="452" w:type="dxa"/>
            <w:tcBorders/>
            <w:vAlign w:val="center"/>
          </w:tcPr>
          <w:p>
            <w:pPr>
              <w:pStyle w:val="TableContents"/>
              <w:bidi w:val="0"/>
              <w:spacing w:before="0" w:after="0"/>
              <w:ind w:left="0" w:right="0" w:hanging="0"/>
              <w:jc w:val="left"/>
              <w:rPr/>
            </w:pPr>
            <w:r>
              <w:rPr/>
              <w:t>​</w:t>
            </w:r>
          </w:p>
        </w:tc>
        <w:tc>
          <w:tcPr>
            <w:tcW w:w="610"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17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center"/>
              <w:rPr/>
            </w:pPr>
            <w:r>
              <w:rPr/>
              <w:t>​</w:t>
            </w:r>
          </w:p>
        </w:tc>
        <w:tc>
          <w:tcPr>
            <w:tcW w:w="452" w:type="dxa"/>
            <w:tcBorders/>
            <w:vAlign w:val="center"/>
          </w:tcPr>
          <w:p>
            <w:pPr>
              <w:pStyle w:val="TableContents"/>
              <w:bidi w:val="0"/>
              <w:spacing w:before="0" w:after="0"/>
              <w:ind w:left="0" w:right="0" w:hanging="0"/>
              <w:jc w:val="left"/>
              <w:rPr/>
            </w:pPr>
            <w:r>
              <w:rPr/>
              <w:t>​</w:t>
            </w:r>
          </w:p>
        </w:tc>
        <w:tc>
          <w:tcPr>
            <w:tcW w:w="610"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171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216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vAlign w:val="center"/>
          </w:tcPr>
          <w:p>
            <w:pPr>
              <w:pStyle w:val="TableContents"/>
              <w:bidi w:val="0"/>
              <w:spacing w:before="0" w:after="0"/>
              <w:ind w:left="0" w:right="0" w:hanging="0"/>
              <w:jc w:val="center"/>
              <w:rPr/>
            </w:pPr>
            <w:r>
              <w:rPr/>
              <w:t>​</w:t>
            </w:r>
          </w:p>
        </w:tc>
      </w:tr>
      <w:tr>
        <w:trPr/>
        <w:tc>
          <w:tcPr>
            <w:tcW w:w="1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(7,139)</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(5,105)</w:t>
            </w:r>
          </w:p>
        </w:tc>
        <w:tc>
          <w:tcPr>
            <w:tcW w:w="346" w:type="dxa"/>
            <w:tcBorders/>
            <w:shd w:fill="CCEEFF" w:val="clear"/>
            <w:vAlign w:val="center"/>
          </w:tcPr>
          <w:p>
            <w:pPr>
              <w:pStyle w:val="TableContents"/>
              <w:bidi w:val="0"/>
              <w:spacing w:before="0" w:after="0"/>
              <w:ind w:left="0" w:right="0" w:hanging="0"/>
              <w:jc w:val="left"/>
              <w:rPr/>
            </w:pPr>
            <w:r>
              <w:rPr/>
              <w:t>  ​ ​ ​</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(2,034)</w:t>
            </w:r>
          </w:p>
        </w:tc>
        <w:tc>
          <w:tcPr>
            <w:tcW w:w="452" w:type="dxa"/>
            <w:tcBorders/>
            <w:shd w:fill="CCEEFF" w:val="clear"/>
            <w:vAlign w:val="center"/>
          </w:tcPr>
          <w:p>
            <w:pPr>
              <w:pStyle w:val="TableContents"/>
              <w:bidi w:val="0"/>
              <w:spacing w:before="0" w:after="0"/>
              <w:ind w:left="0" w:right="0" w:hanging="0"/>
              <w:jc w:val="left"/>
              <w:rPr/>
            </w:pPr>
            <w:r>
              <w:rPr/>
              <w:t>  ​ ​ ​</w:t>
            </w:r>
          </w:p>
        </w:tc>
        <w:tc>
          <w:tcPr>
            <w:tcW w:w="6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Income tax benefit was $7.1 million and $5.1 million for the three months ended March 31, 2026 and 2025, respectively. The period-over-period change was primarily driven by increased tax benefits from fluctuations in valuation allowances on net deferred tax assets established for U.S. and certain foreign jurisdictions, as well the impact from the estimated annual effective tax rate applied to pre-tax loss for the three months ended March 31, 2026. These income tax benefit increases were offset partially by a decreased tax benefit on exercises and vesting of stock awards recognized, net of limitations on deductions of certain employees’ compensation, fluctuations in nondeductible contingent consideration liabilities as well as fluctuations in tax credits. </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 xml:space="preserve">Liquidity and Capital Resources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March 31, 2026, we had unrestricted cash and cash equivalents of $252.5 million. Our primary sources of capital include sales of our solutions, proceeds from bank lending facilities, and the offering of existing or future classes of stock.</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March 31, 2026, we had a credit agreement with a banking syndicate (the “Credit Agreement”) that provides a $300.0 million revolving facility (the “Line of Credit”). There were no outstanding borrowings under the Credit Agreement at March 31, 2026.</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April 26, 2024, we closed a private offering of $345.0 million aggregate principal amount of 0.750% Convertible Senior Notes due in 2029 (the “Notes”). The net proceeds from the offering of the Notes were $333.7 million, after deducting the initial purchasers’ discount and commissions, and other transaction and offering expenses. For further information on the Notes, refer to our 2025 Annual Report on Form 10-K. </w:t>
      </w:r>
    </w:p>
    <w:p>
      <w:pPr>
        <w:pStyle w:val="TextBody"/>
        <w:bidi w:val="0"/>
        <w:spacing w:before="0" w:after="0"/>
        <w:ind w:left="0" w:right="0" w:firstLine="360"/>
        <w:jc w:val="both"/>
        <w:rPr>
          <w:color w:val="7030A0"/>
        </w:rPr>
      </w:pPr>
      <w:r>
        <w:rPr>
          <w:color w:val="7030A0"/>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believe that our existing cash resources and our Line of Credit will be sufficient to meet our capital requirements and fund our operations for the next 12 months as well as our longer-term liquidity needs. If an early conversion notice occurs on our Notes, we have the option to pay cash, shares of our Class A common stock, or a combination of both. Also, we expect to have access to additional sources of funds in the capital markets, and we may, from time to time, seek additional capital through a combination of additional debt and/or equity financings. If we were to raise additional funds by issuing equity securities, our stockholders may experience dilution. Debt financing, if available, may involve covenants restricting our operations or our ability to incur additional debt. Any debt financing or additional equity that we raise may contain terms that are not favorable to us or our stockholders. Additional financing may not be available at all, or in amounts or on terms unacceptable to us.</w:t>
      </w:r>
    </w:p>
    <w:p>
      <w:pPr>
        <w:pStyle w:val="TextBody"/>
        <w:bidi w:val="0"/>
        <w:spacing w:before="0" w:after="0"/>
        <w:ind w:left="0" w:right="0" w:firstLine="360"/>
        <w:jc w:val="both"/>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presents a summary of our cash flows for the periods indicated:</w:t>
      </w:r>
    </w:p>
    <w:p>
      <w:pPr>
        <w:pStyle w:val="TextBody"/>
        <w:bidi w:val="0"/>
        <w:spacing w:before="0" w:after="0"/>
        <w:ind w:left="0" w:right="0" w:hanging="0"/>
        <w:jc w:val="left"/>
        <w:rPr/>
      </w:pPr>
      <w:r>
        <w:rPr/>
        <w:t>​</w:t>
      </w:r>
    </w:p>
    <w:tbl>
      <w:tblPr>
        <w:tblW w:w="9791" w:type="dxa"/>
        <w:jc w:val="left"/>
        <w:tblInd w:w="0" w:type="dxa"/>
        <w:tblLayout w:type="fixed"/>
        <w:tblCellMar>
          <w:top w:w="0" w:type="dxa"/>
          <w:left w:w="0" w:type="dxa"/>
          <w:bottom w:w="0" w:type="dxa"/>
          <w:right w:w="0" w:type="dxa"/>
        </w:tblCellMar>
      </w:tblPr>
      <w:tblGrid>
        <w:gridCol w:w="4741"/>
        <w:gridCol w:w="346"/>
        <w:gridCol w:w="211"/>
        <w:gridCol w:w="796"/>
        <w:gridCol w:w="346"/>
        <w:gridCol w:w="211"/>
        <w:gridCol w:w="796"/>
        <w:gridCol w:w="109"/>
        <w:gridCol w:w="238"/>
        <w:gridCol w:w="900"/>
        <w:gridCol w:w="781"/>
        <w:gridCol w:w="316"/>
      </w:tblGrid>
      <w:tr>
        <w:trPr/>
        <w:tc>
          <w:tcPr>
            <w:tcW w:w="4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3010535" cy="175260"/>
                      <wp:effectExtent l="0" t="0" r="0" b="0"/>
                      <wp:wrapNone/>
                      <wp:docPr id="508" name="Frame508"/>
                      <a:graphic xmlns:a="http://schemas.openxmlformats.org/drawingml/2006/main">
                        <a:graphicData uri="http://schemas.microsoft.com/office/word/2010/wordprocessingShape">
                          <wps:wsp>
                            <wps:cNvSpPr txBox="1"/>
                            <wps:spPr>
                              <a:xfrm>
                                <a:off x="0" y="0"/>
                                <a:ext cx="3010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219710" cy="175260"/>
                      <wp:effectExtent l="0" t="0" r="0" b="0"/>
                      <wp:wrapNone/>
                      <wp:docPr id="509" name="Frame5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133985" cy="175260"/>
                      <wp:effectExtent l="0" t="0" r="0" b="0"/>
                      <wp:wrapNone/>
                      <wp:docPr id="510" name="Frame5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505460" cy="175260"/>
                      <wp:effectExtent l="0" t="0" r="0" b="0"/>
                      <wp:wrapNone/>
                      <wp:docPr id="511" name="Frame51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219710" cy="175260"/>
                      <wp:effectExtent l="0" t="0" r="0" b="0"/>
                      <wp:wrapNone/>
                      <wp:docPr id="512" name="Frame5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133985" cy="175260"/>
                      <wp:effectExtent l="0" t="0" r="0" b="0"/>
                      <wp:wrapNone/>
                      <wp:docPr id="513" name="Frame5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505460" cy="175260"/>
                      <wp:effectExtent l="0" t="0" r="0" b="0"/>
                      <wp:wrapNone/>
                      <wp:docPr id="514" name="Frame51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69215" cy="175260"/>
                      <wp:effectExtent l="0" t="0" r="0" b="0"/>
                      <wp:wrapNone/>
                      <wp:docPr id="515" name="Frame5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151130" cy="175260"/>
                      <wp:effectExtent l="0" t="0" r="0" b="0"/>
                      <wp:wrapNone/>
                      <wp:docPr id="516" name="Frame516"/>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571500" cy="175260"/>
                      <wp:effectExtent l="0" t="0" r="0" b="0"/>
                      <wp:wrapNone/>
                      <wp:docPr id="517" name="Frame517"/>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495935" cy="175260"/>
                      <wp:effectExtent l="0" t="0" r="0" b="0"/>
                      <wp:wrapNone/>
                      <wp:docPr id="518" name="Frame51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200660" cy="175260"/>
                      <wp:effectExtent l="0" t="0" r="0" b="0"/>
                      <wp:wrapNone/>
                      <wp:docPr id="519" name="Frame51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109" w:type="dxa"/>
            <w:tcBorders/>
            <w:vAlign w:val="center"/>
          </w:tcPr>
          <w:p>
            <w:pPr>
              <w:pStyle w:val="TableContents"/>
              <w:bidi w:val="0"/>
              <w:spacing w:before="0" w:after="0"/>
              <w:ind w:left="0" w:right="0" w:hanging="0"/>
              <w:jc w:val="center"/>
              <w:rPr/>
            </w:pPr>
            <w:r>
              <w:rPr/>
              <w:t>​</w:t>
            </w:r>
          </w:p>
        </w:tc>
        <w:tc>
          <w:tcPr>
            <w:tcW w:w="238" w:type="dxa"/>
            <w:tcBorders/>
            <w:vAlign w:val="center"/>
          </w:tcPr>
          <w:p>
            <w:pPr>
              <w:pStyle w:val="TableContents"/>
              <w:bidi w:val="0"/>
              <w:spacing w:before="0" w:after="0"/>
              <w:ind w:left="0" w:right="0" w:hanging="0"/>
              <w:jc w:val="center"/>
              <w:rPr/>
            </w:pPr>
            <w:r>
              <w:rPr/>
              <w:t>​</w:t>
            </w:r>
          </w:p>
        </w:tc>
        <w:tc>
          <w:tcPr>
            <w:tcW w:w="900"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47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109" w:type="dxa"/>
            <w:tcBorders/>
            <w:vAlign w:val="center"/>
          </w:tcPr>
          <w:p>
            <w:pPr>
              <w:pStyle w:val="TableContents"/>
              <w:bidi w:val="0"/>
              <w:spacing w:before="0" w:after="0"/>
              <w:ind w:left="0" w:right="0" w:hanging="0"/>
              <w:jc w:val="center"/>
              <w:rPr/>
            </w:pPr>
            <w:r>
              <w:rPr/>
              <w:t>​</w:t>
            </w:r>
          </w:p>
        </w:tc>
        <w:tc>
          <w:tcPr>
            <w:tcW w:w="238" w:type="dxa"/>
            <w:tcBorders/>
            <w:vAlign w:val="center"/>
          </w:tcPr>
          <w:p>
            <w:pPr>
              <w:pStyle w:val="TableContents"/>
              <w:bidi w:val="0"/>
              <w:spacing w:before="0" w:after="0"/>
              <w:ind w:left="0" w:right="0" w:hanging="0"/>
              <w:jc w:val="center"/>
              <w:rPr/>
            </w:pPr>
            <w:r>
              <w:rPr/>
              <w:t>​</w:t>
            </w:r>
          </w:p>
        </w:tc>
        <w:tc>
          <w:tcPr>
            <w:tcW w:w="900"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474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46"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1919"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Year-Over-Year Change</w:t>
            </w:r>
          </w:p>
        </w:tc>
        <w:tc>
          <w:tcPr>
            <w:tcW w:w="31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4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37,975</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14,805</w:t>
            </w:r>
          </w:p>
        </w:tc>
        <w:tc>
          <w:tcPr>
            <w:tcW w:w="109" w:type="dxa"/>
            <w:tcBorders/>
            <w:shd w:fill="CCEEFF" w:val="clear"/>
            <w:vAlign w:val="center"/>
          </w:tcPr>
          <w:p>
            <w:pPr>
              <w:pStyle w:val="TableContents"/>
              <w:bidi w:val="0"/>
              <w:spacing w:before="0" w:after="0"/>
              <w:ind w:left="0" w:right="0" w:hanging="0"/>
              <w:jc w:val="righ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23,170</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(52,284)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(17,846)</w:t>
            </w:r>
          </w:p>
        </w:tc>
        <w:tc>
          <w:tcPr>
            <w:tcW w:w="109" w:type="dxa"/>
            <w:tcBorders/>
            <w:vAlign w:val="center"/>
          </w:tcPr>
          <w:p>
            <w:pPr>
              <w:pStyle w:val="TableContents"/>
              <w:bidi w:val="0"/>
              <w:spacing w:before="0" w:after="0"/>
              <w:ind w:left="0" w:right="0" w:hanging="0"/>
              <w:jc w:val="right"/>
              <w:rPr/>
            </w:pPr>
            <w:r>
              <w:rPr/>
              <w:t>​</w:t>
            </w:r>
          </w:p>
        </w:tc>
        <w:tc>
          <w:tcPr>
            <w:tcW w:w="238"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(34,438)</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(20,653)</w:t>
            </w:r>
          </w:p>
        </w:tc>
        <w:tc>
          <w:tcPr>
            <w:tcW w:w="109" w:type="dxa"/>
            <w:tcBorders/>
            <w:shd w:fill="CCEEFF" w:val="clear"/>
            <w:vAlign w:val="center"/>
          </w:tcPr>
          <w:p>
            <w:pPr>
              <w:pStyle w:val="TableContents"/>
              <w:bidi w:val="0"/>
              <w:spacing w:before="0" w:after="0"/>
              <w:ind w:left="0" w:right="0" w:hanging="0"/>
              <w:jc w:val="righ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(32,675)</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foreign exchange rate changes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1,310</w:t>
            </w:r>
          </w:p>
        </w:tc>
        <w:tc>
          <w:tcPr>
            <w:tcW w:w="109" w:type="dxa"/>
            <w:tcBorders/>
            <w:vAlign w:val="center"/>
          </w:tcPr>
          <w:p>
            <w:pPr>
              <w:pStyle w:val="TableContents"/>
              <w:bidi w:val="0"/>
              <w:spacing w:before="0" w:after="0"/>
              <w:ind w:left="0" w:right="0" w:hanging="0"/>
              <w:jc w:val="righ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(1,815)</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decrease in cash, cash equivalents and 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(68,142)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(22,384)</w:t>
            </w:r>
          </w:p>
        </w:tc>
        <w:tc>
          <w:tcPr>
            <w:tcW w:w="109" w:type="dxa"/>
            <w:tcBorders/>
            <w:shd w:fill="CCEEFF" w:val="clear"/>
            <w:vAlign w:val="center"/>
          </w:tcPr>
          <w:p>
            <w:pPr>
              <w:pStyle w:val="TableContents"/>
              <w:bidi w:val="0"/>
              <w:spacing w:before="0" w:after="0"/>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(45,758)</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lineRule="auto" w:line="300" w:before="0" w:after="0"/>
        <w:ind w:left="0" w:right="0" w:firstLine="360"/>
        <w:jc w:val="both"/>
        <w:rPr>
          <w:rFonts w:ascii="Times New Roman;Times;serif" w:hAnsi="Times New Roman;Times;serif"/>
          <w:sz w:val="20"/>
        </w:rPr>
      </w:pPr>
      <w:r>
        <w:rPr>
          <w:rFonts w:ascii="Times New Roman;Times;serif" w:hAnsi="Times New Roman;Times;serif"/>
          <w:b/>
          <w:i/>
          <w:sz w:val="20"/>
        </w:rPr>
        <w:t xml:space="preserve">Operating Activities. </w:t>
      </w:r>
      <w:r>
        <w:rPr>
          <w:rFonts w:ascii="Times New Roman;Times;serif" w:hAnsi="Times New Roman;Times;serif"/>
          <w:sz w:val="20"/>
        </w:rPr>
        <w:t xml:space="preserve">Net cash provided by operating activities of $38.0 million for the three months ended March 31, 2026 consisted of net loss of $(2.5) million, adjusted for non-cash charges of $46.1 million, and cash outflows of $(5.6) million related to changes in operating assets and liabilities. The change in operating assets and liabilities was primarily driven by a decrease in accrued and deferred compensation and accrued expenses, and an increase in prepaid expenses and other current assets due to the timing of cash payments during the period. These changes were partially offset by a decrease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lineRule="auto" w:line="300" w:before="0" w:after="0"/>
        <w:ind w:left="0" w:right="0" w:hanging="0"/>
        <w:jc w:val="both"/>
        <w:rPr>
          <w:rFonts w:ascii="Times New Roman;Times;serif" w:hAnsi="Times New Roman;Times;serif"/>
          <w:sz w:val="20"/>
        </w:rPr>
      </w:pPr>
      <w:r>
        <w:rPr>
          <w:rFonts w:ascii="Times New Roman;Times;serif" w:hAnsi="Times New Roman;Times;serif"/>
          <w:sz w:val="20"/>
        </w:rPr>
        <w:t>in accounts receivable and an increase in deferred revenue, primarily due to customer growth and the timing of cash collections during the period.</w:t>
      </w:r>
    </w:p>
    <w:p>
      <w:pPr>
        <w:pStyle w:val="TextBody"/>
        <w:bidi w:val="0"/>
        <w:spacing w:lineRule="auto" w:line="302" w:before="0" w:after="0"/>
        <w:ind w:left="0" w:right="0" w:firstLine="360"/>
        <w:jc w:val="both"/>
        <w:rPr/>
      </w:pPr>
      <w:r>
        <w:rPr/>
        <w:t>​</w:t>
      </w:r>
    </w:p>
    <w:p>
      <w:pPr>
        <w:pStyle w:val="TextBody"/>
        <w:bidi w:val="0"/>
        <w:spacing w:lineRule="auto" w:line="302" w:before="0" w:after="0"/>
        <w:ind w:left="0" w:right="0" w:firstLine="360"/>
        <w:jc w:val="both"/>
        <w:rPr>
          <w:rFonts w:ascii="Times New Roman;Times;serif" w:hAnsi="Times New Roman;Times;serif"/>
          <w:sz w:val="20"/>
        </w:rPr>
      </w:pPr>
      <w:r>
        <w:rPr>
          <w:rFonts w:ascii="Times New Roman;Times;serif" w:hAnsi="Times New Roman;Times;serif"/>
          <w:sz w:val="20"/>
        </w:rPr>
        <w:t>Net cash provided by operating activities of $14.8 million for the three months ended March 31, 2025 consisted of net income of $11.1 million, adjusted for non-cash charges of $30.3 million, which were partly offset by cash outflows of $(26.7) million related to changes in operating assets and liabilities. The change in operating assets and liabilities was primarily driven by a decrease in accrued and deferred compensation, and an increase in prepaid expenses and other current assets due to the timing of cash payments during the period. These changes were partially offset by an increase in deferred revenue and a decrease in accounts receivable, primarily due to customer growth and the timing of cash collections during the period.</w:t>
      </w:r>
    </w:p>
    <w:p>
      <w:pPr>
        <w:pStyle w:val="TextBody"/>
        <w:bidi w:val="0"/>
        <w:spacing w:lineRule="auto" w:line="302"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b/>
          <w:i/>
          <w:sz w:val="20"/>
        </w:rPr>
        <w:t xml:space="preserve">Investing Activities. </w:t>
      </w:r>
      <w:r>
        <w:rPr>
          <w:rFonts w:ascii="Times New Roman;Times;serif" w:hAnsi="Times New Roman;Times;serif"/>
          <w:sz w:val="20"/>
        </w:rPr>
        <w:t>Net cash used in investing activities of $52.3 million for the three months ended March 31, 2026 consisted of investments in property and equipment, and capitalized software of $24.7 million and $5.7 million, respectively, related to investments in infrastructure, new products, and enhancements to existing products. Additionally, we paid $22.0 million for our acquisition of Brinta. For further information on the Acquisition, refer to Note 3, “Acquisitions” to the condensed consolidated financial statements included in this Quarterly Report on Form 10-Q.</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Net cash used in investing activities of $17.8 million for the three months ended March 31, 2025 consisted of investments in property and equipment, and capitalized software of $21.4 million and $5.7 million, respectively, related to investments in infrastructure, new products, and enhancements to existing products. Additionally, we invested $2.4 million in available-for-sale investment securities, which was more than offset by proceeds of $11.6 million received during the period for sales and maturities in our investment securities.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b/>
          <w:i/>
          <w:sz w:val="20"/>
        </w:rPr>
        <w:t>Financing Activities.</w:t>
      </w:r>
      <w:r>
        <w:rPr>
          <w:rFonts w:ascii="Times New Roman;Times;serif" w:hAnsi="Times New Roman;Times;serif"/>
          <w:sz w:val="20"/>
        </w:rPr>
        <w:t xml:space="preserve"> Net cash used in financing activities of $53.3 million for the three months ended March 31, 2026 consisted of $20.0 million in payments for the repurchases of our Class A common stock under our Repurchase Program, $19.6 million in payments related to our ecosio Cash Earn-out, $7.1 million in payments for taxes related to the net share settlement of stock-based awards, and a $6.6 million decrease in customer funds obligations, primarily due to timing differences between receipt of funds from customers and taxing jurisdiction withdrawals of these funds. For further information on the Cash Earn-outs, refer to Note 4, “Financial Instruments and Fair Value Measurements” to the condensed consolidated financial statements included in this Quarterly Report on Form 10-Q.</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Net cash used in financing activities of $20.7 million for the three months ended March 31, 2025 consisted of $25.0 million in payments for taxes related to the net share settlement of stock-based awards, which were partially offset by a $3.2 million increase in customer funds obligations, primarily due to timing differences between receipt of funds from customers and taxing jurisdiction withdrawals of these funds, and $1.2 million in proceeds from the exercise of stock options.</w:t>
      </w:r>
    </w:p>
    <w:p>
      <w:pPr>
        <w:pStyle w:val="TextBody"/>
        <w:bidi w:val="0"/>
        <w:spacing w:before="0" w:after="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Debt</w:t>
      </w:r>
      <w:r>
        <w:rPr>
          <w:rFonts w:ascii="Times New Roman;Times;serif" w:hAnsi="Times New Roman;Times;serif"/>
          <w:b/>
          <w:sz w:val="20"/>
        </w:rPr>
        <w:t xml:space="preserve">. </w:t>
      </w:r>
      <w:r>
        <w:rPr>
          <w:rFonts w:ascii="Times New Roman;Times;serif" w:hAnsi="Times New Roman;Times;serif"/>
          <w:sz w:val="20"/>
        </w:rPr>
        <w:t>As of March 31, 2026, we had a $300.0 million Line of Credit with no outstanding borrowings in connection with our Credit Agreement. As of March 31, 2026, we had $345.0 million aggregate principal amount of debt outstanding related to our Notes. For further information on our debt obligations, refer to Note 8, “Debt” to the condensed consolidated financial statements included in this Quarterly Report on Form 10-Q.</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Repurchase Program.</w:t>
      </w:r>
      <w:r>
        <w:rPr>
          <w:rFonts w:ascii="Times New Roman;Times;serif" w:hAnsi="Times New Roman;Times;serif"/>
          <w:sz w:val="20"/>
        </w:rPr>
        <w:t xml:space="preserve"> On October 30, 2025, the Board authorized a stock repurchase program for up to $150.0 million of our outstanding shares of Class A common stock (the “Repurchase Program”). During the first three months ended March 31, 2026, we repurchased 1,370,948 shares of our Class A common stock for an aggregate amount of $20.0 million and have $119.9 million remaining for purchases under our authorization.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timing and actual number of shares repurchased under the Repurchase Program depend on a variety of factors, including price, general business and market conditions, and other investment opportunities. Shares may be repurchased through open market purchases or privately negotiated transactions, including through the use of trading plans intended to qualify under Rule 10b5-1 under the Exchange Act. Our Repurchase Program has no termination date and may be suspended, delayed, discontinued, or accelerated at any time. Any repurchased shares will be available for use in connection with our stock plans and for other corporate purposes. For further information on our Repurchase Program,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refer to Note 9, “Stockholders’ Equity” to the condensed consolidated financial statements included in this Quarterly Report on Form 10-Q.</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Funds Held for Customers and Customer Funds Obligations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maintain trust accounts with financial institutions, which allow our customers to outsource their tax remittance functions to us. We have legal ownership over the accounts utilized for this purpose. Funds held for customers represent cash and cash equivalents that, based upon our intent, are restricted solely for satisfying the obligations to remit funds relating to our tax remittance services. Funds held for customers are not commingled with our operating funds.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Customer funds obligations represent our contractual obligations to remit collected funds to satisfy customer tax payments. Customer funds obligations are included as a current liability on our condensed consolidated balance sheets as the obligations are expected to be settled within one year. Cash flows related to changes in customer funds obligations liability are presented as cash flows from financing activities.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Contractual Obligations and Commitments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of March 31, 2026, we have no outstanding borrowings under our Line of Credit. Our Notes are due in May 2029. We expect to continue to fund debt maturities and interest payments with cash flows generated from operations, existing cash and cash equivalents, or proceeds from additional financing. For further information on our debt obligations, refer to Note 8, “Debt” to the condensed consolidated financial statements included in this Quarterly Report on Form 10-Q.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There have been no material updates or changes to our contractual obligations and commitments compared to contractual obligations and commitments described in our 2025 Annual Report.</w:t>
      </w:r>
    </w:p>
    <w:p>
      <w:pPr>
        <w:pStyle w:val="TextBody"/>
        <w:bidi w:val="0"/>
        <w:spacing w:before="0" w:after="0"/>
        <w:ind w:left="0" w:right="0" w:firstLine="360"/>
        <w:jc w:val="both"/>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Key Business Metrics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regularly review the metrics identified below to evaluate growth trends, measure our performance, formulate financial projections and make strategic decisions.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Annual Recurring Revenue (“ARR”) and Average Annual Revenue Per Customer (“AARPC”).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derive the vast majority of our revenue from recurring software subscriptions. We believe ARR provides us with visibility to our projected software subscription revenue in order to evaluate the health of our business. Because we recognize subscription revenue ratably, we believe investors can use ARR to measure our expansion of existing customer revenues, new customer activity, and as an indicator of future software subscription revenues. ARR is based on monthly recurring revenue (“MRR”) from software subscriptions for the most recent month at period end, multiplied by twelve. MRR is calculated by dividing the software subscription price, inclusive of discounts, by the number of subscription covered months. MRR only includes customers with MRR at the end of the last month of the measurement period.</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AARPC represents average annual revenue per customer and is calculated by dividing ARR by the number of software subscription customers at the end of the respective period.</w:t>
      </w:r>
    </w:p>
    <w:tbl>
      <w:tblPr>
        <w:tblW w:w="7222" w:type="dxa"/>
        <w:jc w:val="left"/>
        <w:tblInd w:w="0" w:type="dxa"/>
        <w:tblLayout w:type="fixed"/>
        <w:tblCellMar>
          <w:top w:w="0" w:type="dxa"/>
          <w:left w:w="0" w:type="dxa"/>
          <w:bottom w:w="0" w:type="dxa"/>
          <w:right w:w="0" w:type="dxa"/>
        </w:tblCellMar>
      </w:tblPr>
      <w:tblGrid>
        <w:gridCol w:w="2341"/>
        <w:gridCol w:w="346"/>
        <w:gridCol w:w="211"/>
        <w:gridCol w:w="571"/>
        <w:gridCol w:w="346"/>
        <w:gridCol w:w="211"/>
        <w:gridCol w:w="571"/>
        <w:gridCol w:w="346"/>
        <w:gridCol w:w="321"/>
        <w:gridCol w:w="709"/>
        <w:gridCol w:w="221"/>
        <w:gridCol w:w="712"/>
        <w:gridCol w:w="316"/>
      </w:tblGrid>
      <w:tr>
        <w:trPr/>
        <w:tc>
          <w:tcPr>
            <w:tcW w:w="2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1486535" cy="175260"/>
                      <wp:effectExtent l="0" t="0" r="0" b="0"/>
                      <wp:wrapNone/>
                      <wp:docPr id="520" name="Frame520"/>
                      <a:graphic xmlns:a="http://schemas.openxmlformats.org/drawingml/2006/main">
                        <a:graphicData uri="http://schemas.microsoft.com/office/word/2010/wordprocessingShape">
                          <wps:wsp>
                            <wps:cNvSpPr txBox="1"/>
                            <wps:spPr>
                              <a:xfrm>
                                <a:off x="0" y="0"/>
                                <a:ext cx="1486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219710" cy="175260"/>
                      <wp:effectExtent l="0" t="0" r="0" b="0"/>
                      <wp:wrapNone/>
                      <wp:docPr id="521" name="Frame5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133985" cy="175260"/>
                      <wp:effectExtent l="0" t="0" r="0" b="0"/>
                      <wp:wrapNone/>
                      <wp:docPr id="522" name="Frame5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362585" cy="175260"/>
                      <wp:effectExtent l="0" t="0" r="0" b="0"/>
                      <wp:wrapNone/>
                      <wp:docPr id="523" name="Frame52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219710" cy="175260"/>
                      <wp:effectExtent l="0" t="0" r="0" b="0"/>
                      <wp:wrapNone/>
                      <wp:docPr id="524" name="Frame5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133985" cy="175260"/>
                      <wp:effectExtent l="0" t="0" r="0" b="0"/>
                      <wp:wrapNone/>
                      <wp:docPr id="525" name="Frame5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362585" cy="175260"/>
                      <wp:effectExtent l="0" t="0" r="0" b="0"/>
                      <wp:wrapNone/>
                      <wp:docPr id="526" name="Frame52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219710" cy="175260"/>
                      <wp:effectExtent l="0" t="0" r="0" b="0"/>
                      <wp:wrapNone/>
                      <wp:docPr id="527" name="Frame5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203835" cy="175260"/>
                      <wp:effectExtent l="0" t="0" r="0" b="0"/>
                      <wp:wrapNone/>
                      <wp:docPr id="528" name="Frame528"/>
                      <a:graphic xmlns:a="http://schemas.openxmlformats.org/drawingml/2006/main">
                        <a:graphicData uri="http://schemas.microsoft.com/office/word/2010/wordprocessingShape">
                          <wps:wsp>
                            <wps:cNvSpPr txBox="1"/>
                            <wps:spPr>
                              <a:xfrm>
                                <a:off x="0" y="0"/>
                                <a:ext cx="20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450215" cy="175260"/>
                      <wp:effectExtent l="0" t="0" r="0" b="0"/>
                      <wp:wrapNone/>
                      <wp:docPr id="529" name="Frame529"/>
                      <a:graphic xmlns:a="http://schemas.openxmlformats.org/drawingml/2006/main">
                        <a:graphicData uri="http://schemas.microsoft.com/office/word/2010/wordprocessingShape">
                          <wps:wsp>
                            <wps:cNvSpPr txBox="1"/>
                            <wps:spPr>
                              <a:xfrm>
                                <a:off x="0" y="0"/>
                                <a:ext cx="450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140335" cy="175260"/>
                      <wp:effectExtent l="0" t="0" r="0" b="0"/>
                      <wp:wrapNone/>
                      <wp:docPr id="530" name="Frame530"/>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452120" cy="175260"/>
                      <wp:effectExtent l="0" t="0" r="0" b="0"/>
                      <wp:wrapNone/>
                      <wp:docPr id="531" name="Frame531"/>
                      <a:graphic xmlns:a="http://schemas.openxmlformats.org/drawingml/2006/main">
                        <a:graphicData uri="http://schemas.microsoft.com/office/word/2010/wordprocessingShape">
                          <wps:wsp>
                            <wps:cNvSpPr txBox="1"/>
                            <wps:spPr>
                              <a:xfrm>
                                <a:off x="0" y="0"/>
                                <a:ext cx="452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200660" cy="175260"/>
                      <wp:effectExtent l="0" t="0" r="0" b="0"/>
                      <wp:wrapNone/>
                      <wp:docPr id="532" name="Frame53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10" w:type="dxa"/>
            <w:gridSpan w:val="5"/>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12"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23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March 31, </w:t>
            </w:r>
          </w:p>
        </w:tc>
        <w:tc>
          <w:tcPr>
            <w:tcW w:w="346" w:type="dxa"/>
            <w:tcBorders/>
            <w:vAlign w:val="center"/>
          </w:tcPr>
          <w:p>
            <w:pPr>
              <w:pStyle w:val="TableContents"/>
              <w:bidi w:val="0"/>
              <w:spacing w:before="0" w:after="0"/>
              <w:ind w:left="0" w:right="0" w:hanging="0"/>
              <w:jc w:val="left"/>
              <w:rPr/>
            </w:pPr>
            <w:r>
              <w:rPr/>
              <w:t>​</w:t>
            </w:r>
          </w:p>
        </w:tc>
        <w:tc>
          <w:tcPr>
            <w:tcW w:w="1963" w:type="dxa"/>
            <w:gridSpan w:val="4"/>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3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96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Year-Over-Year Change </w:t>
            </w:r>
          </w:p>
        </w:tc>
        <w:tc>
          <w:tcPr>
            <w:tcW w:w="316" w:type="dxa"/>
            <w:tcBorders/>
            <w:vAlign w:val="center"/>
          </w:tcPr>
          <w:p>
            <w:pPr>
              <w:pStyle w:val="TableContents"/>
              <w:bidi w:val="0"/>
              <w:spacing w:before="0" w:after="0"/>
              <w:ind w:left="0" w:right="0" w:hanging="0"/>
              <w:jc w:val="center"/>
              <w:rPr/>
            </w:pPr>
            <w:r>
              <w:rPr/>
              <w:t>​</w:t>
            </w:r>
          </w:p>
        </w:tc>
      </w:tr>
      <w:tr>
        <w:trPr/>
        <w:tc>
          <w:tcPr>
            <w:tcW w:w="2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Annual Recurring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618.5</w:t>
            </w:r>
          </w:p>
        </w:tc>
        <w:tc>
          <w:tcPr>
            <w:tcW w:w="346"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69.1</w:t>
            </w:r>
          </w:p>
        </w:tc>
        <w:tc>
          <w:tcPr>
            <w:tcW w:w="221" w:type="dxa"/>
            <w:tcBorders/>
            <w:shd w:fill="CCEEFF" w:val="clear"/>
            <w:vAlign w:val="center"/>
          </w:tcPr>
          <w:p>
            <w:pPr>
              <w:pStyle w:val="TableContents"/>
              <w:bidi w:val="0"/>
              <w:spacing w:before="0" w:after="0"/>
              <w:ind w:left="0" w:right="0" w:hanging="0"/>
              <w:jc w:val="left"/>
              <w:rPr/>
            </w:pPr>
            <w:r>
              <w:rPr/>
              <w:t> </w:t>
            </w:r>
          </w:p>
        </w:tc>
        <w:tc>
          <w:tcPr>
            <w:tcW w:w="7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ARR increased by $69.1 million, or 11.2%, at March 31, 2026, as compared to March 31, 2025. The increase was primarily driven by $32.9 million of growth in revenues from existing customers through their expanded use of our solutions as well as price increases, and $36.2 million in growth of subscriptions of our solutions to new customers.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had 4,895 direct customers and AARPC was approximately $140,464 at March 31, 2026. At March 31, 2025, we had 4,888 direct customers and approximately $126,534 of AARPC. The increase in AARPC was primarily due to expansion of usage by existing customers and adding new scaled customers through organic growth.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Net Revenue Retention Rate (“NRR”).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believe that our NRR provides insight into our ability to retain and grow revenue from our customers, as well as their potential long-term value to us. We also believe it demonstrates to investors our ability to expand existing customer revenues, which is one of our key growth strategies. Our NRR refers to the ARR expansion during the 12 months of a reporting period for all customers who were part of our customer base at the beginning of the reporting period. Our NRR calculation takes into account any revenue lost from departing customers or those who have downgraded or reduced usage, as well as any revenue expansion from migrations, new licenses for additional products or contractual and usage-based price changes. </w:t>
      </w:r>
    </w:p>
    <w:tbl>
      <w:tblPr>
        <w:tblW w:w="4563" w:type="dxa"/>
        <w:jc w:val="left"/>
        <w:tblInd w:w="0" w:type="dxa"/>
        <w:tblLayout w:type="fixed"/>
        <w:tblCellMar>
          <w:top w:w="0" w:type="dxa"/>
          <w:left w:w="0" w:type="dxa"/>
          <w:bottom w:w="0" w:type="dxa"/>
          <w:right w:w="0" w:type="dxa"/>
        </w:tblCellMar>
      </w:tblPr>
      <w:tblGrid>
        <w:gridCol w:w="2491"/>
        <w:gridCol w:w="346"/>
        <w:gridCol w:w="476"/>
        <w:gridCol w:w="368"/>
        <w:gridCol w:w="476"/>
        <w:gridCol w:w="406"/>
      </w:tblGrid>
      <w:tr>
        <w:trPr/>
        <w:tc>
          <w:tcPr>
            <w:tcW w:w="2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1581785" cy="175260"/>
                      <wp:effectExtent l="0" t="0" r="0" b="0"/>
                      <wp:wrapNone/>
                      <wp:docPr id="533" name="Frame533"/>
                      <a:graphic xmlns:a="http://schemas.openxmlformats.org/drawingml/2006/main">
                        <a:graphicData uri="http://schemas.microsoft.com/office/word/2010/wordprocessingShape">
                          <wps:wsp>
                            <wps:cNvSpPr txBox="1"/>
                            <wps:spPr>
                              <a:xfrm>
                                <a:off x="0" y="0"/>
                                <a:ext cx="1581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219710" cy="175260"/>
                      <wp:effectExtent l="0" t="0" r="0" b="0"/>
                      <wp:wrapNone/>
                      <wp:docPr id="534" name="Frame5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302260" cy="175260"/>
                      <wp:effectExtent l="0" t="0" r="0" b="0"/>
                      <wp:wrapNone/>
                      <wp:docPr id="535" name="Frame535"/>
                      <a:graphic xmlns:a="http://schemas.openxmlformats.org/drawingml/2006/main">
                        <a:graphicData uri="http://schemas.microsoft.com/office/word/2010/wordprocessingShape">
                          <wps:wsp>
                            <wps:cNvSpPr txBox="1"/>
                            <wps:spPr>
                              <a:xfrm>
                                <a:off x="0" y="0"/>
                                <a:ext cx="302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233680" cy="175260"/>
                      <wp:effectExtent l="0" t="0" r="0" b="0"/>
                      <wp:wrapNone/>
                      <wp:docPr id="536" name="Frame536"/>
                      <a:graphic xmlns:a="http://schemas.openxmlformats.org/drawingml/2006/main">
                        <a:graphicData uri="http://schemas.microsoft.com/office/word/2010/wordprocessingShape">
                          <wps:wsp>
                            <wps:cNvSpPr txBox="1"/>
                            <wps:spPr>
                              <a:xfrm>
                                <a:off x="0" y="0"/>
                                <a:ext cx="233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302260" cy="175260"/>
                      <wp:effectExtent l="0" t="0" r="0" b="0"/>
                      <wp:wrapNone/>
                      <wp:docPr id="537" name="Frame537"/>
                      <a:graphic xmlns:a="http://schemas.openxmlformats.org/drawingml/2006/main">
                        <a:graphicData uri="http://schemas.microsoft.com/office/word/2010/wordprocessingShape">
                          <wps:wsp>
                            <wps:cNvSpPr txBox="1"/>
                            <wps:spPr>
                              <a:xfrm>
                                <a:off x="0" y="0"/>
                                <a:ext cx="302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257810" cy="175260"/>
                      <wp:effectExtent l="0" t="0" r="0" b="0"/>
                      <wp:wrapNone/>
                      <wp:docPr id="538" name="Frame538"/>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2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March 31, </w:t>
            </w:r>
          </w:p>
        </w:tc>
        <w:tc>
          <w:tcPr>
            <w:tcW w:w="406" w:type="dxa"/>
            <w:tcBorders/>
            <w:vAlign w:val="center"/>
          </w:tcPr>
          <w:p>
            <w:pPr>
              <w:pStyle w:val="TableContents"/>
              <w:bidi w:val="0"/>
              <w:spacing w:before="0" w:after="0"/>
              <w:ind w:left="0" w:right="0" w:hanging="0"/>
              <w:jc w:val="center"/>
              <w:rPr/>
            </w:pPr>
            <w:r>
              <w:rPr/>
              <w:t>​</w:t>
            </w:r>
          </w:p>
        </w:tc>
      </w:tr>
      <w:tr>
        <w:trPr/>
        <w:tc>
          <w:tcPr>
            <w:tcW w:w="24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8" w:type="dxa"/>
            <w:tcBorders/>
            <w:vAlign w:val="center"/>
          </w:tcPr>
          <w:p>
            <w:pPr>
              <w:pStyle w:val="TableContents"/>
              <w:bidi w:val="0"/>
              <w:spacing w:before="0" w:after="0"/>
              <w:ind w:left="0" w:right="0" w:hanging="0"/>
              <w:jc w:val="left"/>
              <w:rPr/>
            </w:pPr>
            <w:r>
              <w:rPr/>
              <w:t>  ​ ​ ​</w:t>
            </w:r>
          </w:p>
        </w:tc>
        <w:tc>
          <w:tcPr>
            <w:tcW w:w="4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06" w:type="dxa"/>
            <w:tcBorders/>
            <w:vAlign w:val="center"/>
          </w:tcPr>
          <w:p>
            <w:pPr>
              <w:pStyle w:val="TableContents"/>
              <w:bidi w:val="0"/>
              <w:spacing w:before="0" w:after="0"/>
              <w:ind w:left="0" w:right="0" w:hanging="0"/>
              <w:jc w:val="center"/>
              <w:rPr/>
            </w:pPr>
            <w:r>
              <w:rPr/>
              <w:t>​</w:t>
            </w:r>
          </w:p>
        </w:tc>
      </w:tr>
      <w:tr>
        <w:trPr/>
        <w:tc>
          <w:tcPr>
            <w:tcW w:w="2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Revenue Retention Rate </w:t>
            </w:r>
          </w:p>
        </w:tc>
        <w:tc>
          <w:tcPr>
            <w:tcW w:w="346" w:type="dxa"/>
            <w:tcBorders/>
            <w:shd w:fill="CCEEFF" w:val="clear"/>
            <w:vAlign w:val="center"/>
          </w:tcPr>
          <w:p>
            <w:pPr>
              <w:pStyle w:val="TableContents"/>
              <w:bidi w:val="0"/>
              <w:spacing w:before="0" w:after="0"/>
              <w:ind w:left="0" w:right="0" w:hanging="0"/>
              <w:jc w:val="left"/>
              <w:rPr/>
            </w:pPr>
            <w:r>
              <w:rPr/>
              <w:t> </w:t>
            </w:r>
          </w:p>
        </w:tc>
        <w:tc>
          <w:tcPr>
            <w:tcW w:w="4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3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NRR decreased by 3.8%, at March 31, 2026, as compared to March 31, 2025. The decrease was largely due to lower growth of additional entitlements as our customers’ annual growth has slowed, keeping them within current bands of usage, as well as delayed deal activity seen for some of our large multinational customers due to the macroeconomic environment.</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Gross Revenue Retention Rate (“GRR”).</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believe our GRR provides insight into and demonstrates to investors our ability to retain revenues from our existing customers. Our GRR refers to how much of our MRR we retain each month after reduction for the effects of revenues lost from departing customers or those who have downgraded or reduced usage. GRR does not take into account revenue expansion from migrations, new licenses for additional products or contractual and usage-based price changes. GRR does not include revenue reductions resulting from cancellations of customer subscriptions that are replaced by new subscriptions associated with customer migrations to a newer version of the related software solution.</w:t>
      </w:r>
    </w:p>
    <w:p>
      <w:pPr>
        <w:pStyle w:val="TextBody"/>
        <w:bidi w:val="0"/>
        <w:spacing w:before="0" w:after="0"/>
        <w:ind w:left="0" w:right="0" w:hanging="0"/>
        <w:jc w:val="both"/>
        <w:rPr/>
      </w:pPr>
      <w:r>
        <w:rPr/>
        <w:t>​</w:t>
      </w:r>
    </w:p>
    <w:p>
      <w:pPr>
        <w:pStyle w:val="TextBody"/>
        <w:bidi w:val="0"/>
        <w:spacing w:before="0" w:after="0"/>
        <w:ind w:left="0" w:right="0" w:firstLine="360"/>
        <w:jc w:val="both"/>
        <w:rPr/>
      </w:pPr>
      <w:r>
        <w:rPr/>
        <w:t> ​</w:t>
      </w:r>
    </w:p>
    <w:tbl>
      <w:tblPr>
        <w:tblW w:w="4728" w:type="dxa"/>
        <w:jc w:val="left"/>
        <w:tblInd w:w="0" w:type="dxa"/>
        <w:tblLayout w:type="fixed"/>
        <w:tblCellMar>
          <w:top w:w="0" w:type="dxa"/>
          <w:left w:w="0" w:type="dxa"/>
          <w:bottom w:w="0" w:type="dxa"/>
          <w:right w:w="0" w:type="dxa"/>
        </w:tblCellMar>
      </w:tblPr>
      <w:tblGrid>
        <w:gridCol w:w="2656"/>
        <w:gridCol w:w="346"/>
        <w:gridCol w:w="476"/>
        <w:gridCol w:w="368"/>
        <w:gridCol w:w="476"/>
        <w:gridCol w:w="406"/>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1686560" cy="175260"/>
                      <wp:effectExtent l="0" t="0" r="0" b="0"/>
                      <wp:wrapNone/>
                      <wp:docPr id="539" name="Frame539"/>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219710" cy="175260"/>
                      <wp:effectExtent l="0" t="0" r="0" b="0"/>
                      <wp:wrapNone/>
                      <wp:docPr id="540" name="Frame5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302260" cy="175260"/>
                      <wp:effectExtent l="0" t="0" r="0" b="0"/>
                      <wp:wrapNone/>
                      <wp:docPr id="541" name="Frame541"/>
                      <a:graphic xmlns:a="http://schemas.openxmlformats.org/drawingml/2006/main">
                        <a:graphicData uri="http://schemas.microsoft.com/office/word/2010/wordprocessingShape">
                          <wps:wsp>
                            <wps:cNvSpPr txBox="1"/>
                            <wps:spPr>
                              <a:xfrm>
                                <a:off x="0" y="0"/>
                                <a:ext cx="302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233680" cy="175260"/>
                      <wp:effectExtent l="0" t="0" r="0" b="0"/>
                      <wp:wrapNone/>
                      <wp:docPr id="542" name="Frame542"/>
                      <a:graphic xmlns:a="http://schemas.openxmlformats.org/drawingml/2006/main">
                        <a:graphicData uri="http://schemas.microsoft.com/office/word/2010/wordprocessingShape">
                          <wps:wsp>
                            <wps:cNvSpPr txBox="1"/>
                            <wps:spPr>
                              <a:xfrm>
                                <a:off x="0" y="0"/>
                                <a:ext cx="233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302260" cy="175260"/>
                      <wp:effectExtent l="0" t="0" r="0" b="0"/>
                      <wp:wrapNone/>
                      <wp:docPr id="543" name="Frame543"/>
                      <a:graphic xmlns:a="http://schemas.openxmlformats.org/drawingml/2006/main">
                        <a:graphicData uri="http://schemas.microsoft.com/office/word/2010/wordprocessingShape">
                          <wps:wsp>
                            <wps:cNvSpPr txBox="1"/>
                            <wps:spPr>
                              <a:xfrm>
                                <a:off x="0" y="0"/>
                                <a:ext cx="302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257810" cy="175260"/>
                      <wp:effectExtent l="0" t="0" r="0" b="0"/>
                      <wp:wrapNone/>
                      <wp:docPr id="544" name="Frame544"/>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2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March 31, </w:t>
            </w:r>
          </w:p>
        </w:tc>
        <w:tc>
          <w:tcPr>
            <w:tcW w:w="406" w:type="dxa"/>
            <w:tcBorders/>
            <w:vAlign w:val="center"/>
          </w:tcPr>
          <w:p>
            <w:pPr>
              <w:pStyle w:val="TableContents"/>
              <w:bidi w:val="0"/>
              <w:spacing w:before="0" w:after="0"/>
              <w:ind w:left="0" w:right="0" w:hanging="0"/>
              <w:jc w:val="center"/>
              <w:rPr/>
            </w:pPr>
            <w:r>
              <w:rPr/>
              <w:t>​</w:t>
            </w:r>
          </w:p>
        </w:tc>
      </w:tr>
      <w:tr>
        <w:trPr/>
        <w:tc>
          <w:tcPr>
            <w:tcW w:w="26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8" w:type="dxa"/>
            <w:tcBorders/>
            <w:vAlign w:val="center"/>
          </w:tcPr>
          <w:p>
            <w:pPr>
              <w:pStyle w:val="TableContents"/>
              <w:bidi w:val="0"/>
              <w:spacing w:before="0" w:after="0"/>
              <w:ind w:left="0" w:right="0" w:hanging="0"/>
              <w:jc w:val="left"/>
              <w:rPr/>
            </w:pPr>
            <w:r>
              <w:rPr/>
              <w:t>  ​ ​ ​</w:t>
            </w:r>
          </w:p>
        </w:tc>
        <w:tc>
          <w:tcPr>
            <w:tcW w:w="4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06" w:type="dxa"/>
            <w:tcBorders/>
            <w:vAlign w:val="center"/>
          </w:tcPr>
          <w:p>
            <w:pPr>
              <w:pStyle w:val="TableContents"/>
              <w:bidi w:val="0"/>
              <w:spacing w:before="0" w:after="0"/>
              <w:ind w:left="0" w:right="0" w:hanging="0"/>
              <w:jc w:val="center"/>
              <w:rPr/>
            </w:pPr>
            <w:r>
              <w:rPr/>
              <w:t>​</w:t>
            </w:r>
          </w:p>
        </w:tc>
      </w:tr>
      <w:tr>
        <w:trPr/>
        <w:tc>
          <w:tcPr>
            <w:tcW w:w="265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Gross Revenue Retention Rate </w:t>
            </w:r>
          </w:p>
        </w:tc>
        <w:tc>
          <w:tcPr>
            <w:tcW w:w="346" w:type="dxa"/>
            <w:tcBorders/>
            <w:shd w:fill="CCEEFF" w:val="clear"/>
            <w:vAlign w:val="center"/>
          </w:tcPr>
          <w:p>
            <w:pPr>
              <w:pStyle w:val="TableContents"/>
              <w:bidi w:val="0"/>
              <w:spacing w:before="0" w:after="0"/>
              <w:ind w:left="0" w:right="0" w:hanging="0"/>
              <w:jc w:val="left"/>
              <w:rPr/>
            </w:pPr>
            <w:r>
              <w:rPr/>
              <w:t> </w:t>
            </w:r>
          </w:p>
        </w:tc>
        <w:tc>
          <w:tcPr>
            <w:tcW w:w="4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3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Adjusted EBITDA and Adjusted EBITDA Margin.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believe that Adjusted EBITDA is a measure widely used by securities analysts and investors to evaluate the financial performance of our company and other companies. We believe that Adjusted EBITDA and Adjusted EBITDA margin are useful as supplemental measures to evaluate our overall operating performance as they measure business performance focusing on cash related charges and because they are important metrics to lenders under our Credit Agreement. We define Adjusted EBITDA as net loss or income before interest, taxes, depreciation, and amortization, as adjusted to exclude charges for stock-based compensation expense, amortization of cloud computing arrangement implementation costs, severance expense, acquisition contingent consideration, changes in the fair value of acquisition contingent earn-outs, acquisition-related retained employee compensation, and transaction costs. Adjusted EBITDA margin represents Adjusted EBITDA divided by total revenues for the same period. For purposes of comparison, our net income (loss) was $(2.5) million and $11.1 million for the three months ended March 31, 2026 and 2025, respectively, while our net income (loss) margin was (1.3)% and 6.3% over the same periods, respectively. We are unable to reconcile forward-looking Adjusted EBITDA to net income (loss), the most directly comparable GAAP financial measure, without unreasonable efforts because we are currently unable to predict with a reasonable degree of certainty the type and extent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of certain items that would be expected to impact net income (loss) for these periods but would not impact Adjusted EBITDA.</w:t>
      </w:r>
    </w:p>
    <w:tbl>
      <w:tblPr>
        <w:tblW w:w="10205" w:type="dxa"/>
        <w:jc w:val="left"/>
        <w:tblInd w:w="0" w:type="dxa"/>
        <w:tblLayout w:type="fixed"/>
        <w:tblCellMar>
          <w:top w:w="0" w:type="dxa"/>
          <w:left w:w="0" w:type="dxa"/>
          <w:bottom w:w="0" w:type="dxa"/>
          <w:right w:w="0" w:type="dxa"/>
        </w:tblCellMar>
      </w:tblPr>
      <w:tblGrid>
        <w:gridCol w:w="6141"/>
        <w:gridCol w:w="469"/>
        <w:gridCol w:w="285"/>
        <w:gridCol w:w="1059"/>
        <w:gridCol w:w="489"/>
        <w:gridCol w:w="285"/>
        <w:gridCol w:w="1067"/>
        <w:gridCol w:w="410"/>
      </w:tblGrid>
      <w:tr>
        <w:trPr/>
        <w:tc>
          <w:tcPr>
            <w:tcW w:w="6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3899535" cy="175260"/>
                      <wp:effectExtent l="0" t="0" r="0" b="0"/>
                      <wp:wrapNone/>
                      <wp:docPr id="545" name="Frame545"/>
                      <a:graphic xmlns:a="http://schemas.openxmlformats.org/drawingml/2006/main">
                        <a:graphicData uri="http://schemas.microsoft.com/office/word/2010/wordprocessingShape">
                          <wps:wsp>
                            <wps:cNvSpPr txBox="1"/>
                            <wps:spPr>
                              <a:xfrm>
                                <a:off x="0" y="0"/>
                                <a:ext cx="3899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297815" cy="175260"/>
                      <wp:effectExtent l="0" t="0" r="0" b="0"/>
                      <wp:wrapNone/>
                      <wp:docPr id="546" name="Frame546"/>
                      <a:graphic xmlns:a="http://schemas.openxmlformats.org/drawingml/2006/main">
                        <a:graphicData uri="http://schemas.microsoft.com/office/word/2010/wordprocessingShape">
                          <wps:wsp>
                            <wps:cNvSpPr txBox="1"/>
                            <wps:spPr>
                              <a:xfrm>
                                <a:off x="0" y="0"/>
                                <a:ext cx="297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180975" cy="175260"/>
                      <wp:effectExtent l="0" t="0" r="0" b="0"/>
                      <wp:wrapNone/>
                      <wp:docPr id="547" name="Frame547"/>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672465" cy="175260"/>
                      <wp:effectExtent l="0" t="0" r="0" b="0"/>
                      <wp:wrapNone/>
                      <wp:docPr id="548" name="Frame548"/>
                      <a:graphic xmlns:a="http://schemas.openxmlformats.org/drawingml/2006/main">
                        <a:graphicData uri="http://schemas.microsoft.com/office/word/2010/wordprocessingShape">
                          <wps:wsp>
                            <wps:cNvSpPr txBox="1"/>
                            <wps:spPr>
                              <a:xfrm>
                                <a:off x="0" y="0"/>
                                <a:ext cx="672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310515" cy="175260"/>
                      <wp:effectExtent l="0" t="0" r="0" b="0"/>
                      <wp:wrapNone/>
                      <wp:docPr id="549" name="Frame549"/>
                      <a:graphic xmlns:a="http://schemas.openxmlformats.org/drawingml/2006/main">
                        <a:graphicData uri="http://schemas.microsoft.com/office/word/2010/wordprocessingShape">
                          <wps:wsp>
                            <wps:cNvSpPr txBox="1"/>
                            <wps:spPr>
                              <a:xfrm>
                                <a:off x="0" y="0"/>
                                <a:ext cx="310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180975" cy="175260"/>
                      <wp:effectExtent l="0" t="0" r="0" b="0"/>
                      <wp:wrapNone/>
                      <wp:docPr id="550" name="Frame550"/>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677545" cy="175260"/>
                      <wp:effectExtent l="0" t="0" r="0" b="0"/>
                      <wp:wrapNone/>
                      <wp:docPr id="551" name="Frame551"/>
                      <a:graphic xmlns:a="http://schemas.openxmlformats.org/drawingml/2006/main">
                        <a:graphicData uri="http://schemas.microsoft.com/office/word/2010/wordprocessingShape">
                          <wps:wsp>
                            <wps:cNvSpPr txBox="1"/>
                            <wps:spPr>
                              <a:xfrm>
                                <a:off x="0" y="0"/>
                                <a:ext cx="677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260350" cy="175260"/>
                      <wp:effectExtent l="0" t="0" r="0" b="0"/>
                      <wp:wrapNone/>
                      <wp:docPr id="552" name="Frame552"/>
                      <a:graphic xmlns:a="http://schemas.openxmlformats.org/drawingml/2006/main">
                        <a:graphicData uri="http://schemas.microsoft.com/office/word/2010/wordprocessingShape">
                          <wps:wsp>
                            <wps:cNvSpPr txBox="1"/>
                            <wps:spPr>
                              <a:xfrm>
                                <a:off x="0" y="0"/>
                                <a:ext cx="260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141"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center"/>
              <w:rPr/>
            </w:pPr>
            <w:r>
              <w:rPr/>
              <w:t>​</w:t>
            </w:r>
          </w:p>
        </w:tc>
        <w:tc>
          <w:tcPr>
            <w:tcW w:w="318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410" w:type="dxa"/>
            <w:tcBorders/>
            <w:vAlign w:val="center"/>
          </w:tcPr>
          <w:p>
            <w:pPr>
              <w:pStyle w:val="TableContents"/>
              <w:bidi w:val="0"/>
              <w:spacing w:before="0" w:after="0"/>
              <w:ind w:left="0" w:right="0" w:hanging="0"/>
              <w:jc w:val="center"/>
              <w:rPr/>
            </w:pPr>
            <w:r>
              <w:rPr/>
              <w:t>​</w:t>
            </w:r>
          </w:p>
        </w:tc>
      </w:tr>
      <w:tr>
        <w:trPr/>
        <w:tc>
          <w:tcPr>
            <w:tcW w:w="6141"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center"/>
              <w:rPr/>
            </w:pPr>
            <w:r>
              <w:rPr/>
              <w:t>​</w:t>
            </w:r>
          </w:p>
        </w:tc>
        <w:tc>
          <w:tcPr>
            <w:tcW w:w="31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410" w:type="dxa"/>
            <w:tcBorders/>
            <w:vAlign w:val="center"/>
          </w:tcPr>
          <w:p>
            <w:pPr>
              <w:pStyle w:val="TableContents"/>
              <w:bidi w:val="0"/>
              <w:spacing w:before="0" w:after="0"/>
              <w:ind w:left="0" w:right="0" w:hanging="0"/>
              <w:jc w:val="center"/>
              <w:rPr/>
            </w:pPr>
            <w:r>
              <w:rPr/>
              <w:t>​</w:t>
            </w:r>
          </w:p>
        </w:tc>
      </w:tr>
      <w:tr>
        <w:trPr/>
        <w:tc>
          <w:tcPr>
            <w:tcW w:w="614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469" w:type="dxa"/>
            <w:tcBorders/>
            <w:vAlign w:val="center"/>
          </w:tcPr>
          <w:p>
            <w:pPr>
              <w:pStyle w:val="TableContents"/>
              <w:bidi w:val="0"/>
              <w:spacing w:before="0" w:after="0"/>
              <w:ind w:left="0" w:right="0" w:hanging="0"/>
              <w:jc w:val="center"/>
              <w:rPr/>
            </w:pPr>
            <w:r>
              <w:rPr/>
              <w:t>  ​ ​ ​</w:t>
            </w:r>
          </w:p>
        </w:tc>
        <w:tc>
          <w:tcPr>
            <w:tcW w:w="13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89" w:type="dxa"/>
            <w:tcBorders/>
            <w:vAlign w:val="center"/>
          </w:tcPr>
          <w:p>
            <w:pPr>
              <w:pStyle w:val="TableContents"/>
              <w:bidi w:val="0"/>
              <w:spacing w:before="0" w:after="0"/>
              <w:ind w:left="0" w:right="0" w:hanging="0"/>
              <w:jc w:val="left"/>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10" w:type="dxa"/>
            <w:tcBorders/>
            <w:vAlign w:val="center"/>
          </w:tcPr>
          <w:p>
            <w:pPr>
              <w:pStyle w:val="TableContents"/>
              <w:bidi w:val="0"/>
              <w:spacing w:before="0" w:after="0"/>
              <w:ind w:left="0" w:right="0" w:hanging="0"/>
              <w:jc w:val="center"/>
              <w:rPr/>
            </w:pPr>
            <w:r>
              <w:rPr/>
              <w:t>​</w:t>
            </w:r>
          </w:p>
        </w:tc>
      </w:tr>
      <w:tr>
        <w:trPr/>
        <w:tc>
          <w:tcPr>
            <w:tcW w:w="10205"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6141"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center"/>
              <w:rPr/>
            </w:pPr>
            <w:r>
              <w:rPr/>
              <w:t>​</w:t>
            </w:r>
          </w:p>
        </w:tc>
        <w:tc>
          <w:tcPr>
            <w:tcW w:w="285" w:type="dxa"/>
            <w:tcBorders/>
            <w:vAlign w:val="center"/>
          </w:tcPr>
          <w:p>
            <w:pPr>
              <w:pStyle w:val="TableContents"/>
              <w:bidi w:val="0"/>
              <w:spacing w:before="0" w:after="0"/>
              <w:ind w:left="0" w:right="0" w:hanging="0"/>
              <w:jc w:val="center"/>
              <w:rPr/>
            </w:pPr>
            <w:r>
              <w:rPr/>
              <w:t>​</w:t>
            </w:r>
          </w:p>
        </w:tc>
        <w:tc>
          <w:tcPr>
            <w:tcW w:w="2900"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410" w:type="dxa"/>
            <w:tcBorders/>
            <w:vAlign w:val="center"/>
          </w:tcPr>
          <w:p>
            <w:pPr>
              <w:pStyle w:val="TableContents"/>
              <w:bidi w:val="0"/>
              <w:spacing w:before="0" w:after="0"/>
              <w:ind w:left="0" w:right="0" w:hanging="0"/>
              <w:jc w:val="center"/>
              <w:rPr/>
            </w:pPr>
            <w:r>
              <w:rPr/>
              <w:t>​</w:t>
            </w:r>
          </w:p>
        </w:tc>
      </w:tr>
      <w:tr>
        <w:trPr/>
        <w:tc>
          <w:tcPr>
            <w:tcW w:w="61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EBITDA:</w:t>
            </w:r>
          </w:p>
        </w:tc>
        <w:tc>
          <w:tcPr>
            <w:tcW w:w="469"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1059"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489"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1067" w:type="dxa"/>
            <w:tcBorders/>
            <w:shd w:fill="CCEEFF" w:val="clear"/>
            <w:vAlign w:val="center"/>
          </w:tcPr>
          <w:p>
            <w:pPr>
              <w:pStyle w:val="TableContents"/>
              <w:bidi w:val="0"/>
              <w:spacing w:before="0" w:after="0"/>
              <w:ind w:left="0" w:right="0" w:hanging="0"/>
              <w:jc w:val="left"/>
              <w:rPr/>
            </w:pPr>
            <w:r>
              <w:rPr/>
              <w:t>​</w:t>
            </w:r>
          </w:p>
        </w:tc>
        <w:tc>
          <w:tcPr>
            <w:tcW w:w="410" w:type="dxa"/>
            <w:tcBorders/>
            <w:shd w:fill="CCEEFF" w:val="clear"/>
            <w:vAlign w:val="center"/>
          </w:tcPr>
          <w:p>
            <w:pPr>
              <w:pStyle w:val="TableContents"/>
              <w:bidi w:val="0"/>
              <w:spacing w:before="0" w:after="0"/>
              <w:ind w:left="0" w:right="0" w:hanging="0"/>
              <w:jc w:val="left"/>
              <w:rPr/>
            </w:pPr>
            <w:r>
              <w:rPr/>
              <w:t>​</w:t>
            </w:r>
          </w:p>
        </w:tc>
      </w:tr>
      <w:tr>
        <w:trPr/>
        <w:tc>
          <w:tcPr>
            <w:tcW w:w="61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(loss)</w:t>
            </w:r>
          </w:p>
        </w:tc>
        <w:tc>
          <w:tcPr>
            <w:tcW w:w="469"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(2,510)</w:t>
            </w:r>
          </w:p>
        </w:tc>
        <w:tc>
          <w:tcPr>
            <w:tcW w:w="489"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11,130</w:t>
            </w:r>
          </w:p>
        </w:tc>
        <w:tc>
          <w:tcPr>
            <w:tcW w:w="410" w:type="dxa"/>
            <w:tcBorders/>
            <w:vAlign w:val="center"/>
          </w:tcPr>
          <w:p>
            <w:pPr>
              <w:pStyle w:val="TableContents"/>
              <w:bidi w:val="0"/>
              <w:spacing w:before="0" w:after="0"/>
              <w:ind w:left="0" w:right="0" w:hanging="0"/>
              <w:jc w:val="left"/>
              <w:rPr/>
            </w:pPr>
            <w:r>
              <w:rPr/>
              <w:t>​</w:t>
            </w:r>
          </w:p>
        </w:tc>
      </w:tr>
      <w:tr>
        <w:trPr/>
        <w:tc>
          <w:tcPr>
            <w:tcW w:w="6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Interest income, net </w:t>
            </w:r>
          </w:p>
        </w:tc>
        <w:tc>
          <w:tcPr>
            <w:tcW w:w="469"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 </w:t>
            </w:r>
          </w:p>
        </w:tc>
        <w:tc>
          <w:tcPr>
            <w:tcW w:w="10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(957)</w:t>
            </w:r>
          </w:p>
        </w:tc>
        <w:tc>
          <w:tcPr>
            <w:tcW w:w="489"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 </w:t>
            </w:r>
          </w:p>
        </w:tc>
        <w:tc>
          <w:tcPr>
            <w:tcW w:w="10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(1,539)</w:t>
            </w:r>
          </w:p>
        </w:tc>
        <w:tc>
          <w:tcPr>
            <w:tcW w:w="410" w:type="dxa"/>
            <w:tcBorders/>
            <w:shd w:fill="CCEEFF" w:val="clear"/>
            <w:vAlign w:val="center"/>
          </w:tcPr>
          <w:p>
            <w:pPr>
              <w:pStyle w:val="TableContents"/>
              <w:bidi w:val="0"/>
              <w:spacing w:before="0" w:after="0"/>
              <w:ind w:left="0" w:right="0" w:hanging="0"/>
              <w:jc w:val="right"/>
              <w:rPr/>
            </w:pPr>
            <w:r>
              <w:rPr/>
              <w:t>​</w:t>
            </w:r>
          </w:p>
        </w:tc>
      </w:tr>
      <w:tr>
        <w:trPr/>
        <w:tc>
          <w:tcPr>
            <w:tcW w:w="6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w:t>
            </w:r>
          </w:p>
        </w:tc>
        <w:tc>
          <w:tcPr>
            <w:tcW w:w="469"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10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(7,139)</w:t>
            </w:r>
          </w:p>
        </w:tc>
        <w:tc>
          <w:tcPr>
            <w:tcW w:w="489"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10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(5,105)</w:t>
            </w:r>
          </w:p>
        </w:tc>
        <w:tc>
          <w:tcPr>
            <w:tcW w:w="410" w:type="dxa"/>
            <w:tcBorders/>
            <w:vAlign w:val="center"/>
          </w:tcPr>
          <w:p>
            <w:pPr>
              <w:pStyle w:val="TableContents"/>
              <w:bidi w:val="0"/>
              <w:spacing w:before="0" w:after="0"/>
              <w:ind w:left="0" w:right="0" w:hanging="0"/>
              <w:jc w:val="right"/>
              <w:rPr/>
            </w:pPr>
            <w:r>
              <w:rPr/>
              <w:t>​</w:t>
            </w:r>
          </w:p>
        </w:tc>
      </w:tr>
      <w:tr>
        <w:trPr/>
        <w:tc>
          <w:tcPr>
            <w:tcW w:w="6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 – property and equipment</w:t>
            </w:r>
          </w:p>
        </w:tc>
        <w:tc>
          <w:tcPr>
            <w:tcW w:w="469"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 </w:t>
            </w:r>
          </w:p>
        </w:tc>
        <w:tc>
          <w:tcPr>
            <w:tcW w:w="10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6,442</w:t>
            </w:r>
          </w:p>
        </w:tc>
        <w:tc>
          <w:tcPr>
            <w:tcW w:w="489"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 </w:t>
            </w:r>
          </w:p>
        </w:tc>
        <w:tc>
          <w:tcPr>
            <w:tcW w:w="10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5,880</w:t>
            </w:r>
          </w:p>
        </w:tc>
        <w:tc>
          <w:tcPr>
            <w:tcW w:w="410" w:type="dxa"/>
            <w:tcBorders/>
            <w:shd w:fill="CCEEFF" w:val="clear"/>
            <w:vAlign w:val="center"/>
          </w:tcPr>
          <w:p>
            <w:pPr>
              <w:pStyle w:val="TableContents"/>
              <w:bidi w:val="0"/>
              <w:spacing w:before="0" w:after="0"/>
              <w:ind w:left="0" w:right="0" w:hanging="0"/>
              <w:jc w:val="right"/>
              <w:rPr/>
            </w:pPr>
            <w:r>
              <w:rPr/>
              <w:t>​</w:t>
            </w:r>
          </w:p>
        </w:tc>
      </w:tr>
      <w:tr>
        <w:trPr/>
        <w:tc>
          <w:tcPr>
            <w:tcW w:w="6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 of capitalized software and acquired intangible assets – cost of subscription revenues</w:t>
            </w:r>
          </w:p>
        </w:tc>
        <w:tc>
          <w:tcPr>
            <w:tcW w:w="469"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10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20,086</w:t>
            </w:r>
          </w:p>
        </w:tc>
        <w:tc>
          <w:tcPr>
            <w:tcW w:w="489"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10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15,855</w:t>
            </w:r>
          </w:p>
        </w:tc>
        <w:tc>
          <w:tcPr>
            <w:tcW w:w="410" w:type="dxa"/>
            <w:tcBorders/>
            <w:vAlign w:val="center"/>
          </w:tcPr>
          <w:p>
            <w:pPr>
              <w:pStyle w:val="TableContents"/>
              <w:bidi w:val="0"/>
              <w:spacing w:before="0" w:after="0"/>
              <w:ind w:left="0" w:right="0" w:hanging="0"/>
              <w:jc w:val="right"/>
              <w:rPr/>
            </w:pPr>
            <w:r>
              <w:rPr/>
              <w:t>​</w:t>
            </w:r>
          </w:p>
        </w:tc>
      </w:tr>
      <w:tr>
        <w:trPr/>
        <w:tc>
          <w:tcPr>
            <w:tcW w:w="6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acquired intangible assets – selling and marketing expense</w:t>
            </w:r>
          </w:p>
        </w:tc>
        <w:tc>
          <w:tcPr>
            <w:tcW w:w="469"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10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w:t>
            </w:r>
          </w:p>
        </w:tc>
        <w:tc>
          <w:tcPr>
            <w:tcW w:w="489"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10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w:t>
            </w:r>
          </w:p>
        </w:tc>
        <w:tc>
          <w:tcPr>
            <w:tcW w:w="410" w:type="dxa"/>
            <w:tcBorders/>
            <w:shd w:fill="CCEEFF" w:val="clear"/>
            <w:vAlign w:val="center"/>
          </w:tcPr>
          <w:p>
            <w:pPr>
              <w:pStyle w:val="TableContents"/>
              <w:bidi w:val="0"/>
              <w:spacing w:before="0" w:after="0"/>
              <w:ind w:left="0" w:right="0" w:hanging="0"/>
              <w:jc w:val="right"/>
              <w:rPr/>
            </w:pPr>
            <w:r>
              <w:rPr/>
              <w:t>​</w:t>
            </w:r>
          </w:p>
        </w:tc>
      </w:tr>
      <w:tr>
        <w:trPr/>
        <w:tc>
          <w:tcPr>
            <w:tcW w:w="6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cloud computing implementation costs – general and administrative expense</w:t>
            </w:r>
          </w:p>
        </w:tc>
        <w:tc>
          <w:tcPr>
            <w:tcW w:w="469"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10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1,037</w:t>
            </w:r>
          </w:p>
        </w:tc>
        <w:tc>
          <w:tcPr>
            <w:tcW w:w="489"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10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1,006</w:t>
            </w:r>
          </w:p>
        </w:tc>
        <w:tc>
          <w:tcPr>
            <w:tcW w:w="410" w:type="dxa"/>
            <w:tcBorders/>
            <w:vAlign w:val="center"/>
          </w:tcPr>
          <w:p>
            <w:pPr>
              <w:pStyle w:val="TableContents"/>
              <w:bidi w:val="0"/>
              <w:spacing w:before="0" w:after="0"/>
              <w:ind w:left="0" w:right="0" w:hanging="0"/>
              <w:jc w:val="right"/>
              <w:rPr/>
            </w:pPr>
            <w:r>
              <w:rPr/>
              <w:t>​</w:t>
            </w:r>
          </w:p>
        </w:tc>
      </w:tr>
      <w:tr>
        <w:trPr/>
        <w:tc>
          <w:tcPr>
            <w:tcW w:w="6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469"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 </w:t>
            </w:r>
          </w:p>
        </w:tc>
        <w:tc>
          <w:tcPr>
            <w:tcW w:w="10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18,508</w:t>
            </w:r>
          </w:p>
        </w:tc>
        <w:tc>
          <w:tcPr>
            <w:tcW w:w="489"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 </w:t>
            </w:r>
          </w:p>
        </w:tc>
        <w:tc>
          <w:tcPr>
            <w:tcW w:w="10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21,044</w:t>
            </w:r>
          </w:p>
        </w:tc>
        <w:tc>
          <w:tcPr>
            <w:tcW w:w="410" w:type="dxa"/>
            <w:tcBorders/>
            <w:shd w:fill="CCEEFF" w:val="clear"/>
            <w:vAlign w:val="center"/>
          </w:tcPr>
          <w:p>
            <w:pPr>
              <w:pStyle w:val="TableContents"/>
              <w:bidi w:val="0"/>
              <w:spacing w:before="0" w:after="0"/>
              <w:ind w:left="0" w:right="0" w:hanging="0"/>
              <w:jc w:val="right"/>
              <w:rPr/>
            </w:pPr>
            <w:r>
              <w:rPr/>
              <w:t>​</w:t>
            </w:r>
          </w:p>
        </w:tc>
      </w:tr>
      <w:tr>
        <w:trPr/>
        <w:tc>
          <w:tcPr>
            <w:tcW w:w="614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Severance expense </w:t>
            </w:r>
            <w:r>
              <w:rPr>
                <w:rFonts w:ascii="Times New Roman;Times;serif" w:hAnsi="Times New Roman;Times;serif"/>
                <w:sz w:val="15"/>
              </w:rPr>
              <w:t>(1)</w:t>
            </w:r>
          </w:p>
        </w:tc>
        <w:tc>
          <w:tcPr>
            <w:tcW w:w="469"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10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7,408</w:t>
            </w:r>
          </w:p>
        </w:tc>
        <w:tc>
          <w:tcPr>
            <w:tcW w:w="489"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10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w:t>
            </w:r>
          </w:p>
        </w:tc>
        <w:tc>
          <w:tcPr>
            <w:tcW w:w="410" w:type="dxa"/>
            <w:tcBorders/>
            <w:vAlign w:val="center"/>
          </w:tcPr>
          <w:p>
            <w:pPr>
              <w:pStyle w:val="TableContents"/>
              <w:bidi w:val="0"/>
              <w:spacing w:before="0" w:after="0"/>
              <w:ind w:left="0" w:right="0" w:hanging="0"/>
              <w:jc w:val="right"/>
              <w:rPr/>
            </w:pPr>
            <w:r>
              <w:rPr/>
              <w:t>​</w:t>
            </w:r>
          </w:p>
        </w:tc>
      </w:tr>
      <w:tr>
        <w:trPr/>
        <w:tc>
          <w:tcPr>
            <w:tcW w:w="6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acquisition contingent earn-outs</w:t>
            </w:r>
          </w:p>
        </w:tc>
        <w:tc>
          <w:tcPr>
            <w:tcW w:w="469"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10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(5,738)</w:t>
            </w:r>
          </w:p>
        </w:tc>
        <w:tc>
          <w:tcPr>
            <w:tcW w:w="489"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10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(14,700)</w:t>
            </w:r>
          </w:p>
        </w:tc>
        <w:tc>
          <w:tcPr>
            <w:tcW w:w="410" w:type="dxa"/>
            <w:tcBorders/>
            <w:shd w:fill="CCEEFF" w:val="clear"/>
            <w:vAlign w:val="center"/>
          </w:tcPr>
          <w:p>
            <w:pPr>
              <w:pStyle w:val="TableContents"/>
              <w:bidi w:val="0"/>
              <w:spacing w:before="0" w:after="0"/>
              <w:ind w:left="0" w:right="0" w:hanging="0"/>
              <w:jc w:val="right"/>
              <w:rPr/>
            </w:pPr>
            <w:r>
              <w:rPr/>
              <w:t>​</w:t>
            </w:r>
          </w:p>
        </w:tc>
      </w:tr>
      <w:tr>
        <w:trPr/>
        <w:tc>
          <w:tcPr>
            <w:tcW w:w="614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Acquisition-related retained employee compensation </w:t>
            </w:r>
            <w:r>
              <w:rPr>
                <w:rFonts w:ascii="Times New Roman;Times;serif" w:hAnsi="Times New Roman;Times;serif"/>
                <w:sz w:val="15"/>
              </w:rPr>
              <w:t>(2)</w:t>
            </w:r>
          </w:p>
        </w:tc>
        <w:tc>
          <w:tcPr>
            <w:tcW w:w="469"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10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w:t>
            </w:r>
          </w:p>
        </w:tc>
        <w:tc>
          <w:tcPr>
            <w:tcW w:w="489"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1067" w:type="dxa"/>
            <w:tcBorders/>
            <w:vAlign w:val="center"/>
          </w:tcPr>
          <w:p>
            <w:pPr>
              <w:pStyle w:val="TableContents"/>
              <w:bidi w:val="0"/>
              <w:spacing w:before="0" w:after="0"/>
              <w:ind w:left="0" w:right="0" w:hanging="0"/>
              <w:jc w:val="right"/>
              <w:rPr/>
            </w:pPr>
            <w:r>
              <w:rPr/>
              <w:t>—</w:t>
            </w:r>
          </w:p>
        </w:tc>
        <w:tc>
          <w:tcPr>
            <w:tcW w:w="410" w:type="dxa"/>
            <w:tcBorders/>
            <w:vAlign w:val="center"/>
          </w:tcPr>
          <w:p>
            <w:pPr>
              <w:pStyle w:val="TableContents"/>
              <w:bidi w:val="0"/>
              <w:spacing w:before="0" w:after="0"/>
              <w:ind w:left="0" w:right="0" w:hanging="0"/>
              <w:jc w:val="right"/>
              <w:rPr/>
            </w:pPr>
            <w:r>
              <w:rPr/>
              <w:t>​</w:t>
            </w:r>
          </w:p>
        </w:tc>
      </w:tr>
      <w:tr>
        <w:trPr/>
        <w:tc>
          <w:tcPr>
            <w:tcW w:w="614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Transaction costs </w:t>
            </w:r>
            <w:r>
              <w:rPr>
                <w:rFonts w:ascii="Times New Roman;Times;serif" w:hAnsi="Times New Roman;Times;serif"/>
                <w:sz w:val="15"/>
              </w:rPr>
              <w:t>(3)</w:t>
            </w:r>
          </w:p>
        </w:tc>
        <w:tc>
          <w:tcPr>
            <w:tcW w:w="469"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5,984</w:t>
            </w:r>
          </w:p>
        </w:tc>
        <w:tc>
          <w:tcPr>
            <w:tcW w:w="489"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2,660</w:t>
            </w:r>
          </w:p>
        </w:tc>
        <w:tc>
          <w:tcPr>
            <w:tcW w:w="410" w:type="dxa"/>
            <w:tcBorders/>
            <w:shd w:fill="CCEEFF" w:val="clear"/>
            <w:vAlign w:val="center"/>
          </w:tcPr>
          <w:p>
            <w:pPr>
              <w:pStyle w:val="TableContents"/>
              <w:bidi w:val="0"/>
              <w:spacing w:before="0" w:after="0"/>
              <w:ind w:left="0" w:right="0" w:hanging="0"/>
              <w:jc w:val="right"/>
              <w:rPr/>
            </w:pPr>
            <w:r>
              <w:rPr/>
              <w:t>​</w:t>
            </w:r>
          </w:p>
        </w:tc>
      </w:tr>
      <w:tr>
        <w:trPr/>
        <w:tc>
          <w:tcPr>
            <w:tcW w:w="61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EBITDA</w:t>
            </w:r>
          </w:p>
        </w:tc>
        <w:tc>
          <w:tcPr>
            <w:tcW w:w="469" w:type="dxa"/>
            <w:tcBorders/>
            <w:vAlign w:val="center"/>
          </w:tcPr>
          <w:p>
            <w:pPr>
              <w:pStyle w:val="TableContents"/>
              <w:bidi w:val="0"/>
              <w:spacing w:before="0" w:after="0"/>
              <w:ind w:left="0" w:right="0" w:hanging="0"/>
              <w:jc w:val="left"/>
              <w:rPr/>
            </w:pPr>
            <w:r>
              <w:rPr/>
              <w:t>​</w:t>
            </w:r>
          </w:p>
        </w:tc>
        <w:tc>
          <w:tcPr>
            <w:tcW w:w="28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44,063</w:t>
            </w:r>
          </w:p>
        </w:tc>
        <w:tc>
          <w:tcPr>
            <w:tcW w:w="489" w:type="dxa"/>
            <w:tcBorders/>
            <w:vAlign w:val="center"/>
          </w:tcPr>
          <w:p>
            <w:pPr>
              <w:pStyle w:val="TableContents"/>
              <w:bidi w:val="0"/>
              <w:spacing w:before="0" w:after="0"/>
              <w:ind w:left="0" w:right="0" w:hanging="0"/>
              <w:jc w:val="left"/>
              <w:rPr/>
            </w:pPr>
            <w:r>
              <w:rPr/>
              <w:t>​</w:t>
            </w:r>
          </w:p>
        </w:tc>
        <w:tc>
          <w:tcPr>
            <w:tcW w:w="28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37,219</w:t>
            </w:r>
          </w:p>
        </w:tc>
        <w:tc>
          <w:tcPr>
            <w:tcW w:w="410" w:type="dxa"/>
            <w:tcBorders/>
            <w:vAlign w:val="center"/>
          </w:tcPr>
          <w:p>
            <w:pPr>
              <w:pStyle w:val="TableContents"/>
              <w:bidi w:val="0"/>
              <w:spacing w:before="0" w:after="0"/>
              <w:ind w:left="0" w:right="0" w:hanging="0"/>
              <w:jc w:val="right"/>
              <w:rPr/>
            </w:pPr>
            <w:r>
              <w:rPr/>
              <w:t>​</w:t>
            </w:r>
          </w:p>
        </w:tc>
      </w:tr>
      <w:tr>
        <w:trPr/>
        <w:tc>
          <w:tcPr>
            <w:tcW w:w="61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EBITDA Margin:</w:t>
            </w:r>
          </w:p>
        </w:tc>
        <w:tc>
          <w:tcPr>
            <w:tcW w:w="469"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1059" w:type="dxa"/>
            <w:tcBorders/>
            <w:shd w:fill="CCEEFF" w:val="clear"/>
            <w:vAlign w:val="center"/>
          </w:tcPr>
          <w:p>
            <w:pPr>
              <w:pStyle w:val="TableContents"/>
              <w:bidi w:val="0"/>
              <w:spacing w:before="0" w:after="0"/>
              <w:ind w:left="0" w:right="0" w:hanging="0"/>
              <w:jc w:val="right"/>
              <w:rPr/>
            </w:pPr>
            <w:r>
              <w:rPr/>
              <w:t>​</w:t>
            </w:r>
          </w:p>
        </w:tc>
        <w:tc>
          <w:tcPr>
            <w:tcW w:w="489"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1067" w:type="dxa"/>
            <w:tcBorders/>
            <w:shd w:fill="CCEEFF" w:val="clear"/>
            <w:vAlign w:val="center"/>
          </w:tcPr>
          <w:p>
            <w:pPr>
              <w:pStyle w:val="TableContents"/>
              <w:bidi w:val="0"/>
              <w:spacing w:before="0" w:after="0"/>
              <w:ind w:left="0" w:right="0" w:hanging="0"/>
              <w:jc w:val="right"/>
              <w:rPr/>
            </w:pPr>
            <w:r>
              <w:rPr/>
              <w:t>​</w:t>
            </w:r>
          </w:p>
        </w:tc>
        <w:tc>
          <w:tcPr>
            <w:tcW w:w="410" w:type="dxa"/>
            <w:tcBorders/>
            <w:shd w:fill="CCEEFF" w:val="clear"/>
            <w:vAlign w:val="center"/>
          </w:tcPr>
          <w:p>
            <w:pPr>
              <w:pStyle w:val="TableContents"/>
              <w:bidi w:val="0"/>
              <w:spacing w:before="0" w:after="0"/>
              <w:ind w:left="0" w:right="0" w:hanging="0"/>
              <w:jc w:val="right"/>
              <w:rPr/>
            </w:pPr>
            <w:r>
              <w:rPr/>
              <w:t>​</w:t>
            </w:r>
          </w:p>
        </w:tc>
      </w:tr>
      <w:tr>
        <w:trPr/>
        <w:tc>
          <w:tcPr>
            <w:tcW w:w="6141"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1059" w:type="dxa"/>
            <w:tcBorders/>
            <w:vAlign w:val="center"/>
          </w:tcPr>
          <w:p>
            <w:pPr>
              <w:pStyle w:val="TableContents"/>
              <w:bidi w:val="0"/>
              <w:spacing w:before="0" w:after="0"/>
              <w:ind w:left="0" w:right="0" w:hanging="0"/>
              <w:jc w:val="right"/>
              <w:rPr/>
            </w:pPr>
            <w:r>
              <w:rPr/>
              <w:t>  ​</w:t>
            </w:r>
          </w:p>
        </w:tc>
        <w:tc>
          <w:tcPr>
            <w:tcW w:w="489"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1067" w:type="dxa"/>
            <w:tcBorders/>
            <w:vAlign w:val="center"/>
          </w:tcPr>
          <w:p>
            <w:pPr>
              <w:pStyle w:val="TableContents"/>
              <w:bidi w:val="0"/>
              <w:spacing w:before="0" w:after="0"/>
              <w:ind w:left="0" w:right="0" w:hanging="0"/>
              <w:jc w:val="right"/>
              <w:rPr/>
            </w:pPr>
            <w:r>
              <w:rPr/>
              <w:t>  ​</w:t>
            </w:r>
          </w:p>
        </w:tc>
        <w:tc>
          <w:tcPr>
            <w:tcW w:w="410" w:type="dxa"/>
            <w:tcBorders/>
            <w:vAlign w:val="center"/>
          </w:tcPr>
          <w:p>
            <w:pPr>
              <w:pStyle w:val="TableContents"/>
              <w:bidi w:val="0"/>
              <w:spacing w:before="0" w:after="0"/>
              <w:ind w:left="0" w:right="0" w:hanging="0"/>
              <w:jc w:val="right"/>
              <w:rPr/>
            </w:pPr>
            <w:r>
              <w:rPr/>
              <w:t>​</w:t>
            </w:r>
          </w:p>
        </w:tc>
      </w:tr>
      <w:tr>
        <w:trPr/>
        <w:tc>
          <w:tcPr>
            <w:tcW w:w="6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469" w:type="dxa"/>
            <w:tcBorders/>
            <w:shd w:fill="CCEEFF" w:val="clear"/>
            <w:vAlign w:val="center"/>
          </w:tcPr>
          <w:p>
            <w:pPr>
              <w:pStyle w:val="TableContents"/>
              <w:bidi w:val="0"/>
              <w:spacing w:before="0" w:after="0"/>
              <w:ind w:left="0" w:right="0" w:hanging="0"/>
              <w:jc w:val="left"/>
              <w:rPr/>
            </w:pPr>
            <w:r>
              <w:rPr/>
              <w:t>​</w:t>
            </w:r>
          </w:p>
        </w:tc>
        <w:tc>
          <w:tcPr>
            <w:tcW w:w="2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196,646</w:t>
            </w:r>
          </w:p>
        </w:tc>
        <w:tc>
          <w:tcPr>
            <w:tcW w:w="489" w:type="dxa"/>
            <w:tcBorders/>
            <w:shd w:fill="CCEEFF" w:val="clear"/>
            <w:vAlign w:val="center"/>
          </w:tcPr>
          <w:p>
            <w:pPr>
              <w:pStyle w:val="TableContents"/>
              <w:bidi w:val="0"/>
              <w:spacing w:before="0" w:after="0"/>
              <w:ind w:left="0" w:right="0" w:hanging="0"/>
              <w:jc w:val="left"/>
              <w:rPr/>
            </w:pPr>
            <w:r>
              <w:rPr/>
              <w:t>​</w:t>
            </w:r>
          </w:p>
        </w:tc>
        <w:tc>
          <w:tcPr>
            <w:tcW w:w="2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177,062</w:t>
            </w:r>
          </w:p>
        </w:tc>
        <w:tc>
          <w:tcPr>
            <w:tcW w:w="410" w:type="dxa"/>
            <w:tcBorders/>
            <w:shd w:fill="CCEEFF" w:val="clear"/>
            <w:vAlign w:val="center"/>
          </w:tcPr>
          <w:p>
            <w:pPr>
              <w:pStyle w:val="TableContents"/>
              <w:bidi w:val="0"/>
              <w:spacing w:before="0" w:after="0"/>
              <w:ind w:left="0" w:right="0" w:hanging="0"/>
              <w:jc w:val="right"/>
              <w:rPr/>
            </w:pPr>
            <w:r>
              <w:rPr/>
              <w:t>​</w:t>
            </w:r>
          </w:p>
        </w:tc>
      </w:tr>
      <w:tr>
        <w:trPr/>
        <w:tc>
          <w:tcPr>
            <w:tcW w:w="61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EBITDA margin</w:t>
            </w:r>
          </w:p>
        </w:tc>
        <w:tc>
          <w:tcPr>
            <w:tcW w:w="469" w:type="dxa"/>
            <w:tcBorders/>
            <w:vAlign w:val="center"/>
          </w:tcPr>
          <w:p>
            <w:pPr>
              <w:pStyle w:val="TableContents"/>
              <w:bidi w:val="0"/>
              <w:spacing w:before="0" w:after="0"/>
              <w:ind w:left="0" w:right="0" w:hanging="0"/>
              <w:jc w:val="left"/>
              <w:rPr/>
            </w:pPr>
            <w:r>
              <w:rPr/>
              <w:t>​</w:t>
            </w:r>
          </w:p>
        </w:tc>
        <w:tc>
          <w:tcPr>
            <w:tcW w:w="285"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5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w:t>
            </w:r>
          </w:p>
        </w:tc>
        <w:tc>
          <w:tcPr>
            <w:tcW w:w="4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85"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6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4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9795" w:type="dxa"/>
            <w:gridSpan w:val="7"/>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2"/>
              </w:rPr>
              <w:t xml:space="preserve">(1) </w:t>
            </w:r>
            <w:r>
              <w:rPr>
                <w:rFonts w:ascii="Times New Roman;Times;serif" w:hAnsi="Times New Roman;Times;serif"/>
                <w:sz w:val="16"/>
              </w:rPr>
              <w:t>The three months ended March 31, 2026 includes $6,170 in severance costs related to the Value Creation Plan. For further information, refer to Note 15, “Restructuring” to the condensed consolidated financial statements included in this Quarterly Report on Form 10-Q.</w:t>
            </w:r>
          </w:p>
        </w:tc>
        <w:tc>
          <w:tcPr>
            <w:tcW w:w="410" w:type="dxa"/>
            <w:tcBorders/>
            <w:vAlign w:val="center"/>
          </w:tcPr>
          <w:p>
            <w:pPr>
              <w:pStyle w:val="TableContents"/>
              <w:bidi w:val="0"/>
              <w:spacing w:before="0" w:after="0"/>
              <w:ind w:left="0" w:right="0" w:hanging="0"/>
              <w:jc w:val="left"/>
              <w:rPr/>
            </w:pPr>
            <w:r>
              <w:rPr/>
              <w:t>​</w:t>
            </w:r>
          </w:p>
        </w:tc>
      </w:tr>
      <w:tr>
        <w:trPr/>
        <w:tc>
          <w:tcPr>
            <w:tcW w:w="9795" w:type="dxa"/>
            <w:gridSpan w:val="7"/>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2"/>
              </w:rPr>
              <w:t xml:space="preserve">(2) </w:t>
            </w:r>
            <w:r>
              <w:rPr>
                <w:rFonts w:ascii="Times New Roman;Times;serif" w:hAnsi="Times New Roman;Times;serif"/>
                <w:sz w:val="16"/>
              </w:rPr>
              <w:t>The three months ended March 31, 2026 includes compensation expense recognized related to the Additional Cash Consideration obligation associated with the acquisition of Brinta. For further information, refer to Note 3, “Acquisitions” to the condensed consolidated financial statements included in this Quarterly Report on Form 10-Q.</w:t>
            </w:r>
          </w:p>
        </w:tc>
        <w:tc>
          <w:tcPr>
            <w:tcW w:w="410" w:type="dxa"/>
            <w:tcBorders/>
            <w:vAlign w:val="center"/>
          </w:tcPr>
          <w:p>
            <w:pPr>
              <w:pStyle w:val="TableContents"/>
              <w:bidi w:val="0"/>
              <w:spacing w:before="0" w:after="0"/>
              <w:ind w:left="0" w:right="0" w:hanging="0"/>
              <w:jc w:val="left"/>
              <w:rPr/>
            </w:pPr>
            <w:r>
              <w:rPr/>
              <w:t>​</w:t>
            </w:r>
          </w:p>
        </w:tc>
      </w:tr>
      <w:tr>
        <w:trPr/>
        <w:tc>
          <w:tcPr>
            <w:tcW w:w="9795" w:type="dxa"/>
            <w:gridSpan w:val="7"/>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2"/>
              </w:rPr>
              <w:t xml:space="preserve">(3) </w:t>
            </w:r>
            <w:r>
              <w:rPr>
                <w:rFonts w:ascii="Times New Roman;Times;serif" w:hAnsi="Times New Roman;Times;serif"/>
                <w:sz w:val="16"/>
              </w:rPr>
              <w:t>The three months ended March 31, 2026 and 2025 include legal expenses associated with pending litigation related to claims the Company has made against a competitor. For further information, refer to Note 12, “Commitments and Contingencies” to the condensed consolidated financial statements included in this Quarterly Report on Form 10-Q. The three months ended March 31, 2026 also includes $2,550 in costs incurred to support the execution of our Value Creation Plan. For further information refer to Note 15, “ Restructuring” to the condensed consolidated financial statements included in this Quarterly Report on Form 10-Q.</w:t>
            </w:r>
          </w:p>
        </w:tc>
        <w:tc>
          <w:tcPr>
            <w:tcW w:w="410"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bookmarkStart w:id="1624" w:name="_9kMI1H6ZWu4AB78IT5l3DD0lMpuD9r"/>
      <w:bookmarkStart w:id="1625" w:name="_9kMI0G6ZWu4AB78IT5l3DD0lMpuD9r"/>
      <w:bookmarkEnd w:id="1624"/>
      <w:bookmarkEnd w:id="1625"/>
      <w:r>
        <w:rPr>
          <w:rFonts w:ascii="Times New Roman;Times;serif" w:hAnsi="Times New Roman;Times;serif"/>
          <w:sz w:val="20"/>
        </w:rPr>
        <w:t>The increase in Adjusted EBITDA for the three months ended March 31, 2026 of $6.8 million over the comparable period in 2025 was primarily driven by a $15.6 million increase in non-GAAP gross profit, which was partially offset by increases of $4.9 million in non-GAAP selling and marketing expense, $4.2 million in non-GAAP research and development expense, and $0.4 million in non-GAAP general and administrative expense. Adjusted EBITDA margin increased to 22.4% for the three months ended March 31, 2026 compared to 21.0% for the comparable period in 2025, primarily due to increased operating leverage and realized efficiencies from prior year strategic investments in our global infrastructure and core business processes.</w:t>
      </w:r>
    </w:p>
    <w:p>
      <w:pPr>
        <w:pStyle w:val="TextBody"/>
        <w:bidi w:val="0"/>
        <w:spacing w:before="0" w:after="0"/>
        <w:ind w:left="0" w:right="0" w:hanging="0"/>
        <w:jc w:val="left"/>
        <w:rPr>
          <w:color w:val="FF0000"/>
        </w:rPr>
      </w:pPr>
      <w:r>
        <w:rPr>
          <w:color w:val="FF0000"/>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Free Cash Flow and Free Cash Flow Margin.</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use free cash flow as a critical measure in the evaluation of liquidity in conjunction with related GAAP amounts. We also use this measure when considering available cash, including for decision-making purposes related to dividends and discretionary investments. We consider free cash flow to be an important measure for investors because it measures the amount of cash we generate from our operations after our capital expenditures and capitalization of software development costs. In addition, we base certain of our forward-looking estimates and budgets on free cash flow and free cash flow margin. We define free cash flow as the total of net cash provided by operating activities less purchases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property and equipment and capitalized software. We define free cash flow margin as free cash flow divided by total revenues for the same period.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net cash provided by operating activities was $38.0 million and $14.8 million for the three months ended March 31, 2026 and 2025, respectively, while our operating cash flow margin was 19.3% and 8.4% over the same periods, respectively. </w:t>
      </w:r>
    </w:p>
    <w:tbl>
      <w:tblPr>
        <w:tblW w:w="6323" w:type="dxa"/>
        <w:jc w:val="left"/>
        <w:tblInd w:w="0" w:type="dxa"/>
        <w:tblLayout w:type="fixed"/>
        <w:tblCellMar>
          <w:top w:w="0" w:type="dxa"/>
          <w:left w:w="0" w:type="dxa"/>
          <w:bottom w:w="0" w:type="dxa"/>
          <w:right w:w="0" w:type="dxa"/>
        </w:tblCellMar>
      </w:tblPr>
      <w:tblGrid>
        <w:gridCol w:w="3286"/>
        <w:gridCol w:w="346"/>
        <w:gridCol w:w="211"/>
        <w:gridCol w:w="796"/>
        <w:gridCol w:w="361"/>
        <w:gridCol w:w="211"/>
        <w:gridCol w:w="796"/>
        <w:gridCol w:w="316"/>
      </w:tblGrid>
      <w:tr>
        <w:trPr/>
        <w:tc>
          <w:tcPr>
            <w:tcW w:w="3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2086610" cy="175260"/>
                      <wp:effectExtent l="0" t="0" r="0" b="0"/>
                      <wp:wrapNone/>
                      <wp:docPr id="553" name="Frame553"/>
                      <a:graphic xmlns:a="http://schemas.openxmlformats.org/drawingml/2006/main">
                        <a:graphicData uri="http://schemas.microsoft.com/office/word/2010/wordprocessingShape">
                          <wps:wsp>
                            <wps:cNvSpPr txBox="1"/>
                            <wps:spPr>
                              <a:xfrm>
                                <a:off x="0" y="0"/>
                                <a:ext cx="2086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219710" cy="175260"/>
                      <wp:effectExtent l="0" t="0" r="0" b="0"/>
                      <wp:wrapNone/>
                      <wp:docPr id="554" name="Frame5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133985" cy="175260"/>
                      <wp:effectExtent l="0" t="0" r="0" b="0"/>
                      <wp:wrapNone/>
                      <wp:docPr id="555" name="Frame5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505460" cy="175260"/>
                      <wp:effectExtent l="0" t="0" r="0" b="0"/>
                      <wp:wrapNone/>
                      <wp:docPr id="556" name="Frame55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229235" cy="175260"/>
                      <wp:effectExtent l="0" t="0" r="0" b="0"/>
                      <wp:wrapNone/>
                      <wp:docPr id="557" name="Frame55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133985" cy="175260"/>
                      <wp:effectExtent l="0" t="0" r="0" b="0"/>
                      <wp:wrapNone/>
                      <wp:docPr id="558" name="Frame5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505460" cy="175260"/>
                      <wp:effectExtent l="0" t="0" r="0" b="0"/>
                      <wp:wrapNone/>
                      <wp:docPr id="559" name="Frame55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200660" cy="175260"/>
                      <wp:effectExtent l="0" t="0" r="0" b="0"/>
                      <wp:wrapNone/>
                      <wp:docPr id="560" name="Frame56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7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16" w:type="dxa"/>
            <w:tcBorders/>
            <w:vAlign w:val="center"/>
          </w:tcPr>
          <w:p>
            <w:pPr>
              <w:pStyle w:val="TableContents"/>
              <w:bidi w:val="0"/>
              <w:spacing w:before="0" w:after="0"/>
              <w:ind w:left="0" w:right="0" w:hanging="0"/>
              <w:jc w:val="center"/>
              <w:rPr/>
            </w:pPr>
            <w:r>
              <w:rPr/>
              <w:t>​</w:t>
            </w:r>
          </w:p>
        </w:tc>
      </w:tr>
      <w:tr>
        <w:trPr/>
        <w:tc>
          <w:tcPr>
            <w:tcW w:w="3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16" w:type="dxa"/>
            <w:tcBorders/>
            <w:vAlign w:val="center"/>
          </w:tcPr>
          <w:p>
            <w:pPr>
              <w:pStyle w:val="TableContents"/>
              <w:bidi w:val="0"/>
              <w:spacing w:before="0" w:after="0"/>
              <w:ind w:left="0" w:right="0" w:hanging="0"/>
              <w:jc w:val="center"/>
              <w:rPr/>
            </w:pPr>
            <w:r>
              <w:rPr/>
              <w:t>​</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16" w:type="dxa"/>
            <w:tcBorders/>
            <w:vAlign w:val="center"/>
          </w:tcPr>
          <w:p>
            <w:pPr>
              <w:pStyle w:val="TableContents"/>
              <w:bidi w:val="0"/>
              <w:spacing w:before="0" w:after="0"/>
              <w:ind w:left="0" w:right="0" w:hanging="0"/>
              <w:jc w:val="center"/>
              <w:rPr/>
            </w:pPr>
            <w:r>
              <w:rPr/>
              <w:t>​</w:t>
            </w:r>
          </w:p>
        </w:tc>
      </w:tr>
      <w:tr>
        <w:trPr/>
        <w:tc>
          <w:tcPr>
            <w:tcW w:w="6323"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3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216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16" w:type="dxa"/>
            <w:tcBorders/>
            <w:vAlign w:val="center"/>
          </w:tcPr>
          <w:p>
            <w:pPr>
              <w:pStyle w:val="TableContents"/>
              <w:bidi w:val="0"/>
              <w:spacing w:before="0" w:after="0"/>
              <w:ind w:left="0" w:right="0" w:hanging="0"/>
              <w:jc w:val="left"/>
              <w:rPr/>
            </w:pPr>
            <w:r>
              <w:rPr/>
              <w:t>​</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Free Cash Flow:</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center"/>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center"/>
              <w:rPr/>
            </w:pPr>
            <w:r>
              <w:rPr/>
              <w:t>​</w:t>
            </w:r>
          </w:p>
        </w:tc>
        <w:tc>
          <w:tcPr>
            <w:tcW w:w="316" w:type="dxa"/>
            <w:tcBorders/>
            <w:shd w:fill="CCEEFF" w:val="clear"/>
            <w:vAlign w:val="center"/>
          </w:tcPr>
          <w:p>
            <w:pPr>
              <w:pStyle w:val="TableContents"/>
              <w:bidi w:val="0"/>
              <w:spacing w:before="0" w:after="0"/>
              <w:ind w:left="0" w:right="0" w:hanging="0"/>
              <w:jc w:val="center"/>
              <w:rPr/>
            </w:pPr>
            <w:r>
              <w:rPr/>
              <w:t>​</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provided by operating activities</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37,975</w:t>
            </w:r>
          </w:p>
        </w:tc>
        <w:tc>
          <w:tcPr>
            <w:tcW w:w="361"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14,805</w:t>
            </w:r>
          </w:p>
        </w:tc>
        <w:tc>
          <w:tcPr>
            <w:tcW w:w="316" w:type="dxa"/>
            <w:tcBorders/>
            <w:vAlign w:val="center"/>
          </w:tcPr>
          <w:p>
            <w:pPr>
              <w:pStyle w:val="TableContents"/>
              <w:bidi w:val="0"/>
              <w:spacing w:before="0" w:after="0"/>
              <w:ind w:left="0" w:right="0" w:hanging="0"/>
              <w:jc w:val="right"/>
              <w:rPr/>
            </w:pPr>
            <w:r>
              <w:rPr/>
              <w:t>​</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additions</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(24,660)</w:t>
            </w:r>
          </w:p>
        </w:tc>
        <w:tc>
          <w:tcPr>
            <w:tcW w:w="361"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(21,394)</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software additions</w:t>
            </w:r>
          </w:p>
        </w:tc>
        <w:tc>
          <w:tcPr>
            <w:tcW w:w="34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(5,656)</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(5,661)</w:t>
            </w:r>
          </w:p>
        </w:tc>
        <w:tc>
          <w:tcPr>
            <w:tcW w:w="316" w:type="dxa"/>
            <w:tcBorders/>
            <w:vAlign w:val="center"/>
          </w:tcPr>
          <w:p>
            <w:pPr>
              <w:pStyle w:val="TableContents"/>
              <w:bidi w:val="0"/>
              <w:spacing w:before="0" w:after="0"/>
              <w:ind w:left="0" w:right="0" w:hanging="0"/>
              <w:jc w:val="right"/>
              <w:rPr/>
            </w:pPr>
            <w:r>
              <w:rPr/>
              <w:t>​</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Free cash flow</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7,659</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(12,250)</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right"/>
              <w:rPr/>
            </w:pPr>
            <w:r>
              <w:rPr/>
              <w:t>​</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Free Cash Flow Margin:</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46" w:type="dxa"/>
            <w:tcBorders/>
            <w:vAlign w:val="center"/>
          </w:tcPr>
          <w:p>
            <w:pPr>
              <w:pStyle w:val="TableContents"/>
              <w:bidi w:val="0"/>
              <w:spacing w:before="0" w:after="0"/>
              <w:ind w:left="0" w:right="0" w:hanging="0"/>
              <w:jc w:val="center"/>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196,646</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177,062</w:t>
            </w:r>
          </w:p>
        </w:tc>
        <w:tc>
          <w:tcPr>
            <w:tcW w:w="316" w:type="dxa"/>
            <w:tcBorders/>
            <w:vAlign w:val="center"/>
          </w:tcPr>
          <w:p>
            <w:pPr>
              <w:pStyle w:val="TableContents"/>
              <w:bidi w:val="0"/>
              <w:spacing w:before="0" w:after="0"/>
              <w:ind w:left="0" w:right="0" w:hanging="0"/>
              <w:jc w:val="right"/>
              <w:rPr/>
            </w:pPr>
            <w:r>
              <w:rPr/>
              <w:t>​</w:t>
            </w:r>
          </w:p>
        </w:tc>
      </w:tr>
      <w:tr>
        <w:trPr/>
        <w:tc>
          <w:tcPr>
            <w:tcW w:w="3286" w:type="dxa"/>
            <w:tcBorders/>
            <w:shd w:fill="CCEEFF" w:val="clear"/>
            <w:vAlign w:val="center"/>
          </w:tcPr>
          <w:p>
            <w:pPr>
              <w:pStyle w:val="TableContents"/>
              <w:bidi w:val="0"/>
              <w:spacing w:before="60" w:after="60"/>
              <w:ind w:left="0" w:right="0" w:hanging="0"/>
              <w:jc w:val="left"/>
              <w:rPr>
                <w:rFonts w:ascii="Times New Roman;Times;serif" w:hAnsi="Times New Roman;Times;serif"/>
                <w:b/>
                <w:sz w:val="20"/>
              </w:rPr>
            </w:pPr>
            <w:r>
              <w:rPr>
                <w:rFonts w:ascii="Times New Roman;Times;serif" w:hAnsi="Times New Roman;Times;serif"/>
                <w:b/>
                <w:sz w:val="20"/>
              </w:rPr>
              <w:t>Free cash flow margin</w:t>
            </w:r>
          </w:p>
        </w:tc>
        <w:tc>
          <w:tcPr>
            <w:tcW w:w="346" w:type="dxa"/>
            <w:tcBorders/>
            <w:shd w:fill="CCEEFF" w:val="clear"/>
            <w:vAlign w:val="center"/>
          </w:tcPr>
          <w:p>
            <w:pPr>
              <w:pStyle w:val="TableContents"/>
              <w:bidi w:val="0"/>
              <w:spacing w:before="60" w:after="60"/>
              <w:ind w:left="0" w:right="0" w:hanging="0"/>
              <w:jc w:val="center"/>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60" w:after="60"/>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60" w:after="60"/>
              <w:ind w:left="0" w:right="0" w:hanging="0"/>
              <w:jc w:val="right"/>
              <w:rPr>
                <w:rFonts w:ascii="Times New Roman;Times;serif" w:hAnsi="Times New Roman;Times;serif"/>
                <w:sz w:val="20"/>
              </w:rPr>
            </w:pPr>
            <w:r>
              <w:rPr>
                <w:rFonts w:ascii="Times New Roman;Times;serif" w:hAnsi="Times New Roman;Times;serif"/>
                <w:sz w:val="20"/>
              </w:rPr>
              <w:t>3.9</w:t>
            </w:r>
          </w:p>
        </w:tc>
        <w:tc>
          <w:tcPr>
            <w:tcW w:w="361" w:type="dxa"/>
            <w:tcBorders/>
            <w:shd w:fill="CCEEFF" w:val="clear"/>
            <w:vAlign w:val="center"/>
          </w:tcPr>
          <w:p>
            <w:pPr>
              <w:pStyle w:val="TableContents"/>
              <w:bidi w:val="0"/>
              <w:spacing w:before="60" w:after="6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60" w:after="60"/>
              <w:ind w:left="0" w:right="0" w:hanging="0"/>
              <w:jc w:val="left"/>
              <w:rPr/>
            </w:pPr>
            <w:r>
              <w:rPr/>
              <w:t>​</w:t>
            </w:r>
          </w:p>
        </w:tc>
        <w:tc>
          <w:tcPr>
            <w:tcW w:w="796" w:type="dxa"/>
            <w:tcBorders>
              <w:bottom w:val="double" w:sz="6" w:space="0" w:color="000000"/>
            </w:tcBorders>
            <w:shd w:fill="CCEEFF" w:val="clear"/>
            <w:tcMar>
              <w:bottom w:w="28" w:type="dxa"/>
            </w:tcMar>
            <w:vAlign w:val="center"/>
          </w:tcPr>
          <w:p>
            <w:pPr>
              <w:pStyle w:val="TableContents"/>
              <w:bidi w:val="0"/>
              <w:spacing w:before="60" w:after="60"/>
              <w:ind w:left="0" w:right="0" w:hanging="0"/>
              <w:jc w:val="right"/>
              <w:rPr>
                <w:rFonts w:ascii="Times New Roman;Times;serif" w:hAnsi="Times New Roman;Times;serif"/>
                <w:sz w:val="20"/>
              </w:rPr>
            </w:pPr>
            <w:r>
              <w:rPr>
                <w:rFonts w:ascii="Times New Roman;Times;serif" w:hAnsi="Times New Roman;Times;serif"/>
                <w:sz w:val="20"/>
              </w:rPr>
              <w:t>(6.9)</w:t>
            </w:r>
          </w:p>
        </w:tc>
        <w:tc>
          <w:tcPr>
            <w:tcW w:w="316" w:type="dxa"/>
            <w:tcBorders/>
            <w:shd w:fill="CCEEFF" w:val="clear"/>
            <w:vAlign w:val="center"/>
          </w:tcPr>
          <w:p>
            <w:pPr>
              <w:pStyle w:val="TableContents"/>
              <w:bidi w:val="0"/>
              <w:spacing w:before="60" w:after="6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60" w:after="60"/>
        <w:ind w:left="0" w:right="0" w:firstLine="720"/>
        <w:jc w:val="both"/>
        <w:rPr/>
      </w:pPr>
      <w:r>
        <w:rPr/>
        <w:t>​</w:t>
      </w:r>
    </w:p>
    <w:p>
      <w:pPr>
        <w:pStyle w:val="TextBody"/>
        <w:bidi w:val="0"/>
        <w:spacing w:before="60" w:after="60"/>
        <w:ind w:left="0" w:right="0" w:firstLine="720"/>
        <w:jc w:val="both"/>
        <w:rPr>
          <w:rFonts w:ascii="Times New Roman;Times;serif" w:hAnsi="Times New Roman;Times;serif"/>
          <w:sz w:val="20"/>
        </w:rPr>
      </w:pPr>
      <w:r>
        <w:rPr>
          <w:rFonts w:ascii="Times New Roman;Times;serif" w:hAnsi="Times New Roman;Times;serif"/>
          <w:sz w:val="20"/>
        </w:rPr>
        <w:t>Free cash flow increased by $19.9 million for the three months ended March 31, 2026 as compared to the same period in 2025. This increase was primarily driven by a $23.2 million increase in cash provided by operating activities, resulting from favorable changes in working capital components and the timing of certain operational expenditures. Free cash flow margin increased to 3.9% for the three months ended March 31, 2026 compared to (6.9)% for the same period in 2025.</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Use and Reconciliation of Non-GAAP Financial Measures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to our results determined in accordance with GAAP, we have calculated Adjusted EBITDA, Adjusted EBITDA margin, free cash flow, free cash flow margin, non-GAAP cost of revenues, non-GAAP gross profit, non-GAAP gross margin, non-GAAP research and development expense, non-GAAP selling and marketing expense, non-GAAP general and administrative expense, non-GAAP operating income, and non-GAAP net income, which are each non-GAAP financial measures. We have provided tabular reconciliations of each of these non-GAAP financial measures to its most directly comparable GAAP financial measure.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use these non-GAAP financial measures to understand and compare operating results across accounting periods, for internal budgeting and forecasting purposes, and to evaluate financial performance. We use non-GAAP financial measures of free cash flow and free cash flow margin to evaluate liquidity. Our non-GAAP financial measures are presented as supplemental disclosure as we believe they provide useful information to investors and others in understanding and evaluating our results, prospects, and liquidity period-over-period without the impact of certain items that do not directly correlate to our operating performance and that may vary significantly from period to period for reasons unrelated to our operating performance, as well as comparing our financial results to those of other companies. Our definitions of these non-GAAP financial measures may differ from similarly titled measures presented by other companies, and therefore, comparability may be limited. In addition, other companies may not publish these or similar metrics. Thus, our non-GAAP financial measures should be considered in addition to, not as a substitute for, or in isolation from, the financial information prepared in accordance with GAAP financial measures, and should be read in conjunction with the condensed consolidated financial statements included in this Quarterly Report on Form 10-Q.</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Additional Non-GAAP Financial Measures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to Adjusted EBITDA, Adjusted EBITDA margin, free cash flow, and free cash flow margin calculated and discussed in “Key Business Metrics,” the following additional non-GAAP financial measures are calculated and presented further below:</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cost of revenues, software subscriptions is determined by adding back to GAAP cost of revenues, software subscriptions, the stock-based compensation expense, and depreciation and amortization of capitalized software and acquired intangible assets included in cost of subscription revenues for the respective periods.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cost of revenues, services is determined by adding back to GAAP cost of revenues, services, the stock-based compensation expense included in cost of revenues, services for the respective periods.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gross profit is determined by adding back to GAAP gross profit the stock-based compensation expense, and depreciation and amortization of capitalized software and acquired intangible assets included in cost of subscription revenues for the respective periods.</w:t>
            </w:r>
          </w:p>
        </w:tc>
      </w:tr>
    </w:tbl>
    <w:tbl>
      <w:tblPr>
        <w:tblW w:w="10131" w:type="dxa"/>
        <w:jc w:val="left"/>
        <w:tblInd w:w="0" w:type="dxa"/>
        <w:tblLayout w:type="fixed"/>
        <w:tblCellMar>
          <w:top w:w="28" w:type="dxa"/>
          <w:left w:w="28" w:type="dxa"/>
          <w:bottom w:w="28" w:type="dxa"/>
          <w:right w:w="28" w:type="dxa"/>
        </w:tblCellMar>
      </w:tblPr>
      <w:tblGrid>
        <w:gridCol w:w="124"/>
        <w:gridCol w:w="256"/>
        <w:gridCol w:w="9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gross margin is determined by dividing non-GAAP gross profit by total revenues for the respective periods.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Non-GAAP research and development expense is determined by adding back to GAAP research and development expense the stock-based compensation expense and transaction costs related to acquired technology</w:t>
            </w:r>
            <w:r>
              <w:rPr>
                <w:caps w:val="false"/>
                <w:smallCaps w:val="false"/>
                <w:color w:val="FF0000"/>
              </w:rPr>
              <w:t xml:space="preserve"> </w:t>
            </w:r>
            <w:r>
              <w:rPr>
                <w:rFonts w:ascii="Times New Roman;Times;serif" w:hAnsi="Times New Roman;Times;serif"/>
                <w:b w:val="false"/>
                <w:i w:val="false"/>
                <w:caps w:val="false"/>
                <w:smallCaps w:val="false"/>
                <w:sz w:val="20"/>
              </w:rPr>
              <w:t xml:space="preserve">included in research and development expense for the respective periods.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selling and marketing expense is determined by adding back to GAAP selling and marketing expense the stock-based compensation expense and the amortization of acquired intangible assets included in selling and marketing expense for the respective periods.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general and administrative expense is determined by adding back to GAAP general and administrative expense the stock-based compensation expense, amortization of cloud computing implementation costs, severance expense, acquisition-related retained employee compensation, and transaction costs included in general and administrative expense for the respective periods.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operating income is determined by adding back to GAAP loss or income from operations the stock-based compensation expense, depreciation and amortization of capitalized software and acquired intangible assets, amortization of cloud computing implementation costs, severance expense, acquisition contingent consideration, changes in the fair value of acquisition contingent earn-outs, acquisition-related retained employee compensation, and transaction costs included in GAAP loss or income from operations for the respective periods.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net income is determined by adding back to GAAP net income or loss income tax benefit or expense, stock-based compensation expense, depreciation and amortization of capitalized software and acquired intangible assets, amortization of cloud computing implementation costs, severance expense, acquisition contingent consideration, changes in the fair value of acquisition contingent earn-outs, acquisition-related retained employee compensation, and transaction costs included in GAAP loss or income from operations for the respective periods, to determine non-GAAP income or loss before income taxes. Non-GAAP income or loss before income taxes is then adjusted for income taxes calculated using the respective statutory tax rates for applicable jurisdictions, which for purposes of this determination were assumed to be 25.5%.</w:t>
            </w:r>
          </w:p>
        </w:tc>
      </w:tr>
    </w:tbl>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encourage investors and others to review our financial information in its entirety, not to rely on any single financial measure and to view these non-GAAP financial measures in conjunction with the related GAAP financial measures.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firstLine="360"/>
        <w:jc w:val="both"/>
        <w:rPr/>
      </w:pPr>
      <w:r>
        <w:rPr/>
        <w:t>​</w:t>
      </w:r>
    </w:p>
    <w:p>
      <w:pPr>
        <w:pStyle w:val="TextBody"/>
        <w:bidi w:val="0"/>
        <w:spacing w:before="0" w:after="0"/>
        <w:ind w:left="0" w:right="0" w:firstLine="360"/>
        <w:jc w:val="left"/>
        <w:rPr>
          <w:rFonts w:ascii="Times New Roman;Times;serif" w:hAnsi="Times New Roman;Times;serif"/>
          <w:sz w:val="20"/>
          <w:shd w:fill="FFFFFF" w:val="clear"/>
        </w:rPr>
      </w:pPr>
      <w:r>
        <w:rPr>
          <w:rFonts w:ascii="Times New Roman;Times;serif" w:hAnsi="Times New Roman;Times;serif"/>
          <w:sz w:val="20"/>
          <w:shd w:fill="FFFFFF" w:val="clear"/>
        </w:rPr>
        <w:t>The following schedules reflect our additional non-GAAP financial measures and reconciles our additional non-GAAP financial measures to the related GAAP financial measures.</w:t>
      </w:r>
    </w:p>
    <w:p>
      <w:pPr>
        <w:pStyle w:val="TextBody"/>
        <w:bidi w:val="0"/>
        <w:spacing w:before="0" w:after="0"/>
        <w:ind w:left="0" w:right="0" w:firstLine="360"/>
        <w:jc w:val="left"/>
        <w:rPr/>
      </w:pPr>
      <w:r>
        <w:rPr/>
        <w:t>​</w:t>
      </w:r>
    </w:p>
    <w:p>
      <w:pPr>
        <w:pStyle w:val="TextBody"/>
        <w:bidi w:val="0"/>
        <w:spacing w:before="0" w:after="0"/>
        <w:ind w:left="0" w:right="0" w:hanging="0"/>
        <w:jc w:val="both"/>
        <w:rPr/>
      </w:pPr>
      <w:r>
        <w:rPr/>
        <w:t>​</w:t>
      </w:r>
    </w:p>
    <w:tbl>
      <w:tblPr>
        <w:tblW w:w="7193" w:type="dxa"/>
        <w:jc w:val="left"/>
        <w:tblInd w:w="0" w:type="dxa"/>
        <w:tblLayout w:type="fixed"/>
        <w:tblCellMar>
          <w:top w:w="0" w:type="dxa"/>
          <w:left w:w="0" w:type="dxa"/>
          <w:bottom w:w="0" w:type="dxa"/>
          <w:right w:w="0" w:type="dxa"/>
        </w:tblCellMar>
      </w:tblPr>
      <w:tblGrid>
        <w:gridCol w:w="4276"/>
        <w:gridCol w:w="346"/>
        <w:gridCol w:w="211"/>
        <w:gridCol w:w="781"/>
        <w:gridCol w:w="271"/>
        <w:gridCol w:w="211"/>
        <w:gridCol w:w="781"/>
        <w:gridCol w:w="316"/>
      </w:tblGrid>
      <w:tr>
        <w:trPr/>
        <w:tc>
          <w:tcPr>
            <w:tcW w:w="4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2715260" cy="175260"/>
                      <wp:effectExtent l="0" t="0" r="0" b="0"/>
                      <wp:wrapNone/>
                      <wp:docPr id="561" name="Frame561"/>
                      <a:graphic xmlns:a="http://schemas.openxmlformats.org/drawingml/2006/main">
                        <a:graphicData uri="http://schemas.microsoft.com/office/word/2010/wordprocessingShape">
                          <wps:wsp>
                            <wps:cNvSpPr txBox="1"/>
                            <wps:spPr>
                              <a:xfrm>
                                <a:off x="0" y="0"/>
                                <a:ext cx="271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219710" cy="175260"/>
                      <wp:effectExtent l="0" t="0" r="0" b="0"/>
                      <wp:wrapNone/>
                      <wp:docPr id="562" name="Frame5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133985" cy="175260"/>
                      <wp:effectExtent l="0" t="0" r="0" b="0"/>
                      <wp:wrapNone/>
                      <wp:docPr id="563" name="Frame5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495935" cy="175260"/>
                      <wp:effectExtent l="0" t="0" r="0" b="0"/>
                      <wp:wrapNone/>
                      <wp:docPr id="564" name="Frame56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172085" cy="175260"/>
                      <wp:effectExtent l="0" t="0" r="0" b="0"/>
                      <wp:wrapNone/>
                      <wp:docPr id="565" name="Frame565"/>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133985" cy="175260"/>
                      <wp:effectExtent l="0" t="0" r="0" b="0"/>
                      <wp:wrapNone/>
                      <wp:docPr id="566" name="Frame5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495935" cy="175260"/>
                      <wp:effectExtent l="0" t="0" r="0" b="0"/>
                      <wp:wrapNone/>
                      <wp:docPr id="567" name="Frame56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200660" cy="175260"/>
                      <wp:effectExtent l="0" t="0" r="0" b="0"/>
                      <wp:wrapNone/>
                      <wp:docPr id="568" name="Frame56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5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16" w:type="dxa"/>
            <w:tcBorders/>
            <w:vAlign w:val="center"/>
          </w:tcPr>
          <w:p>
            <w:pPr>
              <w:pStyle w:val="TableContents"/>
              <w:bidi w:val="0"/>
              <w:spacing w:before="0" w:after="0"/>
              <w:ind w:left="0" w:right="0" w:hanging="0"/>
              <w:jc w:val="center"/>
              <w:rPr/>
            </w:pPr>
            <w:r>
              <w:rPr/>
              <w:t>​</w:t>
            </w:r>
          </w:p>
        </w:tc>
      </w:tr>
      <w:tr>
        <w:trPr/>
        <w:tc>
          <w:tcPr>
            <w:tcW w:w="4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16" w:type="dxa"/>
            <w:tcBorders/>
            <w:vAlign w:val="center"/>
          </w:tcPr>
          <w:p>
            <w:pPr>
              <w:pStyle w:val="TableContents"/>
              <w:bidi w:val="0"/>
              <w:spacing w:before="0" w:after="0"/>
              <w:ind w:left="0" w:right="0" w:hanging="0"/>
              <w:jc w:val="center"/>
              <w:rPr/>
            </w:pPr>
            <w:r>
              <w:rPr/>
              <w:t>​</w:t>
            </w:r>
          </w:p>
        </w:tc>
      </w:tr>
      <w:tr>
        <w:trPr/>
        <w:tc>
          <w:tcPr>
            <w:tcW w:w="4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71"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16" w:type="dxa"/>
            <w:tcBorders/>
            <w:vAlign w:val="center"/>
          </w:tcPr>
          <w:p>
            <w:pPr>
              <w:pStyle w:val="TableContents"/>
              <w:bidi w:val="0"/>
              <w:spacing w:before="0" w:after="0"/>
              <w:ind w:left="0" w:right="0" w:hanging="0"/>
              <w:jc w:val="center"/>
              <w:rPr/>
            </w:pPr>
            <w:r>
              <w:rPr/>
              <w:t>​</w:t>
            </w:r>
          </w:p>
        </w:tc>
      </w:tr>
      <w:tr>
        <w:trPr/>
        <w:tc>
          <w:tcPr>
            <w:tcW w:w="7193"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46" w:type="dxa"/>
            <w:tcBorders/>
            <w:vAlign w:val="center"/>
          </w:tcPr>
          <w:p>
            <w:pPr>
              <w:pStyle w:val="TableContents"/>
              <w:bidi w:val="0"/>
              <w:spacing w:before="0" w:after="0"/>
              <w:ind w:left="0" w:right="0" w:hanging="0"/>
              <w:jc w:val="left"/>
              <w:rPr/>
            </w:pPr>
            <w:r>
              <w:rPr/>
              <w:t>​</w:t>
            </w:r>
          </w:p>
        </w:tc>
        <w:tc>
          <w:tcPr>
            <w:tcW w:w="225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16" w:type="dxa"/>
            <w:tcBorders/>
            <w:vAlign w:val="center"/>
          </w:tcPr>
          <w:p>
            <w:pPr>
              <w:pStyle w:val="TableContents"/>
              <w:bidi w:val="0"/>
              <w:spacing w:before="0" w:after="0"/>
              <w:ind w:left="0" w:right="0" w:hanging="0"/>
              <w:jc w:val="center"/>
              <w:rPr/>
            </w:pPr>
            <w:r>
              <w:rPr/>
              <w:t>​</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cost of revenues, software subscriptions</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29,345</w:t>
            </w:r>
          </w:p>
        </w:tc>
        <w:tc>
          <w:tcPr>
            <w:tcW w:w="27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26,163</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cost of revenues, services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18,930</w:t>
            </w:r>
          </w:p>
        </w:tc>
        <w:tc>
          <w:tcPr>
            <w:tcW w:w="27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18,127</w:t>
            </w:r>
          </w:p>
        </w:tc>
        <w:tc>
          <w:tcPr>
            <w:tcW w:w="316" w:type="dxa"/>
            <w:tcBorders/>
            <w:vAlign w:val="center"/>
          </w:tcPr>
          <w:p>
            <w:pPr>
              <w:pStyle w:val="TableContents"/>
              <w:bidi w:val="0"/>
              <w:spacing w:before="0" w:after="0"/>
              <w:ind w:left="0" w:right="0" w:hanging="0"/>
              <w:jc w:val="right"/>
              <w:rPr/>
            </w:pPr>
            <w:r>
              <w:rPr/>
              <w:t>​</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148,371</w:t>
            </w:r>
          </w:p>
        </w:tc>
        <w:tc>
          <w:tcPr>
            <w:tcW w:w="27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132,772</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gross margin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research and development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20,684</w:t>
            </w:r>
          </w:p>
        </w:tc>
        <w:tc>
          <w:tcPr>
            <w:tcW w:w="27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16,534</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selling and marketing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46,767</w:t>
            </w:r>
          </w:p>
        </w:tc>
        <w:tc>
          <w:tcPr>
            <w:tcW w:w="27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41,818</w:t>
            </w:r>
          </w:p>
        </w:tc>
        <w:tc>
          <w:tcPr>
            <w:tcW w:w="316" w:type="dxa"/>
            <w:tcBorders/>
            <w:vAlign w:val="center"/>
          </w:tcPr>
          <w:p>
            <w:pPr>
              <w:pStyle w:val="TableContents"/>
              <w:bidi w:val="0"/>
              <w:spacing w:before="0" w:after="0"/>
              <w:ind w:left="0" w:right="0" w:hanging="0"/>
              <w:jc w:val="right"/>
              <w:rPr/>
            </w:pPr>
            <w:r>
              <w:rPr/>
              <w:t>​</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general and administrative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37,044</w:t>
            </w:r>
          </w:p>
        </w:tc>
        <w:tc>
          <w:tcPr>
            <w:tcW w:w="27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36,602</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operating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37,621</w:t>
            </w:r>
          </w:p>
        </w:tc>
        <w:tc>
          <w:tcPr>
            <w:tcW w:w="27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31,339</w:t>
            </w:r>
          </w:p>
        </w:tc>
        <w:tc>
          <w:tcPr>
            <w:tcW w:w="316" w:type="dxa"/>
            <w:tcBorders/>
            <w:vAlign w:val="center"/>
          </w:tcPr>
          <w:p>
            <w:pPr>
              <w:pStyle w:val="TableContents"/>
              <w:bidi w:val="0"/>
              <w:spacing w:before="0" w:after="0"/>
              <w:ind w:left="0" w:right="0" w:hanging="0"/>
              <w:jc w:val="right"/>
              <w:rPr/>
            </w:pPr>
            <w:r>
              <w:rPr/>
              <w:t>​</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28,741</w:t>
            </w:r>
          </w:p>
        </w:tc>
        <w:tc>
          <w:tcPr>
            <w:tcW w:w="27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24,494</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4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635"/>
        <w:gridCol w:w="109"/>
        <w:gridCol w:w="196"/>
        <w:gridCol w:w="718"/>
        <w:gridCol w:w="346"/>
        <w:gridCol w:w="196"/>
        <w:gridCol w:w="718"/>
        <w:gridCol w:w="287"/>
      </w:tblGrid>
      <w:tr>
        <w:trPr/>
        <w:tc>
          <w:tcPr>
            <w:tcW w:w="76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4848225" cy="175260"/>
                      <wp:effectExtent l="0" t="0" r="0" b="0"/>
                      <wp:wrapNone/>
                      <wp:docPr id="569" name="Frame569"/>
                      <a:graphic xmlns:a="http://schemas.openxmlformats.org/drawingml/2006/main">
                        <a:graphicData uri="http://schemas.microsoft.com/office/word/2010/wordprocessingShape">
                          <wps:wsp>
                            <wps:cNvSpPr txBox="1"/>
                            <wps:spPr>
                              <a:xfrm>
                                <a:off x="0" y="0"/>
                                <a:ext cx="4848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69215" cy="175260"/>
                      <wp:effectExtent l="0" t="0" r="0" b="0"/>
                      <wp:wrapNone/>
                      <wp:docPr id="570" name="Frame5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124460" cy="175260"/>
                      <wp:effectExtent l="0" t="0" r="0" b="0"/>
                      <wp:wrapNone/>
                      <wp:docPr id="571" name="Frame57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455930" cy="175260"/>
                      <wp:effectExtent l="0" t="0" r="0" b="0"/>
                      <wp:wrapNone/>
                      <wp:docPr id="572" name="Frame572"/>
                      <a:graphic xmlns:a="http://schemas.openxmlformats.org/drawingml/2006/main">
                        <a:graphicData uri="http://schemas.microsoft.com/office/word/2010/wordprocessingShape">
                          <wps:wsp>
                            <wps:cNvSpPr txBox="1"/>
                            <wps:spPr>
                              <a:xfrm>
                                <a:off x="0" y="0"/>
                                <a:ext cx="455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219710" cy="175260"/>
                      <wp:effectExtent l="0" t="0" r="0" b="0"/>
                      <wp:wrapNone/>
                      <wp:docPr id="573" name="Frame5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124460" cy="175260"/>
                      <wp:effectExtent l="0" t="0" r="0" b="0"/>
                      <wp:wrapNone/>
                      <wp:docPr id="574" name="Frame57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455930" cy="175260"/>
                      <wp:effectExtent l="0" t="0" r="0" b="0"/>
                      <wp:wrapNone/>
                      <wp:docPr id="575" name="Frame575"/>
                      <a:graphic xmlns:a="http://schemas.openxmlformats.org/drawingml/2006/main">
                        <a:graphicData uri="http://schemas.microsoft.com/office/word/2010/wordprocessingShape">
                          <wps:wsp>
                            <wps:cNvSpPr txBox="1"/>
                            <wps:spPr>
                              <a:xfrm>
                                <a:off x="0" y="0"/>
                                <a:ext cx="455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182245" cy="175260"/>
                      <wp:effectExtent l="0" t="0" r="0" b="0"/>
                      <wp:wrapNone/>
                      <wp:docPr id="576" name="Frame576"/>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63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7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w:t>
            </w:r>
          </w:p>
        </w:tc>
        <w:tc>
          <w:tcPr>
            <w:tcW w:w="287" w:type="dxa"/>
            <w:tcBorders/>
            <w:vAlign w:val="center"/>
          </w:tcPr>
          <w:p>
            <w:pPr>
              <w:pStyle w:val="TableContents"/>
              <w:bidi w:val="0"/>
              <w:spacing w:before="0" w:after="0"/>
              <w:ind w:left="0" w:right="0" w:hanging="0"/>
              <w:jc w:val="center"/>
              <w:rPr/>
            </w:pPr>
            <w:r>
              <w:rPr/>
              <w:t> </w:t>
            </w:r>
          </w:p>
        </w:tc>
      </w:tr>
      <w:tr>
        <w:trPr/>
        <w:tc>
          <w:tcPr>
            <w:tcW w:w="763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7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287" w:type="dxa"/>
            <w:tcBorders/>
            <w:vAlign w:val="center"/>
          </w:tcPr>
          <w:p>
            <w:pPr>
              <w:pStyle w:val="TableContents"/>
              <w:bidi w:val="0"/>
              <w:spacing w:before="0" w:after="0"/>
              <w:ind w:left="0" w:right="0" w:hanging="0"/>
              <w:jc w:val="center"/>
              <w:rPr/>
            </w:pPr>
            <w:r>
              <w:rPr/>
              <w:t> </w:t>
            </w:r>
          </w:p>
        </w:tc>
      </w:tr>
      <w:tr>
        <w:trPr/>
        <w:tc>
          <w:tcPr>
            <w:tcW w:w="763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9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87" w:type="dxa"/>
            <w:tcBorders/>
            <w:vAlign w:val="center"/>
          </w:tcPr>
          <w:p>
            <w:pPr>
              <w:pStyle w:val="TableContents"/>
              <w:bidi w:val="0"/>
              <w:spacing w:before="0" w:after="0"/>
              <w:ind w:left="0" w:right="0" w:hanging="0"/>
              <w:jc w:val="center"/>
              <w:rPr/>
            </w:pPr>
            <w:r>
              <w:rPr/>
              <w:t> </w:t>
            </w:r>
          </w:p>
        </w:tc>
      </w:tr>
      <w:tr>
        <w:trPr/>
        <w:tc>
          <w:tcPr>
            <w:tcW w:w="10205"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7635"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109" w:type="dxa"/>
            <w:tcBorders/>
            <w:vAlign w:val="center"/>
          </w:tcPr>
          <w:p>
            <w:pPr>
              <w:pStyle w:val="TableContents"/>
              <w:bidi w:val="0"/>
              <w:spacing w:before="0" w:after="0"/>
              <w:ind w:left="0" w:right="0" w:hanging="0"/>
              <w:jc w:val="left"/>
              <w:rPr/>
            </w:pPr>
            <w:r>
              <w:rPr/>
              <w:t>​</w:t>
            </w:r>
          </w:p>
        </w:tc>
        <w:tc>
          <w:tcPr>
            <w:tcW w:w="217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287" w:type="dxa"/>
            <w:tcBorders/>
            <w:vAlign w:val="center"/>
          </w:tcPr>
          <w:p>
            <w:pPr>
              <w:pStyle w:val="TableContents"/>
              <w:bidi w:val="0"/>
              <w:spacing w:before="0" w:after="0"/>
              <w:ind w:left="0" w:right="0" w:hanging="0"/>
              <w:jc w:val="center"/>
              <w:rPr/>
            </w:pPr>
            <w:r>
              <w:rPr/>
              <w:t>​</w:t>
            </w:r>
          </w:p>
        </w:tc>
      </w:tr>
      <w:tr>
        <w:trPr/>
        <w:tc>
          <w:tcPr>
            <w:tcW w:w="7635"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Non-GAAP Cost of Revenues, Software Subscriptions: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18"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196" w:type="dxa"/>
            <w:tcBorders/>
            <w:shd w:fill="CCEEFF" w:val="clear"/>
            <w:vAlign w:val="center"/>
          </w:tcPr>
          <w:p>
            <w:pPr>
              <w:pStyle w:val="TableContents"/>
              <w:bidi w:val="0"/>
              <w:spacing w:before="0" w:after="0"/>
              <w:ind w:left="0" w:right="0" w:hanging="0"/>
              <w:jc w:val="left"/>
              <w:rPr/>
            </w:pPr>
            <w:r>
              <w:rPr/>
              <w:t>​</w:t>
            </w:r>
          </w:p>
        </w:tc>
        <w:tc>
          <w:tcPr>
            <w:tcW w:w="718" w:type="dxa"/>
            <w:tcBorders/>
            <w:shd w:fill="CCEEFF" w:val="clear"/>
            <w:vAlign w:val="center"/>
          </w:tcPr>
          <w:p>
            <w:pPr>
              <w:pStyle w:val="TableContents"/>
              <w:bidi w:val="0"/>
              <w:spacing w:before="0" w:after="0"/>
              <w:ind w:left="0" w:right="0" w:hanging="0"/>
              <w:jc w:val="right"/>
              <w:rPr/>
            </w:pPr>
            <w:r>
              <w:rPr/>
              <w:t>  ​</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7635"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Cost of revenues, software subscriptions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51,176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44,245</w:t>
            </w:r>
          </w:p>
        </w:tc>
        <w:tc>
          <w:tcPr>
            <w:tcW w:w="287" w:type="dxa"/>
            <w:tcBorders/>
            <w:vAlign w:val="center"/>
          </w:tcPr>
          <w:p>
            <w:pPr>
              <w:pStyle w:val="TableContents"/>
              <w:bidi w:val="0"/>
              <w:spacing w:before="0" w:after="0"/>
              <w:ind w:left="0" w:right="0" w:hanging="0"/>
              <w:jc w:val="left"/>
              <w:rPr/>
            </w:pPr>
            <w:r>
              <w:rPr/>
              <w:t>​</w:t>
            </w:r>
          </w:p>
        </w:tc>
      </w:tr>
      <w:tr>
        <w:trPr/>
        <w:tc>
          <w:tcPr>
            <w:tcW w:w="763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(1,745)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(2,227)</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763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 of capitalized software and acquired intangible assets – cost of subscription revenues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(20,086)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(15,855)</w:t>
            </w:r>
          </w:p>
        </w:tc>
        <w:tc>
          <w:tcPr>
            <w:tcW w:w="287" w:type="dxa"/>
            <w:tcBorders/>
            <w:vAlign w:val="center"/>
          </w:tcPr>
          <w:p>
            <w:pPr>
              <w:pStyle w:val="TableContents"/>
              <w:bidi w:val="0"/>
              <w:spacing w:before="0" w:after="0"/>
              <w:ind w:left="0" w:right="0" w:hanging="0"/>
              <w:jc w:val="left"/>
              <w:rPr/>
            </w:pPr>
            <w:r>
              <w:rPr/>
              <w:t>​</w:t>
            </w:r>
          </w:p>
        </w:tc>
      </w:tr>
      <w:tr>
        <w:trPr/>
        <w:tc>
          <w:tcPr>
            <w:tcW w:w="7635"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Non-GAAP cost of revenues, software subscriptions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29,345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26,163</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763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1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18" w:type="dxa"/>
            <w:tcBorders/>
            <w:vAlign w:val="center"/>
          </w:tcPr>
          <w:p>
            <w:pPr>
              <w:pStyle w:val="TableContents"/>
              <w:bidi w:val="0"/>
              <w:spacing w:before="0" w:after="0"/>
              <w:ind w:left="0" w:right="0" w:hanging="0"/>
              <w:jc w:val="right"/>
              <w:rPr/>
            </w:pPr>
            <w:r>
              <w:rPr/>
              <w:t>​</w:t>
            </w:r>
          </w:p>
        </w:tc>
        <w:tc>
          <w:tcPr>
            <w:tcW w:w="287" w:type="dxa"/>
            <w:tcBorders/>
            <w:vAlign w:val="center"/>
          </w:tcPr>
          <w:p>
            <w:pPr>
              <w:pStyle w:val="TableContents"/>
              <w:bidi w:val="0"/>
              <w:spacing w:before="0" w:after="0"/>
              <w:ind w:left="0" w:right="0" w:hanging="0"/>
              <w:jc w:val="left"/>
              <w:rPr/>
            </w:pPr>
            <w:r>
              <w:rPr/>
              <w:t>​</w:t>
            </w:r>
          </w:p>
        </w:tc>
      </w:tr>
      <w:tr>
        <w:trPr/>
        <w:tc>
          <w:tcPr>
            <w:tcW w:w="7635"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Non-GAAP Cost of Revenues, Services: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1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18"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7635"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Cost of revenues, services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20,601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19,823</w:t>
            </w:r>
          </w:p>
        </w:tc>
        <w:tc>
          <w:tcPr>
            <w:tcW w:w="287" w:type="dxa"/>
            <w:tcBorders/>
            <w:vAlign w:val="center"/>
          </w:tcPr>
          <w:p>
            <w:pPr>
              <w:pStyle w:val="TableContents"/>
              <w:bidi w:val="0"/>
              <w:spacing w:before="0" w:after="0"/>
              <w:ind w:left="0" w:right="0" w:hanging="0"/>
              <w:jc w:val="left"/>
              <w:rPr/>
            </w:pPr>
            <w:r>
              <w:rPr/>
              <w:t>​</w:t>
            </w:r>
          </w:p>
        </w:tc>
      </w:tr>
      <w:tr>
        <w:trPr/>
        <w:tc>
          <w:tcPr>
            <w:tcW w:w="763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(1,671)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(1,696)</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7635"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Non-GAAP cost of revenues, services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18,930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18,127</w:t>
            </w:r>
          </w:p>
        </w:tc>
        <w:tc>
          <w:tcPr>
            <w:tcW w:w="287" w:type="dxa"/>
            <w:tcBorders/>
            <w:vAlign w:val="center"/>
          </w:tcPr>
          <w:p>
            <w:pPr>
              <w:pStyle w:val="TableContents"/>
              <w:bidi w:val="0"/>
              <w:spacing w:before="0" w:after="0"/>
              <w:ind w:left="0" w:right="0" w:hanging="0"/>
              <w:jc w:val="left"/>
              <w:rPr/>
            </w:pPr>
            <w:r>
              <w:rPr/>
              <w:t>​</w:t>
            </w:r>
          </w:p>
        </w:tc>
      </w:tr>
      <w:tr>
        <w:trPr/>
        <w:tc>
          <w:tcPr>
            <w:tcW w:w="763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1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18"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7635"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Non-GAAP Gross Profit: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pPr>
            <w:r>
              <w:rPr/>
              <w:t>​</w:t>
            </w:r>
          </w:p>
        </w:tc>
        <w:tc>
          <w:tcPr>
            <w:tcW w:w="287" w:type="dxa"/>
            <w:tcBorders/>
            <w:vAlign w:val="center"/>
          </w:tcPr>
          <w:p>
            <w:pPr>
              <w:pStyle w:val="TableContents"/>
              <w:bidi w:val="0"/>
              <w:spacing w:before="0" w:after="0"/>
              <w:ind w:left="0" w:right="0" w:hanging="0"/>
              <w:jc w:val="left"/>
              <w:rPr/>
            </w:pPr>
            <w:r>
              <w:rPr/>
              <w:t>​</w:t>
            </w:r>
          </w:p>
        </w:tc>
      </w:tr>
      <w:tr>
        <w:trPr/>
        <w:tc>
          <w:tcPr>
            <w:tcW w:w="7635"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Gross profit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124,869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112,994</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763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3,416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3,923</w:t>
            </w:r>
          </w:p>
        </w:tc>
        <w:tc>
          <w:tcPr>
            <w:tcW w:w="287" w:type="dxa"/>
            <w:tcBorders/>
            <w:vAlign w:val="center"/>
          </w:tcPr>
          <w:p>
            <w:pPr>
              <w:pStyle w:val="TableContents"/>
              <w:bidi w:val="0"/>
              <w:spacing w:before="0" w:after="0"/>
              <w:ind w:left="0" w:right="0" w:hanging="0"/>
              <w:jc w:val="left"/>
              <w:rPr/>
            </w:pPr>
            <w:r>
              <w:rPr/>
              <w:t>​</w:t>
            </w:r>
          </w:p>
        </w:tc>
      </w:tr>
      <w:tr>
        <w:trPr/>
        <w:tc>
          <w:tcPr>
            <w:tcW w:w="763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 of capitalized software and acquired intangible assets – cost of subscription revenues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20,086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15,855</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7635"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Non-GAAP gross profit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148,371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132,772</w:t>
            </w:r>
          </w:p>
        </w:tc>
        <w:tc>
          <w:tcPr>
            <w:tcW w:w="287" w:type="dxa"/>
            <w:tcBorders/>
            <w:vAlign w:val="center"/>
          </w:tcPr>
          <w:p>
            <w:pPr>
              <w:pStyle w:val="TableContents"/>
              <w:bidi w:val="0"/>
              <w:spacing w:before="0" w:after="0"/>
              <w:ind w:left="0" w:right="0" w:hanging="0"/>
              <w:jc w:val="left"/>
              <w:rPr/>
            </w:pPr>
            <w:r>
              <w:rPr/>
              <w:t>​</w:t>
            </w:r>
          </w:p>
        </w:tc>
      </w:tr>
      <w:tr>
        <w:trPr/>
        <w:tc>
          <w:tcPr>
            <w:tcW w:w="763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1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18"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7635"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Non-GAAP Gross Margin:</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pPr>
            <w:r>
              <w:rPr/>
              <w:t>​</w:t>
            </w:r>
          </w:p>
        </w:tc>
        <w:tc>
          <w:tcPr>
            <w:tcW w:w="287" w:type="dxa"/>
            <w:tcBorders/>
            <w:vAlign w:val="center"/>
          </w:tcPr>
          <w:p>
            <w:pPr>
              <w:pStyle w:val="TableContents"/>
              <w:bidi w:val="0"/>
              <w:spacing w:before="0" w:after="0"/>
              <w:ind w:left="0" w:right="0" w:hanging="0"/>
              <w:jc w:val="left"/>
              <w:rPr/>
            </w:pPr>
            <w:r>
              <w:rPr/>
              <w:t>​</w:t>
            </w:r>
          </w:p>
        </w:tc>
      </w:tr>
      <w:tr>
        <w:trPr/>
        <w:tc>
          <w:tcPr>
            <w:tcW w:w="763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revenues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196,646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177,062</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7635"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Non-GAAP gross margin</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75.5</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75.0</w:t>
            </w:r>
          </w:p>
        </w:tc>
        <w:tc>
          <w:tcPr>
            <w:tcW w:w="28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763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1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18" w:type="dxa"/>
            <w:tcBorders/>
            <w:vAlign w:val="center"/>
          </w:tcPr>
          <w:p>
            <w:pPr>
              <w:pStyle w:val="TableContents"/>
              <w:bidi w:val="0"/>
              <w:spacing w:before="0" w:after="0"/>
              <w:ind w:left="0" w:right="0" w:hanging="0"/>
              <w:jc w:val="right"/>
              <w:rPr/>
            </w:pPr>
            <w:r>
              <w:rPr/>
              <w:t>​</w:t>
            </w:r>
          </w:p>
        </w:tc>
        <w:tc>
          <w:tcPr>
            <w:tcW w:w="287" w:type="dxa"/>
            <w:tcBorders/>
            <w:vAlign w:val="center"/>
          </w:tcPr>
          <w:p>
            <w:pPr>
              <w:pStyle w:val="TableContents"/>
              <w:bidi w:val="0"/>
              <w:spacing w:before="0" w:after="0"/>
              <w:ind w:left="0" w:right="0" w:hanging="0"/>
              <w:jc w:val="left"/>
              <w:rPr/>
            </w:pPr>
            <w:r>
              <w:rPr/>
              <w:t>​</w:t>
            </w:r>
          </w:p>
        </w:tc>
      </w:tr>
      <w:tr>
        <w:trPr/>
        <w:tc>
          <w:tcPr>
            <w:tcW w:w="7635"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Non-GAAP Research and Development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1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18" w:type="dxa"/>
            <w:tcBorders/>
            <w:shd w:fill="CCEEFF" w:val="clear"/>
            <w:vAlign w:val="center"/>
          </w:tcPr>
          <w:p>
            <w:pPr>
              <w:pStyle w:val="TableContents"/>
              <w:bidi w:val="0"/>
              <w:spacing w:before="0" w:after="0"/>
              <w:ind w:left="0" w:right="0" w:hanging="0"/>
              <w:jc w:val="right"/>
              <w:rPr/>
            </w:pPr>
            <w:r>
              <w:rPr/>
              <w:t>​</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7635"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Research and development expense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24,550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20,886</w:t>
            </w:r>
          </w:p>
        </w:tc>
        <w:tc>
          <w:tcPr>
            <w:tcW w:w="287" w:type="dxa"/>
            <w:tcBorders/>
            <w:vAlign w:val="center"/>
          </w:tcPr>
          <w:p>
            <w:pPr>
              <w:pStyle w:val="TableContents"/>
              <w:bidi w:val="0"/>
              <w:spacing w:before="0" w:after="0"/>
              <w:ind w:left="0" w:right="0" w:hanging="0"/>
              <w:jc w:val="left"/>
              <w:rPr/>
            </w:pPr>
            <w:r>
              <w:rPr/>
              <w:t>​</w:t>
            </w:r>
          </w:p>
        </w:tc>
      </w:tr>
      <w:tr>
        <w:trPr/>
        <w:tc>
          <w:tcPr>
            <w:tcW w:w="763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(3,866)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(4,352)</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7635"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Non-GAAP research and development expense</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20,684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16,534</w:t>
            </w:r>
          </w:p>
        </w:tc>
        <w:tc>
          <w:tcPr>
            <w:tcW w:w="287" w:type="dxa"/>
            <w:tcBorders/>
            <w:vAlign w:val="center"/>
          </w:tcPr>
          <w:p>
            <w:pPr>
              <w:pStyle w:val="TableContents"/>
              <w:bidi w:val="0"/>
              <w:spacing w:before="0" w:after="0"/>
              <w:ind w:left="0" w:right="0" w:hanging="0"/>
              <w:jc w:val="left"/>
              <w:rPr/>
            </w:pPr>
            <w:r>
              <w:rPr/>
              <w:t>​</w:t>
            </w:r>
          </w:p>
        </w:tc>
      </w:tr>
      <w:tr>
        <w:trPr/>
        <w:tc>
          <w:tcPr>
            <w:tcW w:w="763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1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18" w:type="dxa"/>
            <w:tcBorders/>
            <w:vAlign w:val="center"/>
          </w:tcPr>
          <w:p>
            <w:pPr>
              <w:pStyle w:val="TableContents"/>
              <w:bidi w:val="0"/>
              <w:spacing w:before="0" w:after="0"/>
              <w:ind w:left="0" w:right="0" w:hanging="0"/>
              <w:jc w:val="right"/>
              <w:rPr/>
            </w:pPr>
            <w:r>
              <w:rPr/>
              <w:t>​</w:t>
            </w:r>
          </w:p>
        </w:tc>
        <w:tc>
          <w:tcPr>
            <w:tcW w:w="287" w:type="dxa"/>
            <w:tcBorders/>
            <w:vAlign w:val="center"/>
          </w:tcPr>
          <w:p>
            <w:pPr>
              <w:pStyle w:val="TableContents"/>
              <w:bidi w:val="0"/>
              <w:spacing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890"/>
        <w:gridCol w:w="165"/>
        <w:gridCol w:w="308"/>
        <w:gridCol w:w="1086"/>
        <w:gridCol w:w="171"/>
        <w:gridCol w:w="308"/>
        <w:gridCol w:w="1086"/>
        <w:gridCol w:w="191"/>
      </w:tblGrid>
      <w:tr>
        <w:trPr/>
        <w:tc>
          <w:tcPr>
            <w:tcW w:w="6890" w:type="dxa"/>
            <w:tcBorders/>
            <w:vAlign w:val="center"/>
          </w:tcPr>
          <w:p>
            <w:pPr>
              <w:pStyle w:val="TableContents"/>
              <w:bidi w:val="0"/>
              <w:spacing w:before="0" w:after="0"/>
              <w:ind w:left="0" w:right="0" w:hanging="0"/>
              <w:jc w:val="left"/>
              <w:rPr/>
            </w:pPr>
            <w:r>
              <w:rPr/>
              <w:t>​</w:t>
            </w:r>
          </w:p>
        </w:tc>
        <w:tc>
          <w:tcPr>
            <w:tcW w:w="165" w:type="dxa"/>
            <w:tcBorders/>
            <w:vAlign w:val="center"/>
          </w:tcPr>
          <w:p>
            <w:pPr>
              <w:pStyle w:val="TableContents"/>
              <w:bidi w:val="0"/>
              <w:spacing w:before="0" w:after="0"/>
              <w:ind w:left="0" w:right="0" w:hanging="0"/>
              <w:jc w:val="left"/>
              <w:rPr/>
            </w:pPr>
            <w:r>
              <w:rPr/>
              <w:t>​</w:t>
            </w:r>
          </w:p>
        </w:tc>
        <w:tc>
          <w:tcPr>
            <w:tcW w:w="295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w:t>
            </w:r>
          </w:p>
        </w:tc>
        <w:tc>
          <w:tcPr>
            <w:tcW w:w="191" w:type="dxa"/>
            <w:tcBorders/>
            <w:vAlign w:val="center"/>
          </w:tcPr>
          <w:p>
            <w:pPr>
              <w:pStyle w:val="TableContents"/>
              <w:bidi w:val="0"/>
              <w:spacing w:before="0" w:after="0"/>
              <w:ind w:left="0" w:right="0" w:hanging="0"/>
              <w:jc w:val="left"/>
              <w:rPr/>
            </w:pPr>
            <w:r>
              <w:rPr/>
              <w:t>​</w:t>
            </w:r>
          </w:p>
        </w:tc>
      </w:tr>
      <w:tr>
        <w:trPr/>
        <w:tc>
          <w:tcPr>
            <w:tcW w:w="6890" w:type="dxa"/>
            <w:tcBorders/>
            <w:vAlign w:val="center"/>
          </w:tcPr>
          <w:p>
            <w:pPr>
              <w:pStyle w:val="TableContents"/>
              <w:bidi w:val="0"/>
              <w:spacing w:before="0" w:after="0"/>
              <w:ind w:left="0" w:right="0" w:hanging="0"/>
              <w:jc w:val="left"/>
              <w:rPr/>
            </w:pPr>
            <w:r>
              <w:rPr/>
              <w:t>​</w:t>
            </w:r>
          </w:p>
        </w:tc>
        <w:tc>
          <w:tcPr>
            <w:tcW w:w="165" w:type="dxa"/>
            <w:tcBorders/>
            <w:vAlign w:val="center"/>
          </w:tcPr>
          <w:p>
            <w:pPr>
              <w:pStyle w:val="TableContents"/>
              <w:bidi w:val="0"/>
              <w:spacing w:before="0" w:after="0"/>
              <w:ind w:left="0" w:right="0" w:hanging="0"/>
              <w:jc w:val="left"/>
              <w:rPr/>
            </w:pPr>
            <w:r>
              <w:rPr/>
              <w:t>​</w:t>
            </w:r>
          </w:p>
        </w:tc>
        <w:tc>
          <w:tcPr>
            <w:tcW w:w="295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191" w:type="dxa"/>
            <w:tcBorders/>
            <w:vAlign w:val="center"/>
          </w:tcPr>
          <w:p>
            <w:pPr>
              <w:pStyle w:val="TableContents"/>
              <w:bidi w:val="0"/>
              <w:spacing w:before="0" w:after="0"/>
              <w:ind w:left="0" w:right="0" w:hanging="0"/>
              <w:jc w:val="left"/>
              <w:rPr/>
            </w:pPr>
            <w:r>
              <w:rPr/>
              <w:t>​</w:t>
            </w:r>
          </w:p>
        </w:tc>
      </w:tr>
      <w:tr>
        <w:trPr/>
        <w:tc>
          <w:tcPr>
            <w:tcW w:w="6890"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165" w:type="dxa"/>
            <w:tcBorders/>
            <w:vAlign w:val="center"/>
          </w:tcPr>
          <w:p>
            <w:pPr>
              <w:pStyle w:val="TableContents"/>
              <w:bidi w:val="0"/>
              <w:spacing w:before="0" w:after="0"/>
              <w:ind w:left="0" w:right="0" w:hanging="0"/>
              <w:jc w:val="left"/>
              <w:rPr/>
            </w:pPr>
            <w:r>
              <w:rPr/>
              <w:t>​</w:t>
            </w:r>
          </w:p>
        </w:tc>
        <w:tc>
          <w:tcPr>
            <w:tcW w:w="13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71" w:type="dxa"/>
            <w:tcBorders/>
            <w:vAlign w:val="center"/>
          </w:tcPr>
          <w:p>
            <w:pPr>
              <w:pStyle w:val="TableContents"/>
              <w:bidi w:val="0"/>
              <w:spacing w:before="0" w:after="0"/>
              <w:ind w:left="0" w:right="0" w:hanging="0"/>
              <w:jc w:val="left"/>
              <w:rPr/>
            </w:pPr>
            <w:r>
              <w:rPr/>
              <w:t>​</w:t>
            </w:r>
          </w:p>
        </w:tc>
        <w:tc>
          <w:tcPr>
            <w:tcW w:w="13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91" w:type="dxa"/>
            <w:tcBorders/>
            <w:vAlign w:val="center"/>
          </w:tcPr>
          <w:p>
            <w:pPr>
              <w:pStyle w:val="TableContents"/>
              <w:bidi w:val="0"/>
              <w:spacing w:before="0" w:after="0"/>
              <w:ind w:left="0" w:right="0" w:hanging="0"/>
              <w:jc w:val="left"/>
              <w:rPr/>
            </w:pPr>
            <w:r>
              <w:rPr/>
              <w:t>​</w:t>
            </w:r>
          </w:p>
        </w:tc>
      </w:tr>
      <w:tr>
        <w:trPr/>
        <w:tc>
          <w:tcPr>
            <w:tcW w:w="10205"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6890" w:type="dxa"/>
            <w:tcBorders/>
            <w:vAlign w:val="center"/>
          </w:tcPr>
          <w:p>
            <w:pPr>
              <w:pStyle w:val="TableContents"/>
              <w:bidi w:val="0"/>
              <w:spacing w:before="0" w:after="0"/>
              <w:ind w:left="0" w:right="0" w:hanging="0"/>
              <w:jc w:val="left"/>
              <w:rPr/>
            </w:pPr>
            <w:r>
              <w:rPr/>
              <w:t>​</w:t>
            </w:r>
          </w:p>
        </w:tc>
        <w:tc>
          <w:tcPr>
            <w:tcW w:w="165" w:type="dxa"/>
            <w:tcBorders/>
            <w:vAlign w:val="center"/>
          </w:tcPr>
          <w:p>
            <w:pPr>
              <w:pStyle w:val="TableContents"/>
              <w:bidi w:val="0"/>
              <w:spacing w:before="0" w:after="0"/>
              <w:ind w:left="0" w:right="0" w:hanging="0"/>
              <w:jc w:val="left"/>
              <w:rPr/>
            </w:pPr>
            <w:r>
              <w:rPr/>
              <w:t>​</w:t>
            </w:r>
          </w:p>
        </w:tc>
        <w:tc>
          <w:tcPr>
            <w:tcW w:w="295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91" w:type="dxa"/>
            <w:tcBorders/>
            <w:vAlign w:val="center"/>
          </w:tcPr>
          <w:p>
            <w:pPr>
              <w:pStyle w:val="TableContents"/>
              <w:bidi w:val="0"/>
              <w:spacing w:before="0" w:after="0"/>
              <w:ind w:left="0" w:right="0" w:hanging="0"/>
              <w:jc w:val="left"/>
              <w:rPr/>
            </w:pPr>
            <w:r>
              <w:rPr/>
              <w:t>​</w:t>
            </w:r>
          </w:p>
        </w:tc>
      </w:tr>
      <w:tr>
        <w:trPr/>
        <w:tc>
          <w:tcPr>
            <w:tcW w:w="6890" w:type="dxa"/>
            <w:tcBorders/>
            <w:vAlign w:val="center"/>
          </w:tcPr>
          <w:p>
            <w:pPr>
              <w:pStyle w:val="TableContents"/>
              <w:bidi w:val="0"/>
              <w:spacing w:before="0" w:after="0"/>
              <w:ind w:left="0" w:right="0" w:hanging="0"/>
              <w:jc w:val="left"/>
              <w:rPr/>
            </w:pPr>
            <w:r>
              <w:rPr/>
              <w:t>​</w:t>
            </w:r>
          </w:p>
        </w:tc>
        <w:tc>
          <w:tcPr>
            <w:tcW w:w="165"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1086" w:type="dxa"/>
            <w:tcBorders/>
            <w:vAlign w:val="center"/>
          </w:tcPr>
          <w:p>
            <w:pPr>
              <w:pStyle w:val="TableContents"/>
              <w:bidi w:val="0"/>
              <w:spacing w:before="0" w:after="0"/>
              <w:ind w:left="0" w:right="0" w:hanging="0"/>
              <w:jc w:val="right"/>
              <w:rPr/>
            </w:pPr>
            <w:r>
              <w:rPr/>
              <w:t>​</w:t>
            </w:r>
          </w:p>
        </w:tc>
        <w:tc>
          <w:tcPr>
            <w:tcW w:w="171"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108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6890"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Non-GAAP Selling and Marketing Expense:</w:t>
            </w:r>
          </w:p>
        </w:tc>
        <w:tc>
          <w:tcPr>
            <w:tcW w:w="165"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 </w:t>
            </w:r>
          </w:p>
        </w:tc>
        <w:tc>
          <w:tcPr>
            <w:tcW w:w="1086" w:type="dxa"/>
            <w:tcBorders/>
            <w:shd w:fill="CCEEFF" w:val="clear"/>
            <w:vAlign w:val="center"/>
          </w:tcPr>
          <w:p>
            <w:pPr>
              <w:pStyle w:val="TableContents"/>
              <w:bidi w:val="0"/>
              <w:spacing w:before="0" w:after="0"/>
              <w:ind w:left="0" w:right="0" w:hanging="0"/>
              <w:jc w:val="right"/>
              <w:rPr/>
            </w:pPr>
            <w:r>
              <w:rPr/>
              <w:t>​</w:t>
            </w:r>
          </w:p>
        </w:tc>
        <w:tc>
          <w:tcPr>
            <w:tcW w:w="171"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 </w:t>
            </w:r>
          </w:p>
        </w:tc>
        <w:tc>
          <w:tcPr>
            <w:tcW w:w="108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890"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Selling and marketing expense</w:t>
            </w:r>
          </w:p>
        </w:tc>
        <w:tc>
          <w:tcPr>
            <w:tcW w:w="165"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52,635</w:t>
            </w:r>
          </w:p>
        </w:tc>
        <w:tc>
          <w:tcPr>
            <w:tcW w:w="171"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48,155</w:t>
            </w:r>
          </w:p>
        </w:tc>
        <w:tc>
          <w:tcPr>
            <w:tcW w:w="191" w:type="dxa"/>
            <w:tcBorders/>
            <w:vAlign w:val="center"/>
          </w:tcPr>
          <w:p>
            <w:pPr>
              <w:pStyle w:val="TableContents"/>
              <w:bidi w:val="0"/>
              <w:spacing w:before="0" w:after="0"/>
              <w:ind w:left="0" w:right="0" w:hanging="0"/>
              <w:jc w:val="left"/>
              <w:rPr/>
            </w:pPr>
            <w:r>
              <w:rPr/>
              <w:t>​</w:t>
            </w:r>
          </w:p>
        </w:tc>
      </w:tr>
      <w:tr>
        <w:trPr/>
        <w:tc>
          <w:tcPr>
            <w:tcW w:w="689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165"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10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(5,343)</w:t>
            </w:r>
          </w:p>
        </w:tc>
        <w:tc>
          <w:tcPr>
            <w:tcW w:w="171"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 </w:t>
            </w:r>
          </w:p>
        </w:tc>
        <w:tc>
          <w:tcPr>
            <w:tcW w:w="10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(5,806)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89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acquired intangible assets – selling and marketing expense</w:t>
            </w:r>
          </w:p>
        </w:tc>
        <w:tc>
          <w:tcPr>
            <w:tcW w:w="165" w:type="dxa"/>
            <w:tcBorders/>
            <w:vAlign w:val="center"/>
          </w:tcPr>
          <w:p>
            <w:pPr>
              <w:pStyle w:val="TableContents"/>
              <w:bidi w:val="0"/>
              <w:spacing w:before="0" w:after="0"/>
              <w:ind w:left="0" w:right="0" w:hanging="0"/>
              <w:jc w:val="left"/>
              <w:rPr/>
            </w:pPr>
            <w:r>
              <w:rPr/>
              <w:t>​</w:t>
            </w:r>
          </w:p>
        </w:tc>
        <w:tc>
          <w:tcPr>
            <w:tcW w:w="30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(525)</w:t>
            </w:r>
          </w:p>
        </w:tc>
        <w:tc>
          <w:tcPr>
            <w:tcW w:w="171" w:type="dxa"/>
            <w:tcBorders/>
            <w:vAlign w:val="center"/>
          </w:tcPr>
          <w:p>
            <w:pPr>
              <w:pStyle w:val="TableContents"/>
              <w:bidi w:val="0"/>
              <w:spacing w:before="0" w:after="0"/>
              <w:ind w:left="0" w:right="0" w:hanging="0"/>
              <w:jc w:val="left"/>
              <w:rPr/>
            </w:pPr>
            <w:r>
              <w:rPr/>
              <w:t>​</w:t>
            </w:r>
          </w:p>
        </w:tc>
        <w:tc>
          <w:tcPr>
            <w:tcW w:w="30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(531)</w:t>
            </w:r>
          </w:p>
        </w:tc>
        <w:tc>
          <w:tcPr>
            <w:tcW w:w="191" w:type="dxa"/>
            <w:tcBorders/>
            <w:vAlign w:val="center"/>
          </w:tcPr>
          <w:p>
            <w:pPr>
              <w:pStyle w:val="TableContents"/>
              <w:bidi w:val="0"/>
              <w:spacing w:before="0" w:after="0"/>
              <w:ind w:left="0" w:right="0" w:hanging="0"/>
              <w:jc w:val="left"/>
              <w:rPr/>
            </w:pPr>
            <w:r>
              <w:rPr/>
              <w:t>​</w:t>
            </w:r>
          </w:p>
        </w:tc>
      </w:tr>
      <w:tr>
        <w:trPr/>
        <w:tc>
          <w:tcPr>
            <w:tcW w:w="6890"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Non-GAAP selling and marketing expense</w:t>
            </w:r>
          </w:p>
        </w:tc>
        <w:tc>
          <w:tcPr>
            <w:tcW w:w="165" w:type="dxa"/>
            <w:tcBorders/>
            <w:shd w:fill="CCEEFF" w:val="clear"/>
            <w:vAlign w:val="center"/>
          </w:tcPr>
          <w:p>
            <w:pPr>
              <w:pStyle w:val="TableContents"/>
              <w:bidi w:val="0"/>
              <w:spacing w:before="0" w:after="0"/>
              <w:ind w:left="0" w:right="0" w:hanging="0"/>
              <w:jc w:val="left"/>
              <w:rPr/>
            </w:pPr>
            <w:r>
              <w:rPr/>
              <w:t>​</w:t>
            </w:r>
          </w:p>
        </w:tc>
        <w:tc>
          <w:tcPr>
            <w:tcW w:w="30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46,767</w:t>
            </w:r>
          </w:p>
        </w:tc>
        <w:tc>
          <w:tcPr>
            <w:tcW w:w="171" w:type="dxa"/>
            <w:tcBorders/>
            <w:shd w:fill="CCEEFF" w:val="clear"/>
            <w:vAlign w:val="center"/>
          </w:tcPr>
          <w:p>
            <w:pPr>
              <w:pStyle w:val="TableContents"/>
              <w:bidi w:val="0"/>
              <w:spacing w:before="0" w:after="0"/>
              <w:ind w:left="0" w:right="0" w:hanging="0"/>
              <w:jc w:val="left"/>
              <w:rPr/>
            </w:pPr>
            <w:r>
              <w:rPr/>
              <w:t>​</w:t>
            </w:r>
          </w:p>
        </w:tc>
        <w:tc>
          <w:tcPr>
            <w:tcW w:w="30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41,818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890" w:type="dxa"/>
            <w:tcBorders/>
            <w:vAlign w:val="center"/>
          </w:tcPr>
          <w:p>
            <w:pPr>
              <w:pStyle w:val="TableContents"/>
              <w:bidi w:val="0"/>
              <w:spacing w:before="0" w:after="0"/>
              <w:ind w:left="0" w:right="0" w:hanging="0"/>
              <w:jc w:val="left"/>
              <w:rPr/>
            </w:pPr>
            <w:r>
              <w:rPr/>
              <w:t>​</w:t>
            </w:r>
          </w:p>
        </w:tc>
        <w:tc>
          <w:tcPr>
            <w:tcW w:w="165"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1086" w:type="dxa"/>
            <w:tcBorders/>
            <w:vAlign w:val="center"/>
          </w:tcPr>
          <w:p>
            <w:pPr>
              <w:pStyle w:val="TableContents"/>
              <w:bidi w:val="0"/>
              <w:spacing w:before="0" w:after="0"/>
              <w:ind w:left="0" w:right="0" w:hanging="0"/>
              <w:jc w:val="right"/>
              <w:rPr/>
            </w:pPr>
            <w:r>
              <w:rPr/>
              <w:t>​</w:t>
            </w:r>
          </w:p>
        </w:tc>
        <w:tc>
          <w:tcPr>
            <w:tcW w:w="171"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108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6890"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Non-GAAP General and Administrative Expense:</w:t>
            </w:r>
          </w:p>
        </w:tc>
        <w:tc>
          <w:tcPr>
            <w:tcW w:w="165"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 </w:t>
            </w:r>
          </w:p>
        </w:tc>
        <w:tc>
          <w:tcPr>
            <w:tcW w:w="1086" w:type="dxa"/>
            <w:tcBorders/>
            <w:vAlign w:val="center"/>
          </w:tcPr>
          <w:p>
            <w:pPr>
              <w:pStyle w:val="TableContents"/>
              <w:bidi w:val="0"/>
              <w:spacing w:before="0" w:after="0"/>
              <w:ind w:left="0" w:right="0" w:hanging="0"/>
              <w:jc w:val="right"/>
              <w:rPr/>
            </w:pPr>
            <w:r>
              <w:rPr/>
              <w:t>​</w:t>
            </w:r>
          </w:p>
        </w:tc>
        <w:tc>
          <w:tcPr>
            <w:tcW w:w="171"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 </w:t>
            </w:r>
          </w:p>
        </w:tc>
        <w:tc>
          <w:tcPr>
            <w:tcW w:w="108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6890"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General and administrative expense</w:t>
            </w:r>
          </w:p>
        </w:tc>
        <w:tc>
          <w:tcPr>
            <w:tcW w:w="165"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54,339</w:t>
            </w:r>
          </w:p>
        </w:tc>
        <w:tc>
          <w:tcPr>
            <w:tcW w:w="171"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45,028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89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165"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 </w:t>
            </w:r>
          </w:p>
        </w:tc>
        <w:tc>
          <w:tcPr>
            <w:tcW w:w="10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(5,883)</w:t>
            </w:r>
          </w:p>
        </w:tc>
        <w:tc>
          <w:tcPr>
            <w:tcW w:w="171"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 </w:t>
            </w:r>
          </w:p>
        </w:tc>
        <w:tc>
          <w:tcPr>
            <w:tcW w:w="10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(6,963)</w:t>
            </w:r>
          </w:p>
        </w:tc>
        <w:tc>
          <w:tcPr>
            <w:tcW w:w="191" w:type="dxa"/>
            <w:tcBorders/>
            <w:vAlign w:val="center"/>
          </w:tcPr>
          <w:p>
            <w:pPr>
              <w:pStyle w:val="TableContents"/>
              <w:bidi w:val="0"/>
              <w:spacing w:before="0" w:after="0"/>
              <w:ind w:left="0" w:right="0" w:hanging="0"/>
              <w:jc w:val="left"/>
              <w:rPr/>
            </w:pPr>
            <w:r>
              <w:rPr/>
              <w:t>​</w:t>
            </w:r>
          </w:p>
        </w:tc>
      </w:tr>
      <w:tr>
        <w:trPr/>
        <w:tc>
          <w:tcPr>
            <w:tcW w:w="6890"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Severance expense </w:t>
            </w:r>
            <w:r>
              <w:rPr>
                <w:rFonts w:ascii="Times New Roman;Times;serif" w:hAnsi="Times New Roman;Times;serif"/>
                <w:sz w:val="14"/>
              </w:rPr>
              <w:t>(1)</w:t>
            </w:r>
          </w:p>
        </w:tc>
        <w:tc>
          <w:tcPr>
            <w:tcW w:w="165"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10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(7,408)</w:t>
            </w:r>
          </w:p>
        </w:tc>
        <w:tc>
          <w:tcPr>
            <w:tcW w:w="171"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10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890"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Acquisition-related retained employee compensation </w:t>
            </w:r>
            <w:r>
              <w:rPr>
                <w:rFonts w:ascii="Times New Roman;Times;serif" w:hAnsi="Times New Roman;Times;serif"/>
                <w:sz w:val="14"/>
              </w:rPr>
              <w:t>(2)</w:t>
            </w:r>
          </w:p>
        </w:tc>
        <w:tc>
          <w:tcPr>
            <w:tcW w:w="165"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10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(417)</w:t>
            </w:r>
          </w:p>
        </w:tc>
        <w:tc>
          <w:tcPr>
            <w:tcW w:w="171"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108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6890"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Transaction costs </w:t>
            </w:r>
            <w:r>
              <w:rPr>
                <w:rFonts w:ascii="Times New Roman;Times;serif" w:hAnsi="Times New Roman;Times;serif"/>
                <w:sz w:val="14"/>
              </w:rPr>
              <w:t>(3)</w:t>
            </w:r>
          </w:p>
        </w:tc>
        <w:tc>
          <w:tcPr>
            <w:tcW w:w="165"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10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(2,550)</w:t>
            </w:r>
          </w:p>
        </w:tc>
        <w:tc>
          <w:tcPr>
            <w:tcW w:w="171"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108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89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cloud computing implementation costs – general and administrative expense</w:t>
            </w:r>
          </w:p>
        </w:tc>
        <w:tc>
          <w:tcPr>
            <w:tcW w:w="165" w:type="dxa"/>
            <w:tcBorders/>
            <w:vAlign w:val="center"/>
          </w:tcPr>
          <w:p>
            <w:pPr>
              <w:pStyle w:val="TableContents"/>
              <w:bidi w:val="0"/>
              <w:spacing w:before="0" w:after="0"/>
              <w:ind w:left="0" w:right="0" w:hanging="0"/>
              <w:jc w:val="left"/>
              <w:rPr/>
            </w:pPr>
            <w:r>
              <w:rPr/>
              <w:t>​</w:t>
            </w:r>
          </w:p>
        </w:tc>
        <w:tc>
          <w:tcPr>
            <w:tcW w:w="30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(1,037)</w:t>
            </w:r>
          </w:p>
        </w:tc>
        <w:tc>
          <w:tcPr>
            <w:tcW w:w="171" w:type="dxa"/>
            <w:tcBorders/>
            <w:vAlign w:val="center"/>
          </w:tcPr>
          <w:p>
            <w:pPr>
              <w:pStyle w:val="TableContents"/>
              <w:bidi w:val="0"/>
              <w:spacing w:before="0" w:after="0"/>
              <w:ind w:left="0" w:right="0" w:hanging="0"/>
              <w:jc w:val="left"/>
              <w:rPr/>
            </w:pPr>
            <w:r>
              <w:rPr/>
              <w:t>​</w:t>
            </w:r>
          </w:p>
        </w:tc>
        <w:tc>
          <w:tcPr>
            <w:tcW w:w="30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(1,006)</w:t>
            </w:r>
          </w:p>
        </w:tc>
        <w:tc>
          <w:tcPr>
            <w:tcW w:w="191" w:type="dxa"/>
            <w:tcBorders/>
            <w:vAlign w:val="center"/>
          </w:tcPr>
          <w:p>
            <w:pPr>
              <w:pStyle w:val="TableContents"/>
              <w:bidi w:val="0"/>
              <w:spacing w:before="0" w:after="0"/>
              <w:ind w:left="0" w:right="0" w:hanging="0"/>
              <w:jc w:val="left"/>
              <w:rPr/>
            </w:pPr>
            <w:r>
              <w:rPr/>
              <w:t>​</w:t>
            </w:r>
          </w:p>
        </w:tc>
      </w:tr>
      <w:tr>
        <w:trPr/>
        <w:tc>
          <w:tcPr>
            <w:tcW w:w="6890"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Non-GAAP general and administrative expense</w:t>
            </w:r>
          </w:p>
        </w:tc>
        <w:tc>
          <w:tcPr>
            <w:tcW w:w="165" w:type="dxa"/>
            <w:tcBorders/>
            <w:shd w:fill="CCEEFF" w:val="clear"/>
            <w:vAlign w:val="center"/>
          </w:tcPr>
          <w:p>
            <w:pPr>
              <w:pStyle w:val="TableContents"/>
              <w:bidi w:val="0"/>
              <w:spacing w:before="0" w:after="0"/>
              <w:ind w:left="0" w:right="0" w:hanging="0"/>
              <w:jc w:val="left"/>
              <w:rPr/>
            </w:pPr>
            <w:r>
              <w:rPr/>
              <w:t>​</w:t>
            </w:r>
          </w:p>
        </w:tc>
        <w:tc>
          <w:tcPr>
            <w:tcW w:w="30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37,044</w:t>
            </w:r>
          </w:p>
        </w:tc>
        <w:tc>
          <w:tcPr>
            <w:tcW w:w="171" w:type="dxa"/>
            <w:tcBorders/>
            <w:shd w:fill="CCEEFF" w:val="clear"/>
            <w:vAlign w:val="center"/>
          </w:tcPr>
          <w:p>
            <w:pPr>
              <w:pStyle w:val="TableContents"/>
              <w:bidi w:val="0"/>
              <w:spacing w:before="0" w:after="0"/>
              <w:ind w:left="0" w:right="0" w:hanging="0"/>
              <w:jc w:val="left"/>
              <w:rPr/>
            </w:pPr>
            <w:r>
              <w:rPr/>
              <w:t>​</w:t>
            </w:r>
          </w:p>
        </w:tc>
        <w:tc>
          <w:tcPr>
            <w:tcW w:w="30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36,602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890" w:type="dxa"/>
            <w:tcBorders/>
            <w:vAlign w:val="center"/>
          </w:tcPr>
          <w:p>
            <w:pPr>
              <w:pStyle w:val="TableContents"/>
              <w:bidi w:val="0"/>
              <w:spacing w:before="0" w:after="0"/>
              <w:ind w:left="0" w:right="0" w:hanging="0"/>
              <w:jc w:val="left"/>
              <w:rPr/>
            </w:pPr>
            <w:r>
              <w:rPr/>
              <w:t>​</w:t>
            </w:r>
          </w:p>
        </w:tc>
        <w:tc>
          <w:tcPr>
            <w:tcW w:w="165"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1086" w:type="dxa"/>
            <w:tcBorders/>
            <w:vAlign w:val="center"/>
          </w:tcPr>
          <w:p>
            <w:pPr>
              <w:pStyle w:val="TableContents"/>
              <w:bidi w:val="0"/>
              <w:spacing w:before="0" w:after="0"/>
              <w:ind w:left="0" w:right="0" w:hanging="0"/>
              <w:jc w:val="left"/>
              <w:rPr/>
            </w:pPr>
            <w:r>
              <w:rPr/>
              <w:t>​</w:t>
            </w:r>
          </w:p>
        </w:tc>
        <w:tc>
          <w:tcPr>
            <w:tcW w:w="171"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108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6890"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Non-GAAP Operating Income:</w:t>
            </w:r>
          </w:p>
        </w:tc>
        <w:tc>
          <w:tcPr>
            <w:tcW w:w="165"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 </w:t>
            </w:r>
          </w:p>
        </w:tc>
        <w:tc>
          <w:tcPr>
            <w:tcW w:w="1086" w:type="dxa"/>
            <w:tcBorders/>
            <w:vAlign w:val="center"/>
          </w:tcPr>
          <w:p>
            <w:pPr>
              <w:pStyle w:val="TableContents"/>
              <w:bidi w:val="0"/>
              <w:spacing w:before="0" w:after="0"/>
              <w:ind w:left="0" w:right="0" w:hanging="0"/>
              <w:jc w:val="right"/>
              <w:rPr/>
            </w:pPr>
            <w:r>
              <w:rPr/>
              <w:t>  ​</w:t>
            </w:r>
          </w:p>
        </w:tc>
        <w:tc>
          <w:tcPr>
            <w:tcW w:w="171"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 </w:t>
            </w:r>
          </w:p>
        </w:tc>
        <w:tc>
          <w:tcPr>
            <w:tcW w:w="1086" w:type="dxa"/>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left"/>
              <w:rPr/>
            </w:pPr>
            <w:r>
              <w:rPr/>
              <w:t>​</w:t>
            </w:r>
          </w:p>
        </w:tc>
      </w:tr>
      <w:tr>
        <w:trPr/>
        <w:tc>
          <w:tcPr>
            <w:tcW w:w="6890"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Income (loss) from operations</w:t>
            </w:r>
          </w:p>
        </w:tc>
        <w:tc>
          <w:tcPr>
            <w:tcW w:w="165"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(10,606)</w:t>
            </w:r>
          </w:p>
        </w:tc>
        <w:tc>
          <w:tcPr>
            <w:tcW w:w="171"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4,486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89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165"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 </w:t>
            </w:r>
          </w:p>
        </w:tc>
        <w:tc>
          <w:tcPr>
            <w:tcW w:w="10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18,508</w:t>
            </w:r>
          </w:p>
        </w:tc>
        <w:tc>
          <w:tcPr>
            <w:tcW w:w="171"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 </w:t>
            </w:r>
          </w:p>
        </w:tc>
        <w:tc>
          <w:tcPr>
            <w:tcW w:w="10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21,044</w:t>
            </w:r>
          </w:p>
        </w:tc>
        <w:tc>
          <w:tcPr>
            <w:tcW w:w="191" w:type="dxa"/>
            <w:tcBorders/>
            <w:vAlign w:val="center"/>
          </w:tcPr>
          <w:p>
            <w:pPr>
              <w:pStyle w:val="TableContents"/>
              <w:bidi w:val="0"/>
              <w:spacing w:before="0" w:after="0"/>
              <w:ind w:left="0" w:right="0" w:hanging="0"/>
              <w:jc w:val="left"/>
              <w:rPr/>
            </w:pPr>
            <w:r>
              <w:rPr/>
              <w:t>​</w:t>
            </w:r>
          </w:p>
        </w:tc>
      </w:tr>
      <w:tr>
        <w:trPr/>
        <w:tc>
          <w:tcPr>
            <w:tcW w:w="689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 of capitalized software and acquired intangible assets – cost of subscription revenues</w:t>
            </w:r>
          </w:p>
        </w:tc>
        <w:tc>
          <w:tcPr>
            <w:tcW w:w="165"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 </w:t>
            </w:r>
          </w:p>
        </w:tc>
        <w:tc>
          <w:tcPr>
            <w:tcW w:w="10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20,086</w:t>
            </w:r>
          </w:p>
        </w:tc>
        <w:tc>
          <w:tcPr>
            <w:tcW w:w="171"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 </w:t>
            </w:r>
          </w:p>
        </w:tc>
        <w:tc>
          <w:tcPr>
            <w:tcW w:w="10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15,855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89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acquired intangible assets – selling and marketing expense</w:t>
            </w:r>
          </w:p>
        </w:tc>
        <w:tc>
          <w:tcPr>
            <w:tcW w:w="165"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10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525</w:t>
            </w:r>
          </w:p>
        </w:tc>
        <w:tc>
          <w:tcPr>
            <w:tcW w:w="171"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 </w:t>
            </w:r>
          </w:p>
        </w:tc>
        <w:tc>
          <w:tcPr>
            <w:tcW w:w="10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531</w:t>
            </w:r>
          </w:p>
        </w:tc>
        <w:tc>
          <w:tcPr>
            <w:tcW w:w="191" w:type="dxa"/>
            <w:tcBorders/>
            <w:vAlign w:val="center"/>
          </w:tcPr>
          <w:p>
            <w:pPr>
              <w:pStyle w:val="TableContents"/>
              <w:bidi w:val="0"/>
              <w:spacing w:before="0" w:after="0"/>
              <w:ind w:left="0" w:right="0" w:hanging="0"/>
              <w:jc w:val="left"/>
              <w:rPr/>
            </w:pPr>
            <w:r>
              <w:rPr/>
              <w:t>​</w:t>
            </w:r>
          </w:p>
        </w:tc>
      </w:tr>
      <w:tr>
        <w:trPr/>
        <w:tc>
          <w:tcPr>
            <w:tcW w:w="689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cloud computing implementation costs – general and administrative expense</w:t>
            </w:r>
          </w:p>
        </w:tc>
        <w:tc>
          <w:tcPr>
            <w:tcW w:w="165"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10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1,037</w:t>
            </w:r>
          </w:p>
        </w:tc>
        <w:tc>
          <w:tcPr>
            <w:tcW w:w="171"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10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890"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Severance expense </w:t>
            </w:r>
            <w:r>
              <w:rPr>
                <w:rFonts w:ascii="Times New Roman;Times;serif" w:hAnsi="Times New Roman;Times;serif"/>
                <w:sz w:val="14"/>
              </w:rPr>
              <w:t>(1)</w:t>
            </w:r>
          </w:p>
        </w:tc>
        <w:tc>
          <w:tcPr>
            <w:tcW w:w="165"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10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7,408</w:t>
            </w:r>
          </w:p>
        </w:tc>
        <w:tc>
          <w:tcPr>
            <w:tcW w:w="171"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10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457</w:t>
            </w:r>
          </w:p>
        </w:tc>
        <w:tc>
          <w:tcPr>
            <w:tcW w:w="191" w:type="dxa"/>
            <w:tcBorders/>
            <w:vAlign w:val="center"/>
          </w:tcPr>
          <w:p>
            <w:pPr>
              <w:pStyle w:val="TableContents"/>
              <w:bidi w:val="0"/>
              <w:spacing w:before="0" w:after="0"/>
              <w:ind w:left="0" w:right="0" w:hanging="0"/>
              <w:jc w:val="left"/>
              <w:rPr/>
            </w:pPr>
            <w:r>
              <w:rPr/>
              <w:t>​</w:t>
            </w:r>
          </w:p>
        </w:tc>
      </w:tr>
      <w:tr>
        <w:trPr/>
        <w:tc>
          <w:tcPr>
            <w:tcW w:w="689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fair value of acquisition contingent earn-outs</w:t>
            </w:r>
          </w:p>
        </w:tc>
        <w:tc>
          <w:tcPr>
            <w:tcW w:w="165"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10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(5,738)</w:t>
            </w:r>
          </w:p>
        </w:tc>
        <w:tc>
          <w:tcPr>
            <w:tcW w:w="171"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10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(14,700)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890"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Acquisition-related retained employee compensation </w:t>
            </w:r>
            <w:r>
              <w:rPr>
                <w:rFonts w:ascii="Times New Roman;Times;serif" w:hAnsi="Times New Roman;Times;serif"/>
                <w:sz w:val="14"/>
              </w:rPr>
              <w:t>(2)</w:t>
            </w:r>
          </w:p>
        </w:tc>
        <w:tc>
          <w:tcPr>
            <w:tcW w:w="165"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10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417</w:t>
            </w:r>
          </w:p>
        </w:tc>
        <w:tc>
          <w:tcPr>
            <w:tcW w:w="171"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108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6890"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Transaction costs </w:t>
            </w:r>
            <w:r>
              <w:rPr>
                <w:rFonts w:ascii="Times New Roman;Times;serif" w:hAnsi="Times New Roman;Times;serif"/>
                <w:sz w:val="14"/>
              </w:rPr>
              <w:t>(3)</w:t>
            </w:r>
            <w:r>
              <w:rPr>
                <w:rFonts w:ascii="Times New Roman;Times;serif" w:hAnsi="Times New Roman;Times;serif"/>
                <w:sz w:val="18"/>
              </w:rPr>
              <w:t xml:space="preserve"> </w:t>
            </w:r>
          </w:p>
        </w:tc>
        <w:tc>
          <w:tcPr>
            <w:tcW w:w="165" w:type="dxa"/>
            <w:tcBorders/>
            <w:shd w:fill="CCEEFF" w:val="clear"/>
            <w:vAlign w:val="center"/>
          </w:tcPr>
          <w:p>
            <w:pPr>
              <w:pStyle w:val="TableContents"/>
              <w:bidi w:val="0"/>
              <w:spacing w:before="0" w:after="0"/>
              <w:ind w:left="0" w:right="0" w:hanging="0"/>
              <w:jc w:val="left"/>
              <w:rPr/>
            </w:pPr>
            <w:r>
              <w:rPr/>
              <w:t>​</w:t>
            </w:r>
          </w:p>
        </w:tc>
        <w:tc>
          <w:tcPr>
            <w:tcW w:w="3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5,984</w:t>
            </w:r>
          </w:p>
        </w:tc>
        <w:tc>
          <w:tcPr>
            <w:tcW w:w="171" w:type="dxa"/>
            <w:tcBorders/>
            <w:shd w:fill="CCEEFF" w:val="clear"/>
            <w:vAlign w:val="center"/>
          </w:tcPr>
          <w:p>
            <w:pPr>
              <w:pStyle w:val="TableContents"/>
              <w:bidi w:val="0"/>
              <w:spacing w:before="0" w:after="0"/>
              <w:ind w:left="0" w:right="0" w:hanging="0"/>
              <w:jc w:val="left"/>
              <w:rPr/>
            </w:pPr>
            <w:r>
              <w:rPr/>
              <w:t>​</w:t>
            </w:r>
          </w:p>
        </w:tc>
        <w:tc>
          <w:tcPr>
            <w:tcW w:w="3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2,660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890"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Non-GAAP operating income</w:t>
            </w:r>
          </w:p>
        </w:tc>
        <w:tc>
          <w:tcPr>
            <w:tcW w:w="165" w:type="dxa"/>
            <w:tcBorders/>
            <w:vAlign w:val="center"/>
          </w:tcPr>
          <w:p>
            <w:pPr>
              <w:pStyle w:val="TableContents"/>
              <w:bidi w:val="0"/>
              <w:spacing w:before="0" w:after="0"/>
              <w:ind w:left="0" w:right="0" w:hanging="0"/>
              <w:jc w:val="left"/>
              <w:rPr/>
            </w:pPr>
            <w:r>
              <w:rPr/>
              <w:t>​</w:t>
            </w:r>
          </w:p>
        </w:tc>
        <w:tc>
          <w:tcPr>
            <w:tcW w:w="30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37,621</w:t>
            </w:r>
          </w:p>
        </w:tc>
        <w:tc>
          <w:tcPr>
            <w:tcW w:w="171" w:type="dxa"/>
            <w:tcBorders/>
            <w:vAlign w:val="center"/>
          </w:tcPr>
          <w:p>
            <w:pPr>
              <w:pStyle w:val="TableContents"/>
              <w:bidi w:val="0"/>
              <w:spacing w:before="0" w:after="0"/>
              <w:ind w:left="0" w:right="0" w:hanging="0"/>
              <w:jc w:val="left"/>
              <w:rPr/>
            </w:pPr>
            <w:r>
              <w:rPr/>
              <w:t>​</w:t>
            </w:r>
          </w:p>
        </w:tc>
        <w:tc>
          <w:tcPr>
            <w:tcW w:w="30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31,339</w:t>
            </w:r>
          </w:p>
        </w:tc>
        <w:tc>
          <w:tcPr>
            <w:tcW w:w="191" w:type="dxa"/>
            <w:tcBorders/>
            <w:vAlign w:val="center"/>
          </w:tcPr>
          <w:p>
            <w:pPr>
              <w:pStyle w:val="TableContents"/>
              <w:bidi w:val="0"/>
              <w:spacing w:before="0" w:after="0"/>
              <w:ind w:left="0" w:right="0" w:hanging="0"/>
              <w:jc w:val="left"/>
              <w:rPr/>
            </w:pPr>
            <w:r>
              <w:rPr/>
              <w:t>​</w:t>
            </w:r>
          </w:p>
        </w:tc>
      </w:tr>
      <w:tr>
        <w:trPr/>
        <w:tc>
          <w:tcPr>
            <w:tcW w:w="6890" w:type="dxa"/>
            <w:tcBorders/>
            <w:shd w:fill="CCEEFF" w:val="clear"/>
            <w:vAlign w:val="center"/>
          </w:tcPr>
          <w:p>
            <w:pPr>
              <w:pStyle w:val="TableContents"/>
              <w:bidi w:val="0"/>
              <w:spacing w:before="0" w:after="0"/>
              <w:ind w:left="0" w:right="0" w:hanging="0"/>
              <w:jc w:val="left"/>
              <w:rPr/>
            </w:pPr>
            <w:r>
              <w:rPr/>
              <w:t>​</w:t>
            </w:r>
          </w:p>
        </w:tc>
        <w:tc>
          <w:tcPr>
            <w:tcW w:w="165"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1086" w:type="dxa"/>
            <w:tcBorders/>
            <w:shd w:fill="CCEEFF" w:val="clear"/>
            <w:vAlign w:val="center"/>
          </w:tcPr>
          <w:p>
            <w:pPr>
              <w:pStyle w:val="TableContents"/>
              <w:bidi w:val="0"/>
              <w:spacing w:before="0" w:after="0"/>
              <w:ind w:left="0" w:right="0" w:hanging="0"/>
              <w:jc w:val="right"/>
              <w:rPr/>
            </w:pPr>
            <w:r>
              <w:rPr/>
              <w:t>​</w:t>
            </w:r>
          </w:p>
        </w:tc>
        <w:tc>
          <w:tcPr>
            <w:tcW w:w="171"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108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890"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Non-GAAP Net Income:</w:t>
            </w:r>
          </w:p>
        </w:tc>
        <w:tc>
          <w:tcPr>
            <w:tcW w:w="165"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 </w:t>
            </w:r>
          </w:p>
        </w:tc>
        <w:tc>
          <w:tcPr>
            <w:tcW w:w="1086" w:type="dxa"/>
            <w:tcBorders/>
            <w:vAlign w:val="center"/>
          </w:tcPr>
          <w:p>
            <w:pPr>
              <w:pStyle w:val="TableContents"/>
              <w:bidi w:val="0"/>
              <w:spacing w:before="0" w:after="0"/>
              <w:ind w:left="0" w:right="0" w:hanging="0"/>
              <w:jc w:val="right"/>
              <w:rPr/>
            </w:pPr>
            <w:r>
              <w:rPr/>
              <w:t>  ​</w:t>
            </w:r>
          </w:p>
        </w:tc>
        <w:tc>
          <w:tcPr>
            <w:tcW w:w="171"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 </w:t>
            </w:r>
          </w:p>
        </w:tc>
        <w:tc>
          <w:tcPr>
            <w:tcW w:w="108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6890"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income (loss)</w:t>
            </w:r>
          </w:p>
        </w:tc>
        <w:tc>
          <w:tcPr>
            <w:tcW w:w="165"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(2,510)</w:t>
            </w:r>
          </w:p>
        </w:tc>
        <w:tc>
          <w:tcPr>
            <w:tcW w:w="171"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11,130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89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 benefit</w:t>
            </w:r>
          </w:p>
        </w:tc>
        <w:tc>
          <w:tcPr>
            <w:tcW w:w="165"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10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(7,139)</w:t>
            </w:r>
          </w:p>
        </w:tc>
        <w:tc>
          <w:tcPr>
            <w:tcW w:w="171"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10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(5,105)</w:t>
            </w:r>
          </w:p>
        </w:tc>
        <w:tc>
          <w:tcPr>
            <w:tcW w:w="191" w:type="dxa"/>
            <w:tcBorders/>
            <w:vAlign w:val="center"/>
          </w:tcPr>
          <w:p>
            <w:pPr>
              <w:pStyle w:val="TableContents"/>
              <w:bidi w:val="0"/>
              <w:spacing w:before="0" w:after="0"/>
              <w:ind w:left="0" w:right="0" w:hanging="0"/>
              <w:jc w:val="left"/>
              <w:rPr/>
            </w:pPr>
            <w:r>
              <w:rPr/>
              <w:t>​</w:t>
            </w:r>
          </w:p>
        </w:tc>
      </w:tr>
      <w:tr>
        <w:trPr/>
        <w:tc>
          <w:tcPr>
            <w:tcW w:w="689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165"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 </w:t>
            </w:r>
          </w:p>
        </w:tc>
        <w:tc>
          <w:tcPr>
            <w:tcW w:w="10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18,508</w:t>
            </w:r>
          </w:p>
        </w:tc>
        <w:tc>
          <w:tcPr>
            <w:tcW w:w="171"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 </w:t>
            </w:r>
          </w:p>
        </w:tc>
        <w:tc>
          <w:tcPr>
            <w:tcW w:w="10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21,044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89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 of capitalized software and acquired intangible assets – cost of subscription revenues</w:t>
            </w:r>
          </w:p>
        </w:tc>
        <w:tc>
          <w:tcPr>
            <w:tcW w:w="165"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10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20,086</w:t>
            </w:r>
          </w:p>
        </w:tc>
        <w:tc>
          <w:tcPr>
            <w:tcW w:w="171"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10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15,855</w:t>
            </w:r>
          </w:p>
        </w:tc>
        <w:tc>
          <w:tcPr>
            <w:tcW w:w="191" w:type="dxa"/>
            <w:tcBorders/>
            <w:vAlign w:val="center"/>
          </w:tcPr>
          <w:p>
            <w:pPr>
              <w:pStyle w:val="TableContents"/>
              <w:bidi w:val="0"/>
              <w:spacing w:before="0" w:after="0"/>
              <w:ind w:left="0" w:right="0" w:hanging="0"/>
              <w:jc w:val="left"/>
              <w:rPr/>
            </w:pPr>
            <w:r>
              <w:rPr/>
              <w:t>​</w:t>
            </w:r>
          </w:p>
        </w:tc>
      </w:tr>
      <w:tr>
        <w:trPr/>
        <w:tc>
          <w:tcPr>
            <w:tcW w:w="689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acquired intangible assets – selling and marketing expense</w:t>
            </w:r>
          </w:p>
        </w:tc>
        <w:tc>
          <w:tcPr>
            <w:tcW w:w="165"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10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525</w:t>
            </w:r>
          </w:p>
        </w:tc>
        <w:tc>
          <w:tcPr>
            <w:tcW w:w="171"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10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89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cloud computing implementation costs – general and administrative expense</w:t>
            </w:r>
          </w:p>
        </w:tc>
        <w:tc>
          <w:tcPr>
            <w:tcW w:w="165"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10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1,037</w:t>
            </w:r>
          </w:p>
        </w:tc>
        <w:tc>
          <w:tcPr>
            <w:tcW w:w="171"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10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1,006</w:t>
            </w:r>
          </w:p>
        </w:tc>
        <w:tc>
          <w:tcPr>
            <w:tcW w:w="191" w:type="dxa"/>
            <w:tcBorders/>
            <w:vAlign w:val="center"/>
          </w:tcPr>
          <w:p>
            <w:pPr>
              <w:pStyle w:val="TableContents"/>
              <w:bidi w:val="0"/>
              <w:spacing w:before="0" w:after="0"/>
              <w:ind w:left="0" w:right="0" w:hanging="0"/>
              <w:jc w:val="left"/>
              <w:rPr/>
            </w:pPr>
            <w:r>
              <w:rPr/>
              <w:t>​</w:t>
            </w:r>
          </w:p>
        </w:tc>
      </w:tr>
      <w:tr>
        <w:trPr/>
        <w:tc>
          <w:tcPr>
            <w:tcW w:w="6890"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Severance expense </w:t>
            </w:r>
            <w:r>
              <w:rPr>
                <w:rFonts w:ascii="Times New Roman;Times;serif" w:hAnsi="Times New Roman;Times;serif"/>
                <w:sz w:val="14"/>
              </w:rPr>
              <w:t>(1)</w:t>
            </w:r>
          </w:p>
        </w:tc>
        <w:tc>
          <w:tcPr>
            <w:tcW w:w="165"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 </w:t>
            </w:r>
          </w:p>
        </w:tc>
        <w:tc>
          <w:tcPr>
            <w:tcW w:w="10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7,408</w:t>
            </w:r>
          </w:p>
        </w:tc>
        <w:tc>
          <w:tcPr>
            <w:tcW w:w="171"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 </w:t>
            </w:r>
          </w:p>
        </w:tc>
        <w:tc>
          <w:tcPr>
            <w:tcW w:w="10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89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fair value of acquisition contingent earn-outs</w:t>
            </w:r>
          </w:p>
        </w:tc>
        <w:tc>
          <w:tcPr>
            <w:tcW w:w="165"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10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(5,738)</w:t>
            </w:r>
          </w:p>
        </w:tc>
        <w:tc>
          <w:tcPr>
            <w:tcW w:w="171"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10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(14,700)</w:t>
            </w:r>
          </w:p>
        </w:tc>
        <w:tc>
          <w:tcPr>
            <w:tcW w:w="191" w:type="dxa"/>
            <w:tcBorders/>
            <w:vAlign w:val="center"/>
          </w:tcPr>
          <w:p>
            <w:pPr>
              <w:pStyle w:val="TableContents"/>
              <w:bidi w:val="0"/>
              <w:spacing w:before="0" w:after="0"/>
              <w:ind w:left="0" w:right="0" w:hanging="0"/>
              <w:jc w:val="left"/>
              <w:rPr/>
            </w:pPr>
            <w:r>
              <w:rPr/>
              <w:t>​</w:t>
            </w:r>
          </w:p>
        </w:tc>
      </w:tr>
      <w:tr>
        <w:trPr/>
        <w:tc>
          <w:tcPr>
            <w:tcW w:w="6890"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Acquisition-related retained employee compensation </w:t>
            </w:r>
            <w:r>
              <w:rPr>
                <w:rFonts w:ascii="Times New Roman;Times;serif" w:hAnsi="Times New Roman;Times;serif"/>
                <w:sz w:val="14"/>
              </w:rPr>
              <w:t>(2)</w:t>
            </w:r>
          </w:p>
        </w:tc>
        <w:tc>
          <w:tcPr>
            <w:tcW w:w="165"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10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417</w:t>
            </w:r>
          </w:p>
        </w:tc>
        <w:tc>
          <w:tcPr>
            <w:tcW w:w="171"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108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890"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Transaction costs </w:t>
            </w:r>
            <w:r>
              <w:rPr>
                <w:rFonts w:ascii="Times New Roman;Times;serif" w:hAnsi="Times New Roman;Times;serif"/>
                <w:sz w:val="14"/>
              </w:rPr>
              <w:t xml:space="preserve">(3) </w:t>
            </w:r>
          </w:p>
        </w:tc>
        <w:tc>
          <w:tcPr>
            <w:tcW w:w="165" w:type="dxa"/>
            <w:tcBorders/>
            <w:vAlign w:val="center"/>
          </w:tcPr>
          <w:p>
            <w:pPr>
              <w:pStyle w:val="TableContents"/>
              <w:bidi w:val="0"/>
              <w:spacing w:before="0" w:after="0"/>
              <w:ind w:left="0" w:right="0" w:hanging="0"/>
              <w:jc w:val="left"/>
              <w:rPr/>
            </w:pPr>
            <w:r>
              <w:rPr/>
              <w:t>​</w:t>
            </w:r>
          </w:p>
        </w:tc>
        <w:tc>
          <w:tcPr>
            <w:tcW w:w="30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5,984</w:t>
            </w:r>
          </w:p>
        </w:tc>
        <w:tc>
          <w:tcPr>
            <w:tcW w:w="171" w:type="dxa"/>
            <w:tcBorders/>
            <w:vAlign w:val="center"/>
          </w:tcPr>
          <w:p>
            <w:pPr>
              <w:pStyle w:val="TableContents"/>
              <w:bidi w:val="0"/>
              <w:spacing w:before="0" w:after="0"/>
              <w:ind w:left="0" w:right="0" w:hanging="0"/>
              <w:jc w:val="left"/>
              <w:rPr/>
            </w:pPr>
            <w:r>
              <w:rPr/>
              <w:t>​</w:t>
            </w:r>
          </w:p>
        </w:tc>
        <w:tc>
          <w:tcPr>
            <w:tcW w:w="30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2,660</w:t>
            </w:r>
          </w:p>
        </w:tc>
        <w:tc>
          <w:tcPr>
            <w:tcW w:w="191" w:type="dxa"/>
            <w:tcBorders/>
            <w:vAlign w:val="center"/>
          </w:tcPr>
          <w:p>
            <w:pPr>
              <w:pStyle w:val="TableContents"/>
              <w:bidi w:val="0"/>
              <w:spacing w:before="0" w:after="0"/>
              <w:ind w:left="0" w:right="0" w:hanging="0"/>
              <w:jc w:val="left"/>
              <w:rPr/>
            </w:pPr>
            <w:r>
              <w:rPr/>
              <w:t>​</w:t>
            </w:r>
          </w:p>
        </w:tc>
      </w:tr>
      <w:tr>
        <w:trPr/>
        <w:tc>
          <w:tcPr>
            <w:tcW w:w="689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Non-GAAP income before income taxes</w:t>
            </w:r>
          </w:p>
        </w:tc>
        <w:tc>
          <w:tcPr>
            <w:tcW w:w="165"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10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38,578</w:t>
            </w:r>
          </w:p>
        </w:tc>
        <w:tc>
          <w:tcPr>
            <w:tcW w:w="171"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 </w:t>
            </w:r>
          </w:p>
        </w:tc>
        <w:tc>
          <w:tcPr>
            <w:tcW w:w="10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32,878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890"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Income tax adjustment at statutory rate </w:t>
            </w:r>
            <w:r>
              <w:rPr>
                <w:rFonts w:ascii="Times New Roman;Times;serif" w:hAnsi="Times New Roman;Times;serif"/>
                <w:sz w:val="14"/>
              </w:rPr>
              <w:t>(4)</w:t>
            </w:r>
          </w:p>
        </w:tc>
        <w:tc>
          <w:tcPr>
            <w:tcW w:w="165" w:type="dxa"/>
            <w:tcBorders/>
            <w:vAlign w:val="center"/>
          </w:tcPr>
          <w:p>
            <w:pPr>
              <w:pStyle w:val="TableContents"/>
              <w:bidi w:val="0"/>
              <w:spacing w:before="0" w:after="0"/>
              <w:ind w:left="0" w:right="0" w:hanging="0"/>
              <w:jc w:val="left"/>
              <w:rPr/>
            </w:pPr>
            <w:r>
              <w:rPr/>
              <w:t>​</w:t>
            </w:r>
          </w:p>
        </w:tc>
        <w:tc>
          <w:tcPr>
            <w:tcW w:w="30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(9,837)</w:t>
            </w:r>
          </w:p>
        </w:tc>
        <w:tc>
          <w:tcPr>
            <w:tcW w:w="171" w:type="dxa"/>
            <w:tcBorders/>
            <w:vAlign w:val="center"/>
          </w:tcPr>
          <w:p>
            <w:pPr>
              <w:pStyle w:val="TableContents"/>
              <w:bidi w:val="0"/>
              <w:spacing w:before="0" w:after="0"/>
              <w:ind w:left="0" w:right="0" w:hanging="0"/>
              <w:jc w:val="left"/>
              <w:rPr/>
            </w:pPr>
            <w:r>
              <w:rPr/>
              <w:t>​</w:t>
            </w:r>
          </w:p>
        </w:tc>
        <w:tc>
          <w:tcPr>
            <w:tcW w:w="30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(8,384)</w:t>
            </w:r>
          </w:p>
        </w:tc>
        <w:tc>
          <w:tcPr>
            <w:tcW w:w="191" w:type="dxa"/>
            <w:tcBorders/>
            <w:vAlign w:val="center"/>
          </w:tcPr>
          <w:p>
            <w:pPr>
              <w:pStyle w:val="TableContents"/>
              <w:bidi w:val="0"/>
              <w:spacing w:before="0" w:after="0"/>
              <w:ind w:left="0" w:right="0" w:hanging="0"/>
              <w:jc w:val="left"/>
              <w:rPr/>
            </w:pPr>
            <w:r>
              <w:rPr/>
              <w:t>​</w:t>
            </w:r>
          </w:p>
        </w:tc>
      </w:tr>
      <w:tr>
        <w:trPr/>
        <w:tc>
          <w:tcPr>
            <w:tcW w:w="6890"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Non-GAAP net income</w:t>
            </w:r>
          </w:p>
        </w:tc>
        <w:tc>
          <w:tcPr>
            <w:tcW w:w="165" w:type="dxa"/>
            <w:tcBorders/>
            <w:shd w:fill="CCEEFF" w:val="clear"/>
            <w:vAlign w:val="center"/>
          </w:tcPr>
          <w:p>
            <w:pPr>
              <w:pStyle w:val="TableContents"/>
              <w:bidi w:val="0"/>
              <w:spacing w:before="0" w:after="0"/>
              <w:ind w:left="0" w:right="0" w:hanging="0"/>
              <w:jc w:val="left"/>
              <w:rPr/>
            </w:pPr>
            <w:r>
              <w:rPr/>
              <w:t>​</w:t>
            </w:r>
          </w:p>
        </w:tc>
        <w:tc>
          <w:tcPr>
            <w:tcW w:w="30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28,741</w:t>
            </w:r>
          </w:p>
        </w:tc>
        <w:tc>
          <w:tcPr>
            <w:tcW w:w="171" w:type="dxa"/>
            <w:tcBorders/>
            <w:shd w:fill="CCEEFF" w:val="clear"/>
            <w:vAlign w:val="center"/>
          </w:tcPr>
          <w:p>
            <w:pPr>
              <w:pStyle w:val="TableContents"/>
              <w:bidi w:val="0"/>
              <w:spacing w:before="0" w:after="0"/>
              <w:ind w:left="0" w:right="0" w:hanging="0"/>
              <w:jc w:val="left"/>
              <w:rPr/>
            </w:pPr>
            <w:r>
              <w:rPr/>
              <w:t>​</w:t>
            </w:r>
          </w:p>
        </w:tc>
        <w:tc>
          <w:tcPr>
            <w:tcW w:w="30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24,494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0014" w:type="dxa"/>
            <w:gridSpan w:val="7"/>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2"/>
              </w:rPr>
              <w:t xml:space="preserve">(1) </w:t>
            </w:r>
            <w:r>
              <w:rPr>
                <w:rFonts w:ascii="Times New Roman;Times;serif" w:hAnsi="Times New Roman;Times;serif"/>
                <w:sz w:val="16"/>
              </w:rPr>
              <w:t>The three months ended March 31, 2026 includes $6,170 in severance costs related to the Value Creation Plan. For further information, refer to Note 15, “Restructuring” to the condensed consolidated financial statements included in this Quarterly Report on Form 10-Q.</w:t>
            </w:r>
          </w:p>
        </w:tc>
        <w:tc>
          <w:tcPr>
            <w:tcW w:w="191" w:type="dxa"/>
            <w:tcBorders/>
            <w:vAlign w:val="center"/>
          </w:tcPr>
          <w:p>
            <w:pPr>
              <w:pStyle w:val="TableContents"/>
              <w:bidi w:val="0"/>
              <w:spacing w:before="0" w:after="0"/>
              <w:ind w:left="0" w:right="0" w:hanging="0"/>
              <w:jc w:val="left"/>
              <w:rPr/>
            </w:pPr>
            <w:r>
              <w:rPr/>
              <w:t>​</w:t>
            </w:r>
          </w:p>
        </w:tc>
      </w:tr>
      <w:tr>
        <w:trPr/>
        <w:tc>
          <w:tcPr>
            <w:tcW w:w="10205" w:type="dxa"/>
            <w:gridSpan w:val="8"/>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2"/>
              </w:rPr>
              <w:t>(2)</w:t>
            </w:r>
            <w:r>
              <w:rPr>
                <w:rFonts w:ascii="Times New Roman;Times;serif" w:hAnsi="Times New Roman;Times;serif"/>
                <w:sz w:val="16"/>
              </w:rPr>
              <w:t xml:space="preserve"> The three months ended March 31, 2026 includes compensation expense recognized related to the Additional Cash Consideration obligation associated with the acquisition of Brinta. For further information, refer to Note 3, “Acquisitions” to the condensed consolidated financial statements included in this Quarterly Report on Form 10-Q.</w:t>
            </w:r>
          </w:p>
        </w:tc>
      </w:tr>
      <w:tr>
        <w:trPr/>
        <w:tc>
          <w:tcPr>
            <w:tcW w:w="10205" w:type="dxa"/>
            <w:gridSpan w:val="8"/>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2"/>
              </w:rPr>
              <w:t>(3)</w:t>
            </w:r>
            <w:r>
              <w:rPr>
                <w:rFonts w:ascii="Times New Roman;Times;serif" w:hAnsi="Times New Roman;Times;serif"/>
                <w:sz w:val="16"/>
              </w:rPr>
              <w:t xml:space="preserve"> The three months ended March 31, 2026 and 2025 include legal expenses associated with pending litigation related to claims the Company has made against a competitor. For further information, refer to Note 12, “Commitments and Contingencies” to the condensed consolidated financial statements included in this Quarterly Report on Form 10-Q. The three months ended March 31, 2026 also includes $2,550 in costs incurred to support the execution of our Value Creation Plan. For further information refer to Note 15, “ Restructuring” to the condensed consolidated financial statements included in this Quarterly Report on Form 10-Q.</w:t>
            </w:r>
          </w:p>
        </w:tc>
      </w:tr>
      <w:tr>
        <w:trPr/>
        <w:tc>
          <w:tcPr>
            <w:tcW w:w="10205" w:type="dxa"/>
            <w:gridSpan w:val="8"/>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2"/>
              </w:rPr>
              <w:t>(4)</w:t>
            </w:r>
            <w:r>
              <w:rPr>
                <w:rFonts w:ascii="Times New Roman;Times;serif" w:hAnsi="Times New Roman;Times;serif"/>
                <w:sz w:val="16"/>
              </w:rPr>
              <w:t xml:space="preserve"> Non-GAAP income before income taxes is adjusted for income taxes using the respective statutory tax rates for applicable jurisdictions, which for purposes of this determination were assumed to be 25.5%.</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critical accounting policies that reflect our more significant judgments and estimates used in the preparation of our condensed consolidated financial statements include revenue recognition and income taxes, which are described in our 2025 Annual Report. There have been no material updates or changes to our critical accounting estimates compared to the critical accounting estimates described in our 2025 Annual Report. </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further information on recent accounting pronouncements, refer to Note 1, “Summary of Significant Accounting Policies” to the condensed consolidated financial statements included in this Quarterly Report on Form 10-Q.</w:t>
      </w:r>
    </w:p>
    <w:p>
      <w:pPr>
        <w:pStyle w:val="Normal"/>
        <w:bidi w:val="0"/>
        <w:spacing w:before="0" w:after="0"/>
        <w:jc w:val="left"/>
        <w:rPr>
          <w:sz w:val="4"/>
          <w:szCs w:val="4"/>
        </w:rPr>
      </w:pPr>
      <w:r>
        <w:rPr>
          <w:sz w:val="4"/>
          <w:szCs w:val="4"/>
        </w:rPr>
      </w:r>
      <w:bookmarkStart w:id="1626" w:name="Item3QUANTITATIVEANDQUALITATIVE_86752"/>
      <w:bookmarkStart w:id="1627" w:name="_ba06f078_9a5c_434b_88a2_d213d2f247ea"/>
      <w:bookmarkStart w:id="1628" w:name="Item3QUANTITATIVEANDQUALITATIVE_86752"/>
      <w:bookmarkStart w:id="1629" w:name="_ba06f078_9a5c_434b_88a2_d213d2f247ea"/>
      <w:bookmarkEnd w:id="1628"/>
      <w:bookmarkEnd w:id="1629"/>
    </w:p>
    <w:tbl>
      <w:tblPr>
        <w:tblW w:w="7847" w:type="dxa"/>
        <w:jc w:val="left"/>
        <w:tblInd w:w="0" w:type="dxa"/>
        <w:tblLayout w:type="fixed"/>
        <w:tblCellMar>
          <w:top w:w="0" w:type="dxa"/>
          <w:left w:w="0" w:type="dxa"/>
          <w:bottom w:w="0" w:type="dxa"/>
          <w:right w:w="0" w:type="dxa"/>
        </w:tblCellMar>
      </w:tblPr>
      <w:tblGrid>
        <w:gridCol w:w="706"/>
        <w:gridCol w:w="7141"/>
      </w:tblGrid>
      <w:tr>
        <w:trPr/>
        <w:tc>
          <w:tcPr>
            <w:tcW w:w="70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3.</w:t>
            </w:r>
          </w:p>
        </w:tc>
        <w:tc>
          <w:tcPr>
            <w:tcW w:w="71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b/>
                <w:sz w:val="20"/>
              </w:rPr>
              <w:t>QUANTITATIVE AND QUALITATIVE DISCLOSURES ABOUT MARKET RISK</w:t>
            </w:r>
            <w:r>
              <w:rPr>
                <w:rFonts w:ascii="Times New Roman;Times;serif" w:hAnsi="Times New Roman;Times;serif"/>
                <w:sz w:val="20"/>
              </w:rPr>
              <w:t xml:space="preserve"> </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sz w:val="20"/>
        </w:rPr>
        <w:t>Interest Rate Risk</w:t>
      </w:r>
      <w:r>
        <w:rPr>
          <w:rFonts w:ascii="Times New Roman;Times;serif" w:hAnsi="Times New Roman;Times;serif"/>
          <w:color w:val="FF0000"/>
          <w:sz w:val="20"/>
        </w:rPr>
        <w:t xml:space="preserv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had unrestricted cash and cash equivalents of $252.5 million and $314.0 million as of March 31, 2026 and December 31, 2025, respectively. We maintain our cash and cash equivalents in deposit accounts and money market funds with various financial institutions. Due to the short-term nature of these instruments, we believe that we do not have any material exposure to changes in the fair value of these investments as a result of changes in interest rates. Increases or declines in interest rates would be expected to augment or reduce future interest income by an insignificant amount.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are exposed to risk related to changes in interest rates on our outstanding borrowings. Borrowings under our Credit Agreement bear interest at rates that are variable. Increases in the bank prime or SOFR rates would increase the interest rate on any future outstanding borrowings. Any debt we incur in the future may also bear interest at variable rates.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Notes have a fixed annual interest rate; therefore, we have no financial or economic interest exposure associated with changes in interest rates. However, the fair value of fixed rate debt instruments fluctuates when interest rates change. Additionally, the fair value of the Notes can be affected when the market price of our common stock fluctuates. We carry the Notes at principal value less unamortized issuance costs on our condensed consolidated balance sheets, and we present fair value for required disclosure purposes only.</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 xml:space="preserve">Foreign Currency Exchange Risk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revenues and expenses are primarily denominated in U.S. Dollars. For our foreign operations, the majority of our revenues and expenses are denominated in other currencies, such as the Canadian Dollar, Euro, British Pound, Swedish Krona, and Brazilian Real. Decreases in the relative value of the U.S. Dollar as compared to these currencies may negatively affect our revenues and other operating results as expressed in U.S. Dollars. For both the three months ended March 31, 2026 and 2025, approximately 4% of our revenues were denominated in currencies other than U.S. Dollars.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have experienced and will continue to experience fluctuations in our net income or loss as a result of transaction gains or losses related to revaluing certain current asset and current liability balances that are denominated in currencies other than the functional currency of the entities in which they are recorded. We have historically recognized immaterial amounts of foreign currency gains and losses in each of the periods presented. We may in the future hedge selected significant transactions denominated in currencies other than the U.S. dollar as we expand our international operations and our risk grows.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630" w:name="Item4CONTROLSANDPROCEDURES_722053"/>
      <w:bookmarkStart w:id="1631" w:name="_f74d19d2_b222_4e4c_b99b_ded42a067da1"/>
      <w:bookmarkStart w:id="1632" w:name="Item4CONTROLSANDPROCEDURES_722053"/>
      <w:bookmarkStart w:id="1633" w:name="_f74d19d2_b222_4e4c_b99b_ded42a067da1"/>
      <w:bookmarkEnd w:id="1632"/>
      <w:bookmarkEnd w:id="1633"/>
    </w:p>
    <w:tbl>
      <w:tblPr>
        <w:tblW w:w="3797" w:type="dxa"/>
        <w:jc w:val="left"/>
        <w:tblInd w:w="0" w:type="dxa"/>
        <w:tblLayout w:type="fixed"/>
        <w:tblCellMar>
          <w:top w:w="0" w:type="dxa"/>
          <w:left w:w="0" w:type="dxa"/>
          <w:bottom w:w="0" w:type="dxa"/>
          <w:right w:w="0" w:type="dxa"/>
        </w:tblCellMar>
      </w:tblPr>
      <w:tblGrid>
        <w:gridCol w:w="706"/>
        <w:gridCol w:w="3091"/>
      </w:tblGrid>
      <w:tr>
        <w:trPr/>
        <w:tc>
          <w:tcPr>
            <w:tcW w:w="70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4.</w:t>
            </w:r>
          </w:p>
        </w:tc>
        <w:tc>
          <w:tcPr>
            <w:tcW w:w="309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b/>
                <w:sz w:val="20"/>
              </w:rPr>
              <w:t>CONTROLS AND PROCEDURES</w:t>
            </w:r>
            <w:r>
              <w:rPr>
                <w:rFonts w:ascii="Times New Roman;Times;serif" w:hAnsi="Times New Roman;Times;serif"/>
                <w:sz w:val="20"/>
              </w:rPr>
              <w:t xml:space="preserve"> </w:t>
            </w:r>
          </w:p>
        </w:tc>
      </w:tr>
    </w:tbl>
    <w:p>
      <w:pPr>
        <w:pStyle w:val="TextBody"/>
        <w:bidi w:val="0"/>
        <w:spacing w:before="0" w:after="240"/>
        <w:ind w:left="0" w:right="0" w:firstLine="36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management, with the participation of our principal executive officer and principal financial officer, evaluated the effectiveness of our disclosure controls and procedures as defined in Rule 13a-15(b) of the Securities Exchange Act of 1934, as amended (the “Exchange Act”).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Based on the evaluation of our disclosure controls and procedures, our principal executive officer and principal financial officer concluded that, as of March 31, 2026, our disclosure controls and procedures were effective at a reasonable assurance level.</w:t>
      </w:r>
    </w:p>
    <w:p>
      <w:pPr>
        <w:pStyle w:val="TextBody"/>
        <w:bidi w:val="0"/>
        <w:spacing w:before="0" w:after="240"/>
        <w:ind w:left="0" w:right="0" w:firstLine="36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There were no changes in our internal control over financial reporting during the period covered by this Quarterly Report on Form 10-Q that materially affected, or are reasonably likely to materially affect, our internal control over financial reporting.</w:t>
      </w:r>
    </w:p>
    <w:p>
      <w:pPr>
        <w:pStyle w:val="TextBody"/>
        <w:bidi w:val="0"/>
        <w:spacing w:before="0" w:after="0"/>
        <w:ind w:left="0" w:right="0" w:firstLine="36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1634" w:name="PARTIIOTHERINFORMATION_466846"/>
      <w:bookmarkEnd w:id="1634"/>
      <w:r>
        <w:rPr>
          <w:rFonts w:ascii="Times New Roman;Times;serif" w:hAnsi="Times New Roman;Times;serif"/>
          <w:b/>
          <w:sz w:val="20"/>
        </w:rPr>
        <w:t>PART II---OTHER INFORMATION</w:t>
      </w:r>
    </w:p>
    <w:p>
      <w:pPr>
        <w:pStyle w:val="TextBody"/>
        <w:bidi w:val="0"/>
        <w:spacing w:before="0" w:after="240"/>
        <w:ind w:left="0" w:right="0" w:hanging="0"/>
        <w:jc w:val="both"/>
        <w:rPr>
          <w:rFonts w:ascii="Times New Roman;Times;serif" w:hAnsi="Times New Roman;Times;serif"/>
          <w:sz w:val="20"/>
        </w:rPr>
      </w:pPr>
      <w:bookmarkStart w:id="1635" w:name="ITEM1LEGALPROCEEDINGS_169419"/>
      <w:bookmarkStart w:id="1636" w:name="_86eda621_ac3a_4501_bd08_72396a9f8a81"/>
      <w:bookmarkEnd w:id="1635"/>
      <w:bookmarkEnd w:id="1636"/>
      <w:r>
        <w:rPr>
          <w:rFonts w:ascii="Times New Roman;Times;serif" w:hAnsi="Times New Roman;Times;serif"/>
          <w:b/>
          <w:sz w:val="20"/>
        </w:rPr>
        <w:t>ITEM 1. LEGAL PROCEEDINGS</w:t>
      </w:r>
      <w:r>
        <w:rPr>
          <w:rFonts w:ascii="Times New Roman;Times;serif" w:hAnsi="Times New Roman;Times;serif"/>
          <w:sz w:val="20"/>
        </w:rPr>
        <w:t xml:space="preserve">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January 25, 2022, we filed a complaint (subsequently amended on February 9, 2022) against Avalara, Inc. (“Avalara”) in the United States District Court for the Eastern District of Pennsylvania. The complaint alleges claims of unfair competition, intentional interference with contractual relations, and trade secret misappropriation against Avalara. We are seeking a permanent injunction to prevent Avalara from further interference with our contractual relations and to prohibit the disclosure in any way of our confidential, proprietary and/or trade secret information. We are also seeking monetary damages, including punitive damages and attorney’s fees. As of March 31, 2026, the matter remains before the Court and trial is scheduled to commence on October 13, 2026. We believe the allegations in the complaint, once proven, are sufficient to prevail in this matter. However, the eventual outcome of the case is subject to a number of uncertainties, and therefore we cannot offer any assurance as to the ultimate impact of this case on our business and operations.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addition to the foregoing matter, from time to time, we may be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w:t>
      </w:r>
    </w:p>
    <w:p>
      <w:pPr>
        <w:pStyle w:val="TextBody"/>
        <w:bidi w:val="0"/>
        <w:spacing w:before="0" w:after="0"/>
        <w:ind w:left="0" w:right="0" w:firstLine="360"/>
        <w:jc w:val="both"/>
        <w:rPr/>
      </w:pPr>
      <w:r>
        <w:rPr/>
        <w:t>​</w:t>
      </w:r>
    </w:p>
    <w:p>
      <w:pPr>
        <w:pStyle w:val="TextBody"/>
        <w:bidi w:val="0"/>
        <w:spacing w:before="0" w:after="240"/>
        <w:ind w:left="0" w:right="0" w:hanging="0"/>
        <w:jc w:val="both"/>
        <w:rPr>
          <w:rFonts w:ascii="Times New Roman;Times;serif" w:hAnsi="Times New Roman;Times;serif"/>
          <w:b/>
          <w:sz w:val="20"/>
        </w:rPr>
      </w:pPr>
      <w:bookmarkStart w:id="1637" w:name="ITEM1ARISKFACTORS_159906"/>
      <w:bookmarkStart w:id="1638" w:name="_58d1ae60_ded3_4fd7_b97c_47e28a9ee529"/>
      <w:bookmarkEnd w:id="1637"/>
      <w:bookmarkEnd w:id="1638"/>
      <w:r>
        <w:rPr>
          <w:rFonts w:ascii="Times New Roman;Times;serif" w:hAnsi="Times New Roman;Times;serif"/>
          <w:b/>
          <w:sz w:val="20"/>
        </w:rPr>
        <w:t>ITEM 1A. RISK FACTORS</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Our cost reduction and restructuring efforts may not achieve their intended benefits and could adversely affect our profitability, financial condition, and results of operations.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has undertaken the Value Creation Plan (the “Plan”) announced in April 2026. The Plan includes a reduction in force of approximately 170 employees across multiple geographies. There can be no assurance that we will achieve the anticipated benefits on the expected timeline, or at all. Implementation costs also might exceed expectations and further cost reduction measures might become necessary, resulting in additional future charges. If these efforts are not properly implemented or are unsuccessful, the Company might experience business disruptions, or our business otherwise might be adversely affected.</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Restructuring activities inherently involve significant risks and uncertainties. The Plan could result in the loss of institutional knowledge and expertise, reduce morale and productivity among our remaining employees, and make it more difficult for us to attract, retain, and motivate key personnel. The Plan may also cause significant disruption to our operations, including our ability to maintain the quality and timeliness of our software solutions and customer support. Changes in our service delivery, product development, and customer success teams could adversely affect our customer relationships, our ability to meet contractual obligations, and the pace of innovation and product enhancements. The Plan could also expose the Company to claims, litigation, or regulatory proceedings related to the workforce reduction, which could be costly and time-consuming and could divert management’s attention. Any of the foregoing risks could materially adversely affect our business, financial condition, and results of operations.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This document incorporates by reference various risk factors discussed in the Company’s 2025 Annual Report, under the heading “Risk Factors”.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There are no additional material changes to the risk factors discussed in these filings. You should carefully consider these risks, together with management’s discussion and analysis of our financial condition and results of operations in conjunction with the condensed consolidated financial statements and the notes thereto included elsewhere in this Quarterly Report on Form 10-Q. If any of the events contemplated should occur, our business, results of operations, financial condition and cash flows could suffer significantly.</w:t>
      </w:r>
    </w:p>
    <w:p>
      <w:pPr>
        <w:pStyle w:val="Normal"/>
        <w:bidi w:val="0"/>
        <w:spacing w:before="0" w:after="0"/>
        <w:jc w:val="left"/>
        <w:rPr>
          <w:sz w:val="4"/>
          <w:szCs w:val="4"/>
        </w:rPr>
      </w:pPr>
      <w:r>
        <w:rPr>
          <w:sz w:val="4"/>
          <w:szCs w:val="4"/>
        </w:rPr>
      </w:r>
      <w:bookmarkStart w:id="1639" w:name="ITEM2UNREGISTEREDSALESOFEQUITYSECURITIES"/>
      <w:bookmarkStart w:id="1640" w:name="_e32ba893_34a8_478c_b8c0_9eb31d91794f"/>
      <w:bookmarkStart w:id="1641" w:name="ITEM2UNREGISTEREDSALESOFEQUITYSECURITIES"/>
      <w:bookmarkStart w:id="1642" w:name="_e32ba893_34a8_478c_b8c0_9eb31d91794f"/>
      <w:bookmarkEnd w:id="1641"/>
      <w:bookmarkEnd w:id="1642"/>
    </w:p>
    <w:tbl>
      <w:tblPr>
        <w:tblW w:w="7817" w:type="dxa"/>
        <w:jc w:val="left"/>
        <w:tblInd w:w="0" w:type="dxa"/>
        <w:tblLayout w:type="fixed"/>
        <w:tblCellMar>
          <w:top w:w="0" w:type="dxa"/>
          <w:left w:w="0" w:type="dxa"/>
          <w:bottom w:w="0" w:type="dxa"/>
          <w:right w:w="0" w:type="dxa"/>
        </w:tblCellMar>
      </w:tblPr>
      <w:tblGrid>
        <w:gridCol w:w="841"/>
        <w:gridCol w:w="6976"/>
      </w:tblGrid>
      <w:tr>
        <w:trPr/>
        <w:tc>
          <w:tcPr>
            <w:tcW w:w="8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2.</w:t>
            </w:r>
          </w:p>
        </w:tc>
        <w:tc>
          <w:tcPr>
            <w:tcW w:w="69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UNREGISTERED SALES OF EQUITY SECURITIES AND USE OF PROCEEDS</w:t>
            </w:r>
          </w:p>
        </w:tc>
      </w:tr>
    </w:tbl>
    <w:p>
      <w:pPr>
        <w:pStyle w:val="TextBody"/>
        <w:bidi w:val="0"/>
        <w:spacing w:lineRule="auto" w:line="314" w:before="0" w:after="0"/>
        <w:ind w:left="60" w:right="59" w:firstLine="324"/>
        <w:jc w:val="both"/>
        <w:rPr>
          <w:rFonts w:ascii="Times New Roman;Times;serif" w:hAnsi="Times New Roman;Times;serif"/>
          <w:sz w:val="20"/>
        </w:rPr>
      </w:pPr>
      <w:r>
        <w:rPr>
          <w:rFonts w:ascii="Times New Roman;Times;serif" w:hAnsi="Times New Roman;Times;serif"/>
          <w:sz w:val="20"/>
        </w:rPr>
        <w:t>The table below presents information with respect to our Class A common stock purchases made during the three months ended March 31, 2026 by us or any "affiliated purchaser", as defined in Rule 10b-18(a)(3) under the Exchange Act:</w:t>
      </w:r>
    </w:p>
    <w:tbl>
      <w:tblPr>
        <w:tblW w:w="10205" w:type="dxa"/>
        <w:jc w:val="left"/>
        <w:tblInd w:w="0" w:type="dxa"/>
        <w:tblLayout w:type="fixed"/>
        <w:tblCellMar>
          <w:top w:w="0" w:type="dxa"/>
          <w:left w:w="0" w:type="dxa"/>
          <w:bottom w:w="0" w:type="dxa"/>
          <w:right w:w="0" w:type="dxa"/>
        </w:tblCellMar>
      </w:tblPr>
      <w:tblGrid>
        <w:gridCol w:w="989"/>
        <w:gridCol w:w="109"/>
        <w:gridCol w:w="1545"/>
        <w:gridCol w:w="109"/>
        <w:gridCol w:w="211"/>
        <w:gridCol w:w="1261"/>
        <w:gridCol w:w="109"/>
        <w:gridCol w:w="2561"/>
        <w:gridCol w:w="109"/>
        <w:gridCol w:w="211"/>
        <w:gridCol w:w="2991"/>
      </w:tblGrid>
      <w:tr>
        <w:trPr/>
        <w:tc>
          <w:tcPr>
            <w:tcW w:w="9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628015" cy="175260"/>
                      <wp:effectExtent l="0" t="0" r="0" b="0"/>
                      <wp:wrapNone/>
                      <wp:docPr id="577" name="Frame577"/>
                      <a:graphic xmlns:a="http://schemas.openxmlformats.org/drawingml/2006/main">
                        <a:graphicData uri="http://schemas.microsoft.com/office/word/2010/wordprocessingShape">
                          <wps:wsp>
                            <wps:cNvSpPr txBox="1"/>
                            <wps:spPr>
                              <a:xfrm>
                                <a:off x="0" y="0"/>
                                <a:ext cx="628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69215" cy="175260"/>
                      <wp:effectExtent l="0" t="0" r="0" b="0"/>
                      <wp:wrapNone/>
                      <wp:docPr id="578" name="Frame5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981075" cy="175260"/>
                      <wp:effectExtent l="0" t="0" r="0" b="0"/>
                      <wp:wrapNone/>
                      <wp:docPr id="579" name="Frame579"/>
                      <a:graphic xmlns:a="http://schemas.openxmlformats.org/drawingml/2006/main">
                        <a:graphicData uri="http://schemas.microsoft.com/office/word/2010/wordprocessingShape">
                          <wps:wsp>
                            <wps:cNvSpPr txBox="1"/>
                            <wps:spPr>
                              <a:xfrm>
                                <a:off x="0" y="0"/>
                                <a:ext cx="981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69215" cy="175260"/>
                      <wp:effectExtent l="0" t="0" r="0" b="0"/>
                      <wp:wrapNone/>
                      <wp:docPr id="580" name="Frame5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133985" cy="175260"/>
                      <wp:effectExtent l="0" t="0" r="0" b="0"/>
                      <wp:wrapNone/>
                      <wp:docPr id="581" name="Frame5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800735" cy="175260"/>
                      <wp:effectExtent l="0" t="0" r="0" b="0"/>
                      <wp:wrapNone/>
                      <wp:docPr id="582" name="Frame582"/>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69215" cy="175260"/>
                      <wp:effectExtent l="0" t="0" r="0" b="0"/>
                      <wp:wrapNone/>
                      <wp:docPr id="583" name="Frame5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1626235" cy="175260"/>
                      <wp:effectExtent l="0" t="0" r="0" b="0"/>
                      <wp:wrapNone/>
                      <wp:docPr id="584" name="Frame584"/>
                      <a:graphic xmlns:a="http://schemas.openxmlformats.org/drawingml/2006/main">
                        <a:graphicData uri="http://schemas.microsoft.com/office/word/2010/wordprocessingShape">
                          <wps:wsp>
                            <wps:cNvSpPr txBox="1"/>
                            <wps:spPr>
                              <a:xfrm>
                                <a:off x="0" y="0"/>
                                <a:ext cx="1626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69215" cy="175260"/>
                      <wp:effectExtent l="0" t="0" r="0" b="0"/>
                      <wp:wrapNone/>
                      <wp:docPr id="585" name="Frame5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133985" cy="175260"/>
                      <wp:effectExtent l="0" t="0" r="0" b="0"/>
                      <wp:wrapNone/>
                      <wp:docPr id="586" name="Frame5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1899285" cy="175260"/>
                      <wp:effectExtent l="0" t="0" r="0" b="0"/>
                      <wp:wrapNone/>
                      <wp:docPr id="587" name="Frame587"/>
                      <a:graphic xmlns:a="http://schemas.openxmlformats.org/drawingml/2006/main">
                        <a:graphicData uri="http://schemas.microsoft.com/office/word/2010/wordprocessingShape">
                          <wps:wsp>
                            <wps:cNvSpPr txBox="1"/>
                            <wps:spPr>
                              <a:xfrm>
                                <a:off x="0" y="0"/>
                                <a:ext cx="189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89"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Period </w:t>
            </w:r>
            <w:r>
              <w:rPr>
                <w:rFonts w:ascii="Times New Roman;Times;serif" w:hAnsi="Times New Roman;Times;serif"/>
                <w:b/>
                <w:sz w:val="12"/>
              </w:rPr>
              <w:t>(1)</w:t>
            </w:r>
          </w:p>
        </w:tc>
        <w:tc>
          <w:tcPr>
            <w:tcW w:w="109" w:type="dxa"/>
            <w:tcBorders/>
            <w:vAlign w:val="center"/>
          </w:tcPr>
          <w:p>
            <w:pPr>
              <w:pStyle w:val="TableContents"/>
              <w:bidi w:val="0"/>
              <w:spacing w:before="0" w:after="0"/>
              <w:ind w:left="0" w:right="0" w:hanging="0"/>
              <w:jc w:val="center"/>
              <w:rPr/>
            </w:pPr>
            <w:r>
              <w:rPr/>
              <w:t>​</w:t>
            </w:r>
          </w:p>
        </w:tc>
        <w:tc>
          <w:tcPr>
            <w:tcW w:w="154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Total Number of Shares Purchased </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Price Paid per Share</w:t>
            </w:r>
          </w:p>
        </w:tc>
        <w:tc>
          <w:tcPr>
            <w:tcW w:w="109" w:type="dxa"/>
            <w:tcBorders/>
            <w:vAlign w:val="center"/>
          </w:tcPr>
          <w:p>
            <w:pPr>
              <w:pStyle w:val="TableContents"/>
              <w:bidi w:val="0"/>
              <w:spacing w:before="0" w:after="0"/>
              <w:ind w:left="0" w:right="0" w:hanging="0"/>
              <w:jc w:val="center"/>
              <w:rPr/>
            </w:pPr>
            <w:r>
              <w:rPr/>
              <w:t>​</w:t>
            </w:r>
          </w:p>
        </w:tc>
        <w:tc>
          <w:tcPr>
            <w:tcW w:w="25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 Shares Purchased as Part of Publicly Announced Program</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2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Maximum Dollar Value of Shares that May Yet Be Purchased Under the Plans at Period End</w:t>
            </w:r>
          </w:p>
        </w:tc>
      </w:tr>
      <w:tr>
        <w:trPr/>
        <w:tc>
          <w:tcPr>
            <w:tcW w:w="98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54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2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5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2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in thousands)</w:t>
            </w:r>
          </w:p>
        </w:tc>
      </w:tr>
      <w:tr>
        <w:trPr/>
        <w:tc>
          <w:tcPr>
            <w:tcW w:w="9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January 1-31</w:t>
            </w:r>
          </w:p>
        </w:tc>
        <w:tc>
          <w:tcPr>
            <w:tcW w:w="109" w:type="dxa"/>
            <w:tcBorders/>
            <w:shd w:fill="CCEEFF" w:val="clear"/>
            <w:vAlign w:val="center"/>
          </w:tcPr>
          <w:p>
            <w:pPr>
              <w:pStyle w:val="TableContents"/>
              <w:bidi w:val="0"/>
              <w:spacing w:before="0" w:after="0"/>
              <w:ind w:left="0" w:right="0" w:hanging="0"/>
              <w:jc w:val="left"/>
              <w:rPr/>
            </w:pPr>
            <w:r>
              <w:rPr/>
              <w:t>​</w:t>
            </w:r>
          </w:p>
        </w:tc>
        <w:tc>
          <w:tcPr>
            <w:tcW w:w="154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139,921</w:t>
            </w:r>
          </w:p>
        </w:tc>
      </w:tr>
      <w:tr>
        <w:trPr/>
        <w:tc>
          <w:tcPr>
            <w:tcW w:w="9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1-28</w:t>
            </w:r>
          </w:p>
        </w:tc>
        <w:tc>
          <w:tcPr>
            <w:tcW w:w="109" w:type="dxa"/>
            <w:tcBorders/>
            <w:vAlign w:val="center"/>
          </w:tcPr>
          <w:p>
            <w:pPr>
              <w:pStyle w:val="TableContents"/>
              <w:bidi w:val="0"/>
              <w:spacing w:before="0" w:after="0"/>
              <w:ind w:left="0" w:right="0" w:hanging="0"/>
              <w:jc w:val="left"/>
              <w:rPr/>
            </w:pPr>
            <w:r>
              <w:rPr/>
              <w:t>​</w:t>
            </w:r>
          </w:p>
        </w:tc>
        <w:tc>
          <w:tcPr>
            <w:tcW w:w="15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340,000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14.54</w:t>
            </w:r>
          </w:p>
        </w:tc>
        <w:tc>
          <w:tcPr>
            <w:tcW w:w="109" w:type="dxa"/>
            <w:tcBorders/>
            <w:vAlign w:val="center"/>
          </w:tcPr>
          <w:p>
            <w:pPr>
              <w:pStyle w:val="TableContents"/>
              <w:bidi w:val="0"/>
              <w:spacing w:before="0" w:after="0"/>
              <w:ind w:left="0" w:right="0" w:hanging="0"/>
              <w:jc w:val="left"/>
              <w:rPr/>
            </w:pPr>
            <w:r>
              <w:rPr/>
              <w:t>​</w:t>
            </w:r>
          </w:p>
        </w:tc>
        <w:tc>
          <w:tcPr>
            <w:tcW w:w="25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340,000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2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134,976</w:t>
            </w:r>
          </w:p>
        </w:tc>
      </w:tr>
      <w:tr>
        <w:trPr/>
        <w:tc>
          <w:tcPr>
            <w:tcW w:w="9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1-31</w:t>
            </w:r>
          </w:p>
        </w:tc>
        <w:tc>
          <w:tcPr>
            <w:tcW w:w="109" w:type="dxa"/>
            <w:tcBorders/>
            <w:shd w:fill="CCEEFF" w:val="clear"/>
            <w:vAlign w:val="center"/>
          </w:tcPr>
          <w:p>
            <w:pPr>
              <w:pStyle w:val="TableContents"/>
              <w:bidi w:val="0"/>
              <w:spacing w:before="0" w:after="0"/>
              <w:ind w:left="0" w:right="0" w:hanging="0"/>
              <w:jc w:val="left"/>
              <w:rPr/>
            </w:pPr>
            <w:r>
              <w:rPr/>
              <w:t>​</w:t>
            </w:r>
          </w:p>
        </w:tc>
        <w:tc>
          <w:tcPr>
            <w:tcW w:w="15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1,030,948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14.60</w:t>
            </w:r>
          </w:p>
        </w:tc>
        <w:tc>
          <w:tcPr>
            <w:tcW w:w="109" w:type="dxa"/>
            <w:tcBorders/>
            <w:shd w:fill="CCEEFF" w:val="clear"/>
            <w:vAlign w:val="center"/>
          </w:tcPr>
          <w:p>
            <w:pPr>
              <w:pStyle w:val="TableContents"/>
              <w:bidi w:val="0"/>
              <w:spacing w:before="0" w:after="0"/>
              <w:ind w:left="0" w:right="0" w:hanging="0"/>
              <w:jc w:val="left"/>
              <w:rPr/>
            </w:pPr>
            <w:r>
              <w:rPr/>
              <w:t>​</w:t>
            </w:r>
          </w:p>
        </w:tc>
        <w:tc>
          <w:tcPr>
            <w:tcW w:w="2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1,030,948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2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119,921</w:t>
            </w:r>
          </w:p>
        </w:tc>
      </w:tr>
      <w:tr>
        <w:trPr/>
        <w:tc>
          <w:tcPr>
            <w:tcW w:w="9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109" w:type="dxa"/>
            <w:tcBorders/>
            <w:vAlign w:val="center"/>
          </w:tcPr>
          <w:p>
            <w:pPr>
              <w:pStyle w:val="TableContents"/>
              <w:bidi w:val="0"/>
              <w:spacing w:before="0" w:after="0"/>
              <w:ind w:left="0" w:right="0" w:hanging="0"/>
              <w:jc w:val="left"/>
              <w:rPr/>
            </w:pPr>
            <w:r>
              <w:rPr/>
              <w:t>​</w:t>
            </w:r>
          </w:p>
        </w:tc>
        <w:tc>
          <w:tcPr>
            <w:tcW w:w="154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1,370,948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14.59</w:t>
            </w:r>
          </w:p>
        </w:tc>
        <w:tc>
          <w:tcPr>
            <w:tcW w:w="109" w:type="dxa"/>
            <w:tcBorders/>
            <w:vAlign w:val="center"/>
          </w:tcPr>
          <w:p>
            <w:pPr>
              <w:pStyle w:val="TableContents"/>
              <w:bidi w:val="0"/>
              <w:spacing w:before="0" w:after="0"/>
              <w:ind w:left="0" w:right="0" w:hanging="0"/>
              <w:jc w:val="left"/>
              <w:rPr/>
            </w:pPr>
            <w:r>
              <w:rPr/>
              <w:t>​</w:t>
            </w:r>
          </w:p>
        </w:tc>
        <w:tc>
          <w:tcPr>
            <w:tcW w:w="25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1,370,948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119,921</w:t>
            </w:r>
          </w:p>
        </w:tc>
      </w:tr>
      <w:tr>
        <w:trPr/>
        <w:tc>
          <w:tcPr>
            <w:tcW w:w="10205" w:type="dxa"/>
            <w:gridSpan w:val="11"/>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2"/>
              </w:rPr>
              <w:t xml:space="preserve">(1) </w:t>
            </w:r>
            <w:r>
              <w:rPr>
                <w:rFonts w:ascii="Times New Roman;Times;serif" w:hAnsi="Times New Roman;Times;serif"/>
                <w:sz w:val="16"/>
              </w:rPr>
              <w:t>On October 30, 2025, the Board authorized a stock repurchase program for up to $150.0 million of the Company's outstanding shares of Class A common stock. The stock repurchase program has no termination date and may be modified, suspended or discontinued at any time.</w:t>
            </w:r>
          </w:p>
        </w:tc>
      </w:tr>
    </w:tbl>
    <w:p>
      <w:pPr>
        <w:pStyle w:val="TextBody"/>
        <w:bidi w:val="0"/>
        <w:spacing w:before="0" w:after="0"/>
        <w:ind w:left="380" w:right="0" w:hanging="0"/>
        <w:jc w:val="left"/>
        <w:rPr/>
      </w:pPr>
      <w:r>
        <w:rPr/>
        <w:t>​</w:t>
      </w:r>
    </w:p>
    <w:p>
      <w:pPr>
        <w:pStyle w:val="TextBody"/>
        <w:bidi w:val="0"/>
        <w:spacing w:before="0" w:after="0"/>
        <w:ind w:left="380" w:right="0" w:hanging="0"/>
        <w:jc w:val="left"/>
        <w:rPr>
          <w:rFonts w:ascii="Times New Roman;Times;serif" w:hAnsi="Times New Roman;Times;serif"/>
          <w:sz w:val="20"/>
        </w:rPr>
      </w:pPr>
      <w:r>
        <w:rPr>
          <w:rFonts w:ascii="Times New Roman;Times;serif" w:hAnsi="Times New Roman;Times;serif"/>
          <w:sz w:val="20"/>
        </w:rPr>
        <w:t>Shares purchased under the repurchase plan do not include shares withheld to satisfy withholding tax obligations.</w:t>
      </w:r>
    </w:p>
    <w:p>
      <w:pPr>
        <w:pStyle w:val="TextBody"/>
        <w:bidi w:val="0"/>
        <w:spacing w:before="0" w:after="0"/>
        <w:ind w:left="380" w:right="0" w:hanging="0"/>
        <w:jc w:val="left"/>
        <w:rPr/>
      </w:pPr>
      <w:r>
        <w:rPr/>
        <w:t>​</w:t>
      </w:r>
    </w:p>
    <w:p>
      <w:pPr>
        <w:pStyle w:val="Normal"/>
        <w:bidi w:val="0"/>
        <w:spacing w:before="0" w:after="0"/>
        <w:jc w:val="left"/>
        <w:rPr>
          <w:sz w:val="4"/>
          <w:szCs w:val="4"/>
        </w:rPr>
      </w:pPr>
      <w:r>
        <w:rPr>
          <w:sz w:val="4"/>
          <w:szCs w:val="4"/>
        </w:rPr>
      </w:r>
      <w:bookmarkStart w:id="1643" w:name="ITEM3DEFAULTSUPONSENIORSECURITIES_573487"/>
      <w:bookmarkStart w:id="1644" w:name="_9c5ed30a_80de_40df_8e69_d1a896b72395"/>
      <w:bookmarkStart w:id="1645" w:name="ITEM3DEFAULTSUPONSENIORSECURITIES_573487"/>
      <w:bookmarkStart w:id="1646" w:name="_9c5ed30a_80de_40df_8e69_d1a896b72395"/>
      <w:bookmarkEnd w:id="1645"/>
      <w:bookmarkEnd w:id="1646"/>
    </w:p>
    <w:tbl>
      <w:tblPr>
        <w:tblW w:w="4607" w:type="dxa"/>
        <w:jc w:val="left"/>
        <w:tblInd w:w="0" w:type="dxa"/>
        <w:tblLayout w:type="fixed"/>
        <w:tblCellMar>
          <w:top w:w="0" w:type="dxa"/>
          <w:left w:w="0" w:type="dxa"/>
          <w:bottom w:w="0" w:type="dxa"/>
          <w:right w:w="0" w:type="dxa"/>
        </w:tblCellMar>
      </w:tblPr>
      <w:tblGrid>
        <w:gridCol w:w="841"/>
        <w:gridCol w:w="3766"/>
      </w:tblGrid>
      <w:tr>
        <w:trPr/>
        <w:tc>
          <w:tcPr>
            <w:tcW w:w="8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3.</w:t>
            </w:r>
          </w:p>
        </w:tc>
        <w:tc>
          <w:tcPr>
            <w:tcW w:w="376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DEFAULTS UPON SENIOR SECURITIES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sz w:val="20"/>
        </w:rPr>
      </w:pPr>
      <w:bookmarkStart w:id="1647" w:name="ITEM4MINESAFETYDISCLOSURES_7256"/>
      <w:bookmarkStart w:id="1648" w:name="_985d2706_d941_486f_9241_f9f4833b41bf"/>
      <w:bookmarkEnd w:id="1647"/>
      <w:bookmarkEnd w:id="1648"/>
      <w:r>
        <w:rPr>
          <w:rFonts w:ascii="Times New Roman;Times;serif" w:hAnsi="Times New Roman;Times;serif"/>
          <w:b/>
          <w:sz w:val="20"/>
        </w:rPr>
        <w:t>ITEM 4</w:t>
      </w:r>
      <w:r>
        <w:rPr>
          <w:rFonts w:ascii="Times New Roman;Times;serif" w:hAnsi="Times New Roman;Times;serif"/>
          <w:sz w:val="20"/>
        </w:rPr>
        <w:t xml:space="preserve">. </w:t>
      </w:r>
      <w:r>
        <w:rPr>
          <w:rFonts w:ascii="Times New Roman;Times;serif" w:hAnsi="Times New Roman;Times;serif"/>
          <w:b/>
          <w:sz w:val="20"/>
        </w:rPr>
        <w:t>MINE SAFETY DISCLOSURES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both"/>
        <w:rPr>
          <w:rFonts w:ascii="Times New Roman;Times;serif" w:hAnsi="Times New Roman;Times;serif"/>
          <w:sz w:val="20"/>
        </w:rPr>
      </w:pPr>
      <w:bookmarkStart w:id="1649" w:name="ITEM5OTHERINFORMATION_591263"/>
      <w:bookmarkStart w:id="1650" w:name="_e1fdd487_129d_4a11_b391_17fa88f49741"/>
      <w:bookmarkEnd w:id="1649"/>
      <w:bookmarkEnd w:id="1650"/>
      <w:r>
        <w:rPr>
          <w:rFonts w:ascii="Times New Roman;Times;serif" w:hAnsi="Times New Roman;Times;serif"/>
          <w:b/>
          <w:sz w:val="20"/>
        </w:rPr>
        <w:t>ITEM 5. OTHER INFORMATION</w:t>
      </w:r>
      <w:r>
        <w:rPr>
          <w:rFonts w:ascii="Times New Roman;Times;serif" w:hAnsi="Times New Roman;Times;serif"/>
          <w:sz w:val="20"/>
        </w:rPr>
        <w:t xml:space="preserv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three months ended March 31, 2026, no director or officer of the Company adopted, modified or terminated a “Rule 10b5-1 trading arrangement” or “non-Rule 10b5-1 trading arrangement,” as each term is defined in Item 408(a) of Regulation S-K.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1651" w:name="ITEM6EXHIBITS_780342"/>
      <w:bookmarkStart w:id="1652" w:name="_695e6879_ccbe_45e9_b3be_0cafeb27b79d"/>
      <w:bookmarkEnd w:id="1651"/>
      <w:bookmarkEnd w:id="1652"/>
      <w:r>
        <w:rPr>
          <w:rFonts w:ascii="Times New Roman;Times;serif" w:hAnsi="Times New Roman;Times;serif"/>
          <w:b/>
          <w:sz w:val="20"/>
        </w:rPr>
        <w:t>ITEM 6. EXHIBITS</w:t>
      </w:r>
    </w:p>
    <w:tbl>
      <w:tblPr>
        <w:tblW w:w="10205" w:type="dxa"/>
        <w:jc w:val="left"/>
        <w:tblInd w:w="0" w:type="dxa"/>
        <w:tblLayout w:type="fixed"/>
        <w:tblCellMar>
          <w:top w:w="0" w:type="dxa"/>
          <w:left w:w="0" w:type="dxa"/>
          <w:bottom w:w="0" w:type="dxa"/>
          <w:right w:w="0" w:type="dxa"/>
        </w:tblCellMar>
      </w:tblPr>
      <w:tblGrid>
        <w:gridCol w:w="717"/>
        <w:gridCol w:w="406"/>
        <w:gridCol w:w="3271"/>
        <w:gridCol w:w="346"/>
        <w:gridCol w:w="511"/>
        <w:gridCol w:w="346"/>
        <w:gridCol w:w="413"/>
        <w:gridCol w:w="346"/>
        <w:gridCol w:w="631"/>
        <w:gridCol w:w="346"/>
        <w:gridCol w:w="526"/>
        <w:gridCol w:w="346"/>
        <w:gridCol w:w="781"/>
        <w:gridCol w:w="346"/>
        <w:gridCol w:w="873"/>
      </w:tblGrid>
      <w:tr>
        <w:trPr/>
        <w:tc>
          <w:tcPr>
            <w:tcW w:w="717" w:type="dxa"/>
            <w:tcBorders/>
            <w:vAlign w:val="center"/>
          </w:tcPr>
          <w:p>
            <w:pPr>
              <w:pStyle w:val="TableHeading"/>
              <w:bidi w:val="0"/>
              <w:spacing w:before="0" w:after="0"/>
              <w:ind w:left="0" w:right="0" w:hanging="0"/>
              <w:jc w:val="left"/>
              <w:rPr/>
            </w:pPr>
            <w:r>
              <w:rPr/>
              <w:t>​</w:t>
            </w:r>
          </w:p>
        </w:tc>
        <w:tc>
          <w:tcPr>
            <w:tcW w:w="406" w:type="dxa"/>
            <w:tcBorders/>
            <w:vAlign w:val="center"/>
          </w:tcPr>
          <w:p>
            <w:pPr>
              <w:pStyle w:val="TableHeading"/>
              <w:bidi w:val="0"/>
              <w:spacing w:before="0" w:after="283"/>
              <w:ind w:left="0" w:right="0" w:hanging="0"/>
              <w:rPr>
                <w:sz w:val="4"/>
                <w:szCs w:val="4"/>
              </w:rPr>
            </w:pPr>
            <w:r>
              <w:rPr>
                <w:sz w:val="4"/>
                <w:szCs w:val="4"/>
              </w:rPr>
            </w:r>
          </w:p>
        </w:tc>
        <w:tc>
          <w:tcPr>
            <w:tcW w:w="3271" w:type="dxa"/>
            <w:tcBorders/>
            <w:vAlign w:val="center"/>
          </w:tcPr>
          <w:p>
            <w:pPr>
              <w:pStyle w:val="TableHeading"/>
              <w:bidi w:val="0"/>
              <w:spacing w:before="0" w:after="283"/>
              <w:ind w:left="0" w:right="0" w:hanging="0"/>
              <w:rPr>
                <w:sz w:val="4"/>
                <w:szCs w:val="4"/>
              </w:rPr>
            </w:pPr>
            <w:r>
              <w:rPr>
                <w:sz w:val="4"/>
                <w:szCs w:val="4"/>
              </w:rPr>
            </w:r>
          </w:p>
        </w:tc>
        <w:tc>
          <w:tcPr>
            <w:tcW w:w="346" w:type="dxa"/>
            <w:tcBorders/>
            <w:vAlign w:val="center"/>
          </w:tcPr>
          <w:p>
            <w:pPr>
              <w:pStyle w:val="TableHeading"/>
              <w:bidi w:val="0"/>
              <w:spacing w:before="0" w:after="283"/>
              <w:ind w:left="0" w:right="0" w:hanging="0"/>
              <w:rPr>
                <w:sz w:val="4"/>
                <w:szCs w:val="4"/>
              </w:rPr>
            </w:pPr>
            <w:r>
              <w:rPr>
                <w:sz w:val="4"/>
                <w:szCs w:val="4"/>
              </w:rPr>
            </w:r>
          </w:p>
        </w:tc>
        <w:tc>
          <w:tcPr>
            <w:tcW w:w="511" w:type="dxa"/>
            <w:tcBorders/>
            <w:vAlign w:val="center"/>
          </w:tcPr>
          <w:p>
            <w:pPr>
              <w:pStyle w:val="TableHeading"/>
              <w:bidi w:val="0"/>
              <w:spacing w:before="0" w:after="283"/>
              <w:ind w:left="0" w:right="0" w:hanging="0"/>
              <w:rPr>
                <w:sz w:val="4"/>
                <w:szCs w:val="4"/>
              </w:rPr>
            </w:pPr>
            <w:r>
              <w:rPr>
                <w:sz w:val="4"/>
                <w:szCs w:val="4"/>
              </w:rPr>
            </w:r>
          </w:p>
        </w:tc>
        <w:tc>
          <w:tcPr>
            <w:tcW w:w="346" w:type="dxa"/>
            <w:tcBorders/>
            <w:vAlign w:val="center"/>
          </w:tcPr>
          <w:p>
            <w:pPr>
              <w:pStyle w:val="TableHeading"/>
              <w:bidi w:val="0"/>
              <w:spacing w:before="0" w:after="283"/>
              <w:ind w:left="0" w:right="0" w:hanging="0"/>
              <w:rPr>
                <w:sz w:val="4"/>
                <w:szCs w:val="4"/>
              </w:rPr>
            </w:pPr>
            <w:r>
              <w:rPr>
                <w:sz w:val="4"/>
                <w:szCs w:val="4"/>
              </w:rPr>
            </w:r>
          </w:p>
        </w:tc>
        <w:tc>
          <w:tcPr>
            <w:tcW w:w="413" w:type="dxa"/>
            <w:tcBorders/>
            <w:vAlign w:val="center"/>
          </w:tcPr>
          <w:p>
            <w:pPr>
              <w:pStyle w:val="TableHeading"/>
              <w:bidi w:val="0"/>
              <w:spacing w:before="0" w:after="283"/>
              <w:ind w:left="0" w:right="0" w:hanging="0"/>
              <w:rPr>
                <w:sz w:val="4"/>
                <w:szCs w:val="4"/>
              </w:rPr>
            </w:pPr>
            <w:r>
              <w:rPr>
                <w:sz w:val="4"/>
                <w:szCs w:val="4"/>
              </w:rPr>
            </w:r>
          </w:p>
        </w:tc>
        <w:tc>
          <w:tcPr>
            <w:tcW w:w="346" w:type="dxa"/>
            <w:tcBorders/>
            <w:vAlign w:val="center"/>
          </w:tcPr>
          <w:p>
            <w:pPr>
              <w:pStyle w:val="TableHeading"/>
              <w:bidi w:val="0"/>
              <w:spacing w:before="0" w:after="283"/>
              <w:ind w:left="0" w:right="0" w:hanging="0"/>
              <w:rPr>
                <w:sz w:val="4"/>
                <w:szCs w:val="4"/>
              </w:rPr>
            </w:pPr>
            <w:r>
              <w:rPr>
                <w:sz w:val="4"/>
                <w:szCs w:val="4"/>
              </w:rPr>
            </w:r>
          </w:p>
        </w:tc>
        <w:tc>
          <w:tcPr>
            <w:tcW w:w="631" w:type="dxa"/>
            <w:tcBorders/>
            <w:vAlign w:val="center"/>
          </w:tcPr>
          <w:p>
            <w:pPr>
              <w:pStyle w:val="TableHeading"/>
              <w:bidi w:val="0"/>
              <w:spacing w:before="0" w:after="283"/>
              <w:ind w:left="0" w:right="0" w:hanging="0"/>
              <w:rPr>
                <w:sz w:val="4"/>
                <w:szCs w:val="4"/>
              </w:rPr>
            </w:pPr>
            <w:r>
              <w:rPr>
                <w:sz w:val="4"/>
                <w:szCs w:val="4"/>
              </w:rPr>
            </w:r>
          </w:p>
        </w:tc>
        <w:tc>
          <w:tcPr>
            <w:tcW w:w="346" w:type="dxa"/>
            <w:tcBorders/>
            <w:vAlign w:val="center"/>
          </w:tcPr>
          <w:p>
            <w:pPr>
              <w:pStyle w:val="TableHeading"/>
              <w:bidi w:val="0"/>
              <w:spacing w:before="0" w:after="283"/>
              <w:ind w:left="0" w:right="0" w:hanging="0"/>
              <w:rPr>
                <w:sz w:val="4"/>
                <w:szCs w:val="4"/>
              </w:rPr>
            </w:pPr>
            <w:r>
              <w:rPr>
                <w:sz w:val="4"/>
                <w:szCs w:val="4"/>
              </w:rPr>
            </w:r>
          </w:p>
        </w:tc>
        <w:tc>
          <w:tcPr>
            <w:tcW w:w="526" w:type="dxa"/>
            <w:tcBorders/>
            <w:vAlign w:val="center"/>
          </w:tcPr>
          <w:p>
            <w:pPr>
              <w:pStyle w:val="TableHeading"/>
              <w:bidi w:val="0"/>
              <w:spacing w:before="0" w:after="283"/>
              <w:ind w:left="0" w:right="0" w:hanging="0"/>
              <w:rPr>
                <w:sz w:val="4"/>
                <w:szCs w:val="4"/>
              </w:rPr>
            </w:pPr>
            <w:r>
              <w:rPr>
                <w:sz w:val="4"/>
                <w:szCs w:val="4"/>
              </w:rPr>
            </w:r>
          </w:p>
        </w:tc>
        <w:tc>
          <w:tcPr>
            <w:tcW w:w="346" w:type="dxa"/>
            <w:tcBorders/>
            <w:vAlign w:val="center"/>
          </w:tcPr>
          <w:p>
            <w:pPr>
              <w:pStyle w:val="TableHeading"/>
              <w:bidi w:val="0"/>
              <w:spacing w:before="0" w:after="283"/>
              <w:ind w:left="0" w:right="0" w:hanging="0"/>
              <w:rPr>
                <w:sz w:val="4"/>
                <w:szCs w:val="4"/>
              </w:rPr>
            </w:pPr>
            <w:r>
              <w:rPr>
                <w:sz w:val="4"/>
                <w:szCs w:val="4"/>
              </w:rPr>
            </w:r>
          </w:p>
        </w:tc>
        <w:tc>
          <w:tcPr>
            <w:tcW w:w="781" w:type="dxa"/>
            <w:tcBorders/>
            <w:vAlign w:val="center"/>
          </w:tcPr>
          <w:p>
            <w:pPr>
              <w:pStyle w:val="TableHeading"/>
              <w:bidi w:val="0"/>
              <w:spacing w:before="0" w:after="283"/>
              <w:ind w:left="0" w:right="0" w:hanging="0"/>
              <w:rPr>
                <w:sz w:val="4"/>
                <w:szCs w:val="4"/>
              </w:rPr>
            </w:pPr>
            <w:r>
              <w:rPr>
                <w:sz w:val="4"/>
                <w:szCs w:val="4"/>
              </w:rPr>
            </w:r>
          </w:p>
        </w:tc>
        <w:tc>
          <w:tcPr>
            <w:tcW w:w="346" w:type="dxa"/>
            <w:tcBorders/>
            <w:vAlign w:val="center"/>
          </w:tcPr>
          <w:p>
            <w:pPr>
              <w:pStyle w:val="TableHeading"/>
              <w:bidi w:val="0"/>
              <w:spacing w:before="0" w:after="283"/>
              <w:ind w:left="0" w:right="0" w:hanging="0"/>
              <w:rPr>
                <w:sz w:val="4"/>
                <w:szCs w:val="4"/>
              </w:rPr>
            </w:pPr>
            <w:r>
              <w:rPr>
                <w:sz w:val="4"/>
                <w:szCs w:val="4"/>
              </w:rPr>
            </w:r>
          </w:p>
        </w:tc>
        <w:tc>
          <w:tcPr>
            <w:tcW w:w="873" w:type="dxa"/>
            <w:tcBorders/>
            <w:vAlign w:val="center"/>
          </w:tcPr>
          <w:p>
            <w:pPr>
              <w:pStyle w:val="TableHeading"/>
              <w:bidi w:val="0"/>
              <w:spacing w:before="0" w:after="283"/>
              <w:ind w:left="0" w:right="0" w:hanging="0"/>
              <w:rPr>
                <w:sz w:val="4"/>
                <w:szCs w:val="4"/>
              </w:rPr>
            </w:pPr>
            <w:r>
              <w:rPr>
                <w:sz w:val="4"/>
                <w:szCs w:val="4"/>
              </w:rPr>
            </w:r>
          </w:p>
        </w:tc>
      </w:tr>
      <w:tr>
        <w:trPr/>
        <w:tc>
          <w:tcPr>
            <w:tcW w:w="717" w:type="dxa"/>
            <w:tcBorders>
              <w:bottom w:val="single" w:sz="8" w:space="0" w:color="000000"/>
            </w:tcBorders>
            <w:tcMar>
              <w:bottom w:w="28" w:type="dxa"/>
            </w:tcMar>
            <w:vAlign w:val="center"/>
          </w:tcPr>
          <w:p>
            <w:pPr>
              <w:pStyle w:val="TableHeading"/>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Exhibit </w:t>
              <w:br/>
              <w:t>Number</w:t>
            </w:r>
          </w:p>
        </w:tc>
        <w:tc>
          <w:tcPr>
            <w:tcW w:w="406" w:type="dxa"/>
            <w:tcBorders>
              <w:bottom w:val="single" w:sz="8" w:space="0" w:color="000000"/>
            </w:tcBorders>
            <w:tcMar>
              <w:bottom w:w="28" w:type="dxa"/>
            </w:tcMar>
            <w:vAlign w:val="center"/>
          </w:tcPr>
          <w:p>
            <w:pPr>
              <w:pStyle w:val="TableHeading"/>
              <w:bidi w:val="0"/>
              <w:spacing w:before="0" w:after="0"/>
              <w:ind w:left="0" w:right="0" w:hanging="0"/>
              <w:jc w:val="left"/>
              <w:rPr/>
            </w:pPr>
            <w:r>
              <w:rPr/>
              <w:t>  ​ ​ ​ ​</w:t>
            </w:r>
          </w:p>
        </w:tc>
        <w:tc>
          <w:tcPr>
            <w:tcW w:w="3271" w:type="dxa"/>
            <w:tcBorders>
              <w:bottom w:val="single" w:sz="8"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Exhibit Description </w:t>
            </w:r>
          </w:p>
        </w:tc>
        <w:tc>
          <w:tcPr>
            <w:tcW w:w="346" w:type="dxa"/>
            <w:tcBorders>
              <w:bottom w:val="single" w:sz="8" w:space="0" w:color="000000"/>
            </w:tcBorders>
            <w:tcMar>
              <w:bottom w:w="28" w:type="dxa"/>
            </w:tcMar>
            <w:vAlign w:val="center"/>
          </w:tcPr>
          <w:p>
            <w:pPr>
              <w:pStyle w:val="TableHeading"/>
              <w:bidi w:val="0"/>
              <w:spacing w:before="0" w:after="0"/>
              <w:ind w:left="0" w:right="0" w:hanging="0"/>
              <w:jc w:val="left"/>
              <w:rPr/>
            </w:pPr>
            <w:r>
              <w:rPr/>
              <w:t>  ​ ​ ​</w:t>
            </w:r>
          </w:p>
        </w:tc>
        <w:tc>
          <w:tcPr>
            <w:tcW w:w="511" w:type="dxa"/>
            <w:tcBorders>
              <w:bottom w:val="single" w:sz="8"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346" w:type="dxa"/>
            <w:tcBorders>
              <w:bottom w:val="single" w:sz="8" w:space="0" w:color="000000"/>
            </w:tcBorders>
            <w:tcMar>
              <w:bottom w:w="28" w:type="dxa"/>
            </w:tcMar>
            <w:vAlign w:val="center"/>
          </w:tcPr>
          <w:p>
            <w:pPr>
              <w:pStyle w:val="TableHeading"/>
              <w:bidi w:val="0"/>
              <w:spacing w:before="0" w:after="0"/>
              <w:ind w:left="0" w:right="0" w:hanging="0"/>
              <w:jc w:val="left"/>
              <w:rPr/>
            </w:pPr>
            <w:r>
              <w:rPr/>
              <w:t>  ​ ​ ​</w:t>
            </w:r>
          </w:p>
        </w:tc>
        <w:tc>
          <w:tcPr>
            <w:tcW w:w="413" w:type="dxa"/>
            <w:tcBorders>
              <w:bottom w:val="single" w:sz="8"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 No.</w:t>
            </w:r>
          </w:p>
        </w:tc>
        <w:tc>
          <w:tcPr>
            <w:tcW w:w="346" w:type="dxa"/>
            <w:tcBorders>
              <w:bottom w:val="single" w:sz="8" w:space="0" w:color="000000"/>
            </w:tcBorders>
            <w:tcMar>
              <w:bottom w:w="28" w:type="dxa"/>
            </w:tcMar>
            <w:vAlign w:val="center"/>
          </w:tcPr>
          <w:p>
            <w:pPr>
              <w:pStyle w:val="TableHeading"/>
              <w:bidi w:val="0"/>
              <w:spacing w:before="0" w:after="0"/>
              <w:ind w:left="0" w:right="0" w:hanging="0"/>
              <w:jc w:val="left"/>
              <w:rPr/>
            </w:pPr>
            <w:r>
              <w:rPr/>
              <w:t>  ​ ​ ​</w:t>
            </w:r>
          </w:p>
        </w:tc>
        <w:tc>
          <w:tcPr>
            <w:tcW w:w="631" w:type="dxa"/>
            <w:tcBorders>
              <w:bottom w:val="single" w:sz="8"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c>
          <w:tcPr>
            <w:tcW w:w="346" w:type="dxa"/>
            <w:tcBorders>
              <w:bottom w:val="single" w:sz="8" w:space="0" w:color="000000"/>
            </w:tcBorders>
            <w:tcMar>
              <w:bottom w:w="28" w:type="dxa"/>
            </w:tcMar>
            <w:vAlign w:val="center"/>
          </w:tcPr>
          <w:p>
            <w:pPr>
              <w:pStyle w:val="TableHeading"/>
              <w:bidi w:val="0"/>
              <w:spacing w:before="0" w:after="0"/>
              <w:ind w:left="0" w:right="0" w:hanging="0"/>
              <w:jc w:val="left"/>
              <w:rPr/>
            </w:pPr>
            <w:r>
              <w:rPr/>
              <w:t>  ​ ​ ​</w:t>
            </w:r>
          </w:p>
        </w:tc>
        <w:tc>
          <w:tcPr>
            <w:tcW w:w="526" w:type="dxa"/>
            <w:tcBorders>
              <w:bottom w:val="single" w:sz="8"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Filing</w:t>
              <w:br/>
              <w:t>Date</w:t>
            </w:r>
          </w:p>
        </w:tc>
        <w:tc>
          <w:tcPr>
            <w:tcW w:w="346" w:type="dxa"/>
            <w:tcBorders>
              <w:bottom w:val="single" w:sz="8" w:space="0" w:color="000000"/>
            </w:tcBorders>
            <w:tcMar>
              <w:bottom w:w="28" w:type="dxa"/>
            </w:tcMar>
            <w:vAlign w:val="center"/>
          </w:tcPr>
          <w:p>
            <w:pPr>
              <w:pStyle w:val="TableHeading"/>
              <w:bidi w:val="0"/>
              <w:spacing w:before="0" w:after="0"/>
              <w:ind w:left="0" w:right="0" w:hanging="0"/>
              <w:jc w:val="left"/>
              <w:rPr/>
            </w:pPr>
            <w:r>
              <w:rPr/>
              <w:t>  ​ ​ ​</w:t>
            </w:r>
          </w:p>
        </w:tc>
        <w:tc>
          <w:tcPr>
            <w:tcW w:w="781" w:type="dxa"/>
            <w:tcBorders>
              <w:bottom w:val="single" w:sz="8"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Filed</w:t>
              <w:br/>
              <w:t>Herewith</w:t>
            </w:r>
          </w:p>
        </w:tc>
        <w:tc>
          <w:tcPr>
            <w:tcW w:w="346" w:type="dxa"/>
            <w:tcBorders>
              <w:bottom w:val="single" w:sz="8" w:space="0" w:color="000000"/>
            </w:tcBorders>
            <w:tcMar>
              <w:bottom w:w="28" w:type="dxa"/>
            </w:tcMar>
            <w:vAlign w:val="center"/>
          </w:tcPr>
          <w:p>
            <w:pPr>
              <w:pStyle w:val="TableHeading"/>
              <w:bidi w:val="0"/>
              <w:spacing w:before="0" w:after="0"/>
              <w:ind w:left="0" w:right="0" w:hanging="0"/>
              <w:jc w:val="left"/>
              <w:rPr/>
            </w:pPr>
            <w:r>
              <w:rPr/>
              <w:t>  ​ ​ ​</w:t>
            </w:r>
          </w:p>
        </w:tc>
        <w:tc>
          <w:tcPr>
            <w:tcW w:w="873" w:type="dxa"/>
            <w:tcBorders>
              <w:bottom w:val="single" w:sz="8"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Furnished</w:t>
              <w:br/>
              <w:t>Herewith</w:t>
            </w:r>
          </w:p>
        </w:tc>
      </w:tr>
      <w:tr>
        <w:trPr/>
        <w:tc>
          <w:tcPr>
            <w:tcW w:w="717" w:type="dxa"/>
            <w:tcBorders/>
            <w:vAlign w:val="center"/>
          </w:tcPr>
          <w:p>
            <w:pPr>
              <w:pStyle w:val="TableContents"/>
              <w:bidi w:val="0"/>
              <w:spacing w:before="0" w:after="0"/>
              <w:ind w:left="0" w:right="0" w:hanging="0"/>
              <w:jc w:val="left"/>
              <w:rPr/>
            </w:pPr>
            <w:hyperlink w:anchor="verx-20260331xex31d1.htm">
              <w:r>
                <w:rPr>
                  <w:rStyle w:val="InternetLink"/>
                  <w:rFonts w:ascii="Times New Roman;Times;serif" w:hAnsi="Times New Roman;Times;serif"/>
                  <w:b w:val="false"/>
                  <w:i w:val="false"/>
                  <w:caps w:val="false"/>
                  <w:smallCaps w:val="false"/>
                  <w:sz w:val="20"/>
                </w:rPr>
                <w:t>31.1</w:t>
              </w:r>
            </w:hyperlink>
          </w:p>
        </w:tc>
        <w:tc>
          <w:tcPr>
            <w:tcW w:w="406" w:type="dxa"/>
            <w:tcBorders/>
            <w:vAlign w:val="center"/>
          </w:tcPr>
          <w:p>
            <w:pPr>
              <w:pStyle w:val="TableContents"/>
              <w:bidi w:val="0"/>
              <w:spacing w:before="0" w:after="0"/>
              <w:ind w:left="0" w:right="0" w:hanging="0"/>
              <w:jc w:val="both"/>
              <w:rPr/>
            </w:pPr>
            <w:r>
              <w:rPr/>
              <w:t>​</w:t>
            </w:r>
          </w:p>
        </w:tc>
        <w:tc>
          <w:tcPr>
            <w:tcW w:w="3271" w:type="dxa"/>
            <w:tcBorders/>
            <w:vAlign w:val="center"/>
          </w:tcPr>
          <w:p>
            <w:pPr>
              <w:pStyle w:val="TableContents"/>
              <w:bidi w:val="0"/>
              <w:spacing w:before="0" w:after="0"/>
              <w:ind w:left="0" w:right="0" w:hanging="0"/>
              <w:jc w:val="left"/>
              <w:rPr/>
            </w:pPr>
            <w:hyperlink w:anchor="verx-20260331xex31d1.htm">
              <w:r>
                <w:rPr>
                  <w:rStyle w:val="InternetLink"/>
                  <w:rFonts w:ascii="Times New Roman;Times;serif" w:hAnsi="Times New Roman;Times;serif"/>
                  <w:b w:val="false"/>
                  <w:i w:val="false"/>
                  <w:caps w:val="false"/>
                  <w:smallCaps w:val="false"/>
                  <w:sz w:val="20"/>
                </w:rPr>
                <w:t>Certification of Principal Executive Officer Pursuant to Rules 13a-14(a) and 15d-14(a) under the Securities Exchange Act of 1934, as Adopted Pursuant to Section 302 of the Sarbanes-Oxley Act of 2002</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1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34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center"/>
              <w:rPr/>
            </w:pPr>
            <w:r>
              <w:rPr/>
              <w:t>​</w:t>
            </w:r>
          </w:p>
        </w:tc>
      </w:tr>
      <w:tr>
        <w:trPr/>
        <w:tc>
          <w:tcPr>
            <w:tcW w:w="717" w:type="dxa"/>
            <w:tcBorders/>
            <w:vAlign w:val="center"/>
          </w:tcPr>
          <w:p>
            <w:pPr>
              <w:pStyle w:val="TableContents"/>
              <w:bidi w:val="0"/>
              <w:spacing w:before="0" w:after="0"/>
              <w:ind w:left="0" w:right="0" w:hanging="0"/>
              <w:jc w:val="left"/>
              <w:rPr/>
            </w:pPr>
            <w:hyperlink w:anchor="verx-20260331xex31d2.htm">
              <w:r>
                <w:rPr>
                  <w:rStyle w:val="InternetLink"/>
                  <w:rFonts w:ascii="Times New Roman;Times;serif" w:hAnsi="Times New Roman;Times;serif"/>
                  <w:b w:val="false"/>
                  <w:i w:val="false"/>
                  <w:caps w:val="false"/>
                  <w:smallCaps w:val="false"/>
                  <w:sz w:val="20"/>
                </w:rPr>
                <w:t>31.2</w:t>
              </w:r>
            </w:hyperlink>
          </w:p>
        </w:tc>
        <w:tc>
          <w:tcPr>
            <w:tcW w:w="406" w:type="dxa"/>
            <w:tcBorders/>
            <w:vAlign w:val="center"/>
          </w:tcPr>
          <w:p>
            <w:pPr>
              <w:pStyle w:val="TableContents"/>
              <w:bidi w:val="0"/>
              <w:spacing w:before="0" w:after="0"/>
              <w:ind w:left="0" w:right="0" w:hanging="0"/>
              <w:jc w:val="both"/>
              <w:rPr/>
            </w:pPr>
            <w:r>
              <w:rPr/>
              <w:t> </w:t>
            </w:r>
          </w:p>
        </w:tc>
        <w:tc>
          <w:tcPr>
            <w:tcW w:w="3271" w:type="dxa"/>
            <w:tcBorders/>
            <w:vAlign w:val="center"/>
          </w:tcPr>
          <w:p>
            <w:pPr>
              <w:pStyle w:val="TableContents"/>
              <w:bidi w:val="0"/>
              <w:spacing w:before="0" w:after="0"/>
              <w:ind w:left="0" w:right="0" w:hanging="0"/>
              <w:jc w:val="left"/>
              <w:rPr/>
            </w:pPr>
            <w:hyperlink w:anchor="verx-20260331xex31d2.htm">
              <w:r>
                <w:rPr>
                  <w:rStyle w:val="InternetLink"/>
                  <w:rFonts w:ascii="Times New Roman;Times;serif" w:hAnsi="Times New Roman;Times;serif"/>
                  <w:b w:val="false"/>
                  <w:i w:val="false"/>
                  <w:caps w:val="false"/>
                  <w:smallCaps w:val="false"/>
                  <w:sz w:val="20"/>
                </w:rPr>
                <w:t>Certification of Principal Financial Officer Pursuant to Rules 13a-14(a) and 15d-14(a) under the Securities Exchange Act of 1934, as Adopted Pursuant to Section 302 of the Sarbanes-Oxley Act of 2002</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1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34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center"/>
              <w:rPr/>
            </w:pPr>
            <w:r>
              <w:rPr/>
              <w:t>​</w:t>
            </w:r>
          </w:p>
        </w:tc>
      </w:tr>
      <w:tr>
        <w:trPr/>
        <w:tc>
          <w:tcPr>
            <w:tcW w:w="717" w:type="dxa"/>
            <w:tcBorders/>
            <w:vAlign w:val="center"/>
          </w:tcPr>
          <w:p>
            <w:pPr>
              <w:pStyle w:val="TableContents"/>
              <w:bidi w:val="0"/>
              <w:spacing w:before="0" w:after="0"/>
              <w:ind w:left="0" w:right="0" w:hanging="0"/>
              <w:jc w:val="left"/>
              <w:rPr/>
            </w:pPr>
            <w:hyperlink w:anchor="verx-20260331xex32d1.htm">
              <w:r>
                <w:rPr>
                  <w:rStyle w:val="InternetLink"/>
                  <w:rFonts w:ascii="Times New Roman;Times;serif" w:hAnsi="Times New Roman;Times;serif"/>
                  <w:b w:val="false"/>
                  <w:i w:val="false"/>
                  <w:caps w:val="false"/>
                  <w:smallCaps w:val="false"/>
                  <w:sz w:val="20"/>
                </w:rPr>
                <w:t>32.1</w:t>
              </w:r>
            </w:hyperlink>
          </w:p>
        </w:tc>
        <w:tc>
          <w:tcPr>
            <w:tcW w:w="406" w:type="dxa"/>
            <w:tcBorders/>
            <w:vAlign w:val="center"/>
          </w:tcPr>
          <w:p>
            <w:pPr>
              <w:pStyle w:val="TableContents"/>
              <w:bidi w:val="0"/>
              <w:spacing w:before="0" w:after="0"/>
              <w:ind w:left="0" w:right="0" w:hanging="0"/>
              <w:jc w:val="both"/>
              <w:rPr/>
            </w:pPr>
            <w:r>
              <w:rPr/>
              <w:t> </w:t>
            </w:r>
          </w:p>
        </w:tc>
        <w:tc>
          <w:tcPr>
            <w:tcW w:w="3271" w:type="dxa"/>
            <w:tcBorders/>
            <w:vAlign w:val="center"/>
          </w:tcPr>
          <w:p>
            <w:pPr>
              <w:pStyle w:val="TableContents"/>
              <w:bidi w:val="0"/>
              <w:spacing w:before="0" w:after="0"/>
              <w:ind w:left="0" w:right="0" w:hanging="0"/>
              <w:jc w:val="left"/>
              <w:rPr/>
            </w:pPr>
            <w:hyperlink w:anchor="verx-20260331xex32d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1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r>
      <w:tr>
        <w:trPr/>
        <w:tc>
          <w:tcPr>
            <w:tcW w:w="717" w:type="dxa"/>
            <w:tcBorders/>
            <w:vAlign w:val="center"/>
          </w:tcPr>
          <w:p>
            <w:pPr>
              <w:pStyle w:val="TableContents"/>
              <w:bidi w:val="0"/>
              <w:spacing w:before="0" w:after="0"/>
              <w:ind w:left="0" w:right="0" w:hanging="0"/>
              <w:jc w:val="left"/>
              <w:rPr/>
            </w:pPr>
            <w:hyperlink w:anchor="verx-20260331xex32d2.htm">
              <w:r>
                <w:rPr>
                  <w:rStyle w:val="InternetLink"/>
                  <w:rFonts w:ascii="Times New Roman;Times;serif" w:hAnsi="Times New Roman;Times;serif"/>
                  <w:b w:val="false"/>
                  <w:i w:val="false"/>
                  <w:caps w:val="false"/>
                  <w:smallCaps w:val="false"/>
                  <w:sz w:val="20"/>
                </w:rPr>
                <w:t>32.2</w:t>
              </w:r>
            </w:hyperlink>
          </w:p>
        </w:tc>
        <w:tc>
          <w:tcPr>
            <w:tcW w:w="406" w:type="dxa"/>
            <w:tcBorders/>
            <w:vAlign w:val="center"/>
          </w:tcPr>
          <w:p>
            <w:pPr>
              <w:pStyle w:val="TableContents"/>
              <w:bidi w:val="0"/>
              <w:spacing w:before="0" w:after="0"/>
              <w:ind w:left="0" w:right="0" w:hanging="0"/>
              <w:jc w:val="both"/>
              <w:rPr/>
            </w:pPr>
            <w:r>
              <w:rPr/>
              <w:t> </w:t>
            </w:r>
          </w:p>
        </w:tc>
        <w:tc>
          <w:tcPr>
            <w:tcW w:w="3271" w:type="dxa"/>
            <w:tcBorders/>
            <w:vAlign w:val="center"/>
          </w:tcPr>
          <w:p>
            <w:pPr>
              <w:pStyle w:val="TableContents"/>
              <w:bidi w:val="0"/>
              <w:spacing w:before="0" w:after="0"/>
              <w:ind w:left="0" w:right="0" w:hanging="0"/>
              <w:jc w:val="left"/>
              <w:rPr/>
            </w:pPr>
            <w:hyperlink w:anchor="verx-20260331xex32d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1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r>
      <w:tr>
        <w:trPr/>
        <w:tc>
          <w:tcPr>
            <w:tcW w:w="71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101.INS</w:t>
            </w:r>
          </w:p>
        </w:tc>
        <w:tc>
          <w:tcPr>
            <w:tcW w:w="406" w:type="dxa"/>
            <w:tcBorders/>
            <w:vAlign w:val="center"/>
          </w:tcPr>
          <w:p>
            <w:pPr>
              <w:pStyle w:val="TableContents"/>
              <w:bidi w:val="0"/>
              <w:spacing w:before="0" w:after="0"/>
              <w:ind w:left="0" w:right="0" w:hanging="0"/>
              <w:jc w:val="both"/>
              <w:rPr/>
            </w:pPr>
            <w:r>
              <w:rPr/>
              <w:t> </w:t>
            </w:r>
          </w:p>
        </w:tc>
        <w:tc>
          <w:tcPr>
            <w:tcW w:w="32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Instance Document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1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34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283"/>
              <w:ind w:left="0" w:right="0" w:hanging="0"/>
              <w:jc w:val="left"/>
              <w:rPr>
                <w:sz w:val="4"/>
                <w:szCs w:val="4"/>
              </w:rPr>
            </w:pPr>
            <w:r>
              <w:rPr>
                <w:sz w:val="4"/>
                <w:szCs w:val="4"/>
              </w:rPr>
            </w:r>
          </w:p>
        </w:tc>
      </w:tr>
      <w:tr>
        <w:trPr/>
        <w:tc>
          <w:tcPr>
            <w:tcW w:w="71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101.SCH</w:t>
            </w:r>
          </w:p>
        </w:tc>
        <w:tc>
          <w:tcPr>
            <w:tcW w:w="406" w:type="dxa"/>
            <w:tcBorders/>
            <w:vAlign w:val="center"/>
          </w:tcPr>
          <w:p>
            <w:pPr>
              <w:pStyle w:val="TableContents"/>
              <w:bidi w:val="0"/>
              <w:spacing w:before="0" w:after="0"/>
              <w:ind w:left="0" w:right="0" w:hanging="0"/>
              <w:jc w:val="both"/>
              <w:rPr/>
            </w:pPr>
            <w:r>
              <w:rPr/>
              <w:t> </w:t>
            </w:r>
          </w:p>
        </w:tc>
        <w:tc>
          <w:tcPr>
            <w:tcW w:w="32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Schema Document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1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34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center"/>
              <w:rPr/>
            </w:pPr>
            <w:r>
              <w:rPr/>
              <w:t>​</w:t>
            </w:r>
          </w:p>
        </w:tc>
      </w:tr>
      <w:tr>
        <w:trPr/>
        <w:tc>
          <w:tcPr>
            <w:tcW w:w="71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101.CAL</w:t>
            </w:r>
          </w:p>
        </w:tc>
        <w:tc>
          <w:tcPr>
            <w:tcW w:w="406" w:type="dxa"/>
            <w:tcBorders/>
            <w:vAlign w:val="center"/>
          </w:tcPr>
          <w:p>
            <w:pPr>
              <w:pStyle w:val="TableContents"/>
              <w:bidi w:val="0"/>
              <w:spacing w:before="0" w:after="0"/>
              <w:ind w:left="0" w:right="0" w:hanging="0"/>
              <w:jc w:val="both"/>
              <w:rPr/>
            </w:pPr>
            <w:r>
              <w:rPr/>
              <w:t> </w:t>
            </w:r>
          </w:p>
        </w:tc>
        <w:tc>
          <w:tcPr>
            <w:tcW w:w="32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Calculation Linkbase Document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1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34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center"/>
              <w:rPr/>
            </w:pPr>
            <w:r>
              <w:rPr/>
              <w:t>​</w:t>
            </w:r>
          </w:p>
        </w:tc>
      </w:tr>
      <w:tr>
        <w:trPr/>
        <w:tc>
          <w:tcPr>
            <w:tcW w:w="71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101.DEF</w:t>
            </w:r>
          </w:p>
        </w:tc>
        <w:tc>
          <w:tcPr>
            <w:tcW w:w="406" w:type="dxa"/>
            <w:tcBorders/>
            <w:vAlign w:val="center"/>
          </w:tcPr>
          <w:p>
            <w:pPr>
              <w:pStyle w:val="TableContents"/>
              <w:bidi w:val="0"/>
              <w:spacing w:before="0" w:after="0"/>
              <w:ind w:left="0" w:right="0" w:hanging="0"/>
              <w:jc w:val="both"/>
              <w:rPr/>
            </w:pPr>
            <w:r>
              <w:rPr/>
              <w:t> </w:t>
            </w:r>
          </w:p>
        </w:tc>
        <w:tc>
          <w:tcPr>
            <w:tcW w:w="32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Definition Linkbase Document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1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34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center"/>
              <w:rPr/>
            </w:pPr>
            <w:r>
              <w:rPr/>
              <w:t>​</w:t>
            </w:r>
          </w:p>
        </w:tc>
      </w:tr>
      <w:tr>
        <w:trPr/>
        <w:tc>
          <w:tcPr>
            <w:tcW w:w="71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101.LAB</w:t>
            </w:r>
          </w:p>
        </w:tc>
        <w:tc>
          <w:tcPr>
            <w:tcW w:w="406" w:type="dxa"/>
            <w:tcBorders/>
            <w:vAlign w:val="center"/>
          </w:tcPr>
          <w:p>
            <w:pPr>
              <w:pStyle w:val="TableContents"/>
              <w:bidi w:val="0"/>
              <w:spacing w:before="0" w:after="0"/>
              <w:ind w:left="0" w:right="0" w:hanging="0"/>
              <w:jc w:val="both"/>
              <w:rPr/>
            </w:pPr>
            <w:r>
              <w:rPr/>
              <w:t> </w:t>
            </w:r>
          </w:p>
        </w:tc>
        <w:tc>
          <w:tcPr>
            <w:tcW w:w="32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Label Linkbase Document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1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34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center"/>
              <w:rPr/>
            </w:pPr>
            <w:r>
              <w:rPr/>
              <w:t>​</w:t>
            </w:r>
          </w:p>
        </w:tc>
      </w:tr>
      <w:tr>
        <w:trPr/>
        <w:tc>
          <w:tcPr>
            <w:tcW w:w="71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101.PRE</w:t>
            </w:r>
          </w:p>
        </w:tc>
        <w:tc>
          <w:tcPr>
            <w:tcW w:w="406" w:type="dxa"/>
            <w:tcBorders/>
            <w:vAlign w:val="center"/>
          </w:tcPr>
          <w:p>
            <w:pPr>
              <w:pStyle w:val="TableContents"/>
              <w:bidi w:val="0"/>
              <w:spacing w:before="0" w:after="0"/>
              <w:ind w:left="0" w:right="0" w:hanging="0"/>
              <w:jc w:val="both"/>
              <w:rPr/>
            </w:pPr>
            <w:r>
              <w:rPr/>
              <w:t> </w:t>
            </w:r>
          </w:p>
        </w:tc>
        <w:tc>
          <w:tcPr>
            <w:tcW w:w="32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Presentation Linkbase Document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1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34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center"/>
              <w:rPr/>
            </w:pPr>
            <w:r>
              <w:rPr/>
              <w:t>​</w:t>
            </w:r>
          </w:p>
        </w:tc>
      </w:tr>
      <w:tr>
        <w:trPr/>
        <w:tc>
          <w:tcPr>
            <w:tcW w:w="71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104</w:t>
            </w:r>
          </w:p>
        </w:tc>
        <w:tc>
          <w:tcPr>
            <w:tcW w:w="406" w:type="dxa"/>
            <w:tcBorders/>
            <w:vAlign w:val="center"/>
          </w:tcPr>
          <w:p>
            <w:pPr>
              <w:pStyle w:val="TableContents"/>
              <w:bidi w:val="0"/>
              <w:spacing w:before="0" w:after="0"/>
              <w:ind w:left="0" w:right="0" w:hanging="0"/>
              <w:jc w:val="both"/>
              <w:rPr/>
            </w:pPr>
            <w:r>
              <w:rPr/>
              <w:t>​</w:t>
            </w:r>
          </w:p>
        </w:tc>
        <w:tc>
          <w:tcPr>
            <w:tcW w:w="32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Cover Page Interactive Data File (formatted as inline XBRL and contained in Exhibit 101)</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1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1653" w:name="SIGNATURES_99336"/>
      <w:bookmarkStart w:id="1654" w:name="_5d28e0dc_0f79_47a0_8a06_140089e36fd4"/>
      <w:bookmarkEnd w:id="1653"/>
      <w:bookmarkEnd w:id="1654"/>
      <w:r>
        <w:rPr>
          <w:rFonts w:ascii="Times New Roman;Times;serif" w:hAnsi="Times New Roman;Times;serif"/>
          <w:b/>
          <w:sz w:val="20"/>
        </w:rPr>
        <w:t>SIGNATURES</w:t>
      </w:r>
    </w:p>
    <w:p>
      <w:pPr>
        <w:pStyle w:val="TextBody"/>
        <w:bidi w:val="0"/>
        <w:spacing w:before="0" w:after="0"/>
        <w:ind w:left="0" w:right="0" w:hanging="0"/>
        <w:jc w:val="center"/>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w:t>
      </w:r>
    </w:p>
    <w:tbl>
      <w:tblPr>
        <w:tblW w:w="7894" w:type="dxa"/>
        <w:jc w:val="left"/>
        <w:tblInd w:w="0" w:type="dxa"/>
        <w:tblLayout w:type="fixed"/>
        <w:tblCellMar>
          <w:top w:w="0" w:type="dxa"/>
          <w:left w:w="0" w:type="dxa"/>
          <w:bottom w:w="0" w:type="dxa"/>
          <w:right w:w="0" w:type="dxa"/>
        </w:tblCellMar>
      </w:tblPr>
      <w:tblGrid>
        <w:gridCol w:w="1636"/>
        <w:gridCol w:w="286"/>
        <w:gridCol w:w="406"/>
        <w:gridCol w:w="5566"/>
      </w:tblGrid>
      <w:tr>
        <w:trPr/>
        <w:tc>
          <w:tcPr>
            <w:tcW w:w="1636" w:type="dxa"/>
            <w:tcBorders/>
            <w:vAlign w:val="center"/>
          </w:tcPr>
          <w:p>
            <w:pPr>
              <w:pStyle w:val="TableContents"/>
              <w:bidi w:val="0"/>
              <w:spacing w:before="0" w:after="283"/>
              <w:ind w:left="0" w:right="0" w:hanging="0"/>
              <w:jc w:val="left"/>
              <w:rPr>
                <w:sz w:val="4"/>
                <w:szCs w:val="4"/>
              </w:rPr>
            </w:pPr>
            <w:r>
              <w:rPr>
                <w:sz w:val="4"/>
                <w:szCs w:val="4"/>
              </w:rPr>
            </w:r>
          </w:p>
        </w:tc>
        <w:tc>
          <w:tcPr>
            <w:tcW w:w="2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5566" w:type="dxa"/>
            <w:tcBorders/>
            <w:vAlign w:val="center"/>
          </w:tcPr>
          <w:p>
            <w:pPr>
              <w:pStyle w:val="TableContents"/>
              <w:bidi w:val="0"/>
              <w:spacing w:before="0" w:after="283"/>
              <w:ind w:left="0" w:right="0" w:hanging="0"/>
              <w:jc w:val="left"/>
              <w:rPr>
                <w:sz w:val="4"/>
                <w:szCs w:val="4"/>
              </w:rPr>
            </w:pPr>
            <w:r>
              <w:rPr>
                <w:sz w:val="4"/>
                <w:szCs w:val="4"/>
              </w:rPr>
            </w:r>
          </w:p>
        </w:tc>
      </w:tr>
      <w:tr>
        <w:trPr/>
        <w:tc>
          <w:tcPr>
            <w:tcW w:w="163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pPr>
            <w:r>
              <w:rPr/>
              <w:t>  ​ ​</w:t>
            </w:r>
          </w:p>
        </w:tc>
        <w:tc>
          <w:tcPr>
            <w:tcW w:w="597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Vertex, Inc.</w:t>
            </w:r>
          </w:p>
        </w:tc>
      </w:tr>
      <w:tr>
        <w:trPr/>
        <w:tc>
          <w:tcPr>
            <w:tcW w:w="163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pPr>
            <w:r>
              <w:rPr/>
              <w:t>​</w:t>
            </w:r>
          </w:p>
        </w:tc>
        <w:tc>
          <w:tcPr>
            <w:tcW w:w="5972" w:type="dxa"/>
            <w:gridSpan w:val="2"/>
            <w:tcBorders/>
            <w:vAlign w:val="center"/>
          </w:tcPr>
          <w:p>
            <w:pPr>
              <w:pStyle w:val="TableContents"/>
              <w:bidi w:val="0"/>
              <w:spacing w:before="0" w:after="0"/>
              <w:ind w:left="0" w:right="0" w:hanging="0"/>
              <w:jc w:val="left"/>
              <w:rPr/>
            </w:pPr>
            <w:r>
              <w:rPr/>
              <w:t> </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7, 2026</w:t>
            </w:r>
          </w:p>
        </w:tc>
        <w:tc>
          <w:tcPr>
            <w:tcW w:w="2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56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CHRISTOPHER YOUNG</w:t>
            </w:r>
          </w:p>
        </w:tc>
      </w:tr>
      <w:tr>
        <w:trPr/>
        <w:tc>
          <w:tcPr>
            <w:tcW w:w="163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 </w:t>
            </w:r>
          </w:p>
        </w:tc>
        <w:tc>
          <w:tcPr>
            <w:tcW w:w="5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Christopher Young </w:t>
            </w:r>
          </w:p>
        </w:tc>
      </w:tr>
      <w:tr>
        <w:trPr/>
        <w:tc>
          <w:tcPr>
            <w:tcW w:w="163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 </w:t>
            </w:r>
          </w:p>
        </w:tc>
        <w:tc>
          <w:tcPr>
            <w:tcW w:w="556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President and Chief Executive Officer (principal executive officer)</w:t>
            </w:r>
          </w:p>
        </w:tc>
      </w:tr>
      <w:tr>
        <w:trPr/>
        <w:tc>
          <w:tcPr>
            <w:tcW w:w="163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pPr>
            <w:r>
              <w:rPr/>
              <w:t>​</w:t>
            </w:r>
          </w:p>
        </w:tc>
        <w:tc>
          <w:tcPr>
            <w:tcW w:w="5972" w:type="dxa"/>
            <w:gridSpan w:val="2"/>
            <w:tcBorders/>
            <w:vAlign w:val="center"/>
          </w:tcPr>
          <w:p>
            <w:pPr>
              <w:pStyle w:val="TableContents"/>
              <w:bidi w:val="0"/>
              <w:spacing w:before="0" w:after="0"/>
              <w:ind w:left="0" w:right="0" w:hanging="0"/>
              <w:jc w:val="left"/>
              <w:rPr/>
            </w:pPr>
            <w:r>
              <w:rPr/>
              <w:t> </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7, 2026</w:t>
            </w:r>
          </w:p>
        </w:tc>
        <w:tc>
          <w:tcPr>
            <w:tcW w:w="2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56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SCHWAB</w:t>
            </w:r>
          </w:p>
        </w:tc>
      </w:tr>
      <w:tr>
        <w:trPr/>
        <w:tc>
          <w:tcPr>
            <w:tcW w:w="163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 </w:t>
            </w:r>
          </w:p>
        </w:tc>
        <w:tc>
          <w:tcPr>
            <w:tcW w:w="5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Schwab</w:t>
            </w:r>
          </w:p>
        </w:tc>
      </w:tr>
      <w:tr>
        <w:trPr/>
        <w:tc>
          <w:tcPr>
            <w:tcW w:w="163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 </w:t>
            </w:r>
          </w:p>
        </w:tc>
        <w:tc>
          <w:tcPr>
            <w:tcW w:w="556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Financial Officer (principal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0"/>
        <w:ind w:left="0" w:right="0" w:hanging="0"/>
        <w:jc w:val="right"/>
        <w:rPr>
          <w:rFonts w:ascii="Times New Roman;Times;serif" w:hAnsi="Times New Roman;Times;serif"/>
          <w:b/>
          <w:sz w:val="20"/>
        </w:rPr>
      </w:pPr>
      <w:bookmarkStart w:id="1655" w:name="verx-20260331xex31d1.htm"/>
      <w:bookmarkStart w:id="1656" w:name="ksverx20260331xex31d1"/>
      <w:bookmarkEnd w:id="1655"/>
      <w:bookmarkEnd w:id="1656"/>
      <w:r>
        <w:rPr>
          <w:rFonts w:ascii="Times New Roman;Times;serif" w:hAnsi="Times New Roman;Times;serif"/>
          <w:b/>
          <w:sz w:val="20"/>
        </w:rPr>
        <w:t>Exhibit 31.1</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Christopher Young, certify that:</w:t>
      </w:r>
    </w:p>
    <w:p>
      <w:pPr>
        <w:pStyle w:val="TextBody"/>
        <w:bidi w:val="0"/>
        <w:spacing w:before="0" w:after="0"/>
        <w:ind w:left="0" w:right="0" w:hanging="0"/>
        <w:jc w:val="left"/>
        <w:rPr/>
      </w:pPr>
      <w:r>
        <w:rPr/>
        <w:t>​</w:t>
      </w:r>
    </w:p>
    <w:tbl>
      <w:tblPr>
        <w:tblW w:w="5658" w:type="dxa"/>
        <w:jc w:val="left"/>
        <w:tblInd w:w="0" w:type="dxa"/>
        <w:tblLayout w:type="fixed"/>
        <w:tblCellMar>
          <w:top w:w="0" w:type="dxa"/>
          <w:left w:w="0" w:type="dxa"/>
          <w:bottom w:w="0" w:type="dxa"/>
          <w:right w:w="0" w:type="dxa"/>
        </w:tblCellMar>
      </w:tblPr>
      <w:tblGrid>
        <w:gridCol w:w="23"/>
        <w:gridCol w:w="170"/>
        <w:gridCol w:w="54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54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 have reviewed this Quarterly Report on Form 10-Q of Vertex, Inc.;</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p>
      <w:pPr>
        <w:pStyle w:val="TextBody"/>
        <w:pBdr/>
        <w:bidi w:val="0"/>
        <w:spacing w:before="0" w:after="0"/>
        <w:ind w:left="1080" w:right="0" w:hanging="360"/>
        <w:jc w:val="both"/>
        <w:rPr/>
      </w:pPr>
      <w:r>
        <w:rPr/>
        <w:t>​</w:t>
      </w:r>
    </w:p>
    <w:p>
      <w:pPr>
        <w:pStyle w:val="TextBody"/>
        <w:pBdr/>
        <w:bidi w:val="0"/>
        <w:spacing w:before="0" w:after="0"/>
        <w:ind w:left="1080" w:right="0" w:hanging="36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4473" w:type="dxa"/>
        <w:jc w:val="left"/>
        <w:tblInd w:w="0" w:type="dxa"/>
        <w:tblLayout w:type="fixed"/>
        <w:tblCellMar>
          <w:top w:w="0" w:type="dxa"/>
          <w:left w:w="0" w:type="dxa"/>
          <w:bottom w:w="0" w:type="dxa"/>
          <w:right w:w="0" w:type="dxa"/>
        </w:tblCellMar>
      </w:tblPr>
      <w:tblGrid>
        <w:gridCol w:w="1636"/>
        <w:gridCol w:w="406"/>
        <w:gridCol w:w="2431"/>
      </w:tblGrid>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7,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3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CHRISTOPHER YOUNG</w:t>
            </w:r>
          </w:p>
        </w:tc>
      </w:tr>
      <w:tr>
        <w:trPr/>
        <w:tc>
          <w:tcPr>
            <w:tcW w:w="1636" w:type="dxa"/>
            <w:tcBorders/>
            <w:vAlign w:val="center"/>
          </w:tcPr>
          <w:p>
            <w:pPr>
              <w:pStyle w:val="TableContents"/>
              <w:bidi w:val="0"/>
              <w:spacing w:before="0" w:after="0"/>
              <w:ind w:left="0" w:right="0" w:hanging="0"/>
              <w:jc w:val="left"/>
              <w:rPr/>
            </w:pPr>
            <w:r>
              <w:rPr/>
              <w:t> </w:t>
            </w:r>
          </w:p>
        </w:tc>
        <w:tc>
          <w:tcPr>
            <w:tcW w:w="283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Christopher Young </w:t>
            </w:r>
          </w:p>
        </w:tc>
      </w:tr>
      <w:tr>
        <w:trPr/>
        <w:tc>
          <w:tcPr>
            <w:tcW w:w="1636" w:type="dxa"/>
            <w:tcBorders/>
            <w:vAlign w:val="center"/>
          </w:tcPr>
          <w:p>
            <w:pPr>
              <w:pStyle w:val="TableContents"/>
              <w:bidi w:val="0"/>
              <w:spacing w:before="0" w:after="0"/>
              <w:ind w:left="0" w:right="0" w:hanging="0"/>
              <w:jc w:val="left"/>
              <w:rPr/>
            </w:pPr>
            <w:r>
              <w:rPr/>
              <w:t> </w:t>
            </w:r>
          </w:p>
        </w:tc>
        <w:tc>
          <w:tcPr>
            <w:tcW w:w="283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Executive Officer </w:t>
              <w:br/>
            </w:r>
            <w:r>
              <w:rPr>
                <w:rFonts w:ascii="Times New Roman;Times;serif" w:hAnsi="Times New Roman;Times;serif"/>
                <w:i/>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657" w:name="verx-20260331xex31d2.htm"/>
      <w:bookmarkStart w:id="1658" w:name="ksverx20260331xex31d2"/>
      <w:bookmarkEnd w:id="1657"/>
      <w:bookmarkEnd w:id="1658"/>
      <w:r>
        <w:rPr>
          <w:rFonts w:ascii="Times New Roman;Times;serif" w:hAnsi="Times New Roman;Times;serif"/>
          <w:b/>
          <w:sz w:val="20"/>
        </w:rPr>
        <w:t>Exhibit 31.2</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John Schwab, certify that:</w:t>
      </w:r>
    </w:p>
    <w:p>
      <w:pPr>
        <w:pStyle w:val="TextBody"/>
        <w:bidi w:val="0"/>
        <w:spacing w:before="0" w:after="0"/>
        <w:ind w:left="0" w:right="0" w:hanging="0"/>
        <w:jc w:val="left"/>
        <w:rPr/>
      </w:pPr>
      <w:r>
        <w:rPr/>
        <w:t>​</w:t>
      </w:r>
    </w:p>
    <w:tbl>
      <w:tblPr>
        <w:tblW w:w="5658" w:type="dxa"/>
        <w:jc w:val="left"/>
        <w:tblInd w:w="0" w:type="dxa"/>
        <w:tblLayout w:type="fixed"/>
        <w:tblCellMar>
          <w:top w:w="0" w:type="dxa"/>
          <w:left w:w="0" w:type="dxa"/>
          <w:bottom w:w="0" w:type="dxa"/>
          <w:right w:w="0" w:type="dxa"/>
        </w:tblCellMar>
      </w:tblPr>
      <w:tblGrid>
        <w:gridCol w:w="23"/>
        <w:gridCol w:w="170"/>
        <w:gridCol w:w="54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54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 have reviewed this Quarterly Report on Form 10-Q of Vertex, Inc.;</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p>
      <w:pPr>
        <w:pStyle w:val="TextBody"/>
        <w:bidi w:val="0"/>
        <w:spacing w:before="0" w:after="0"/>
        <w:ind w:left="144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4051" w:type="dxa"/>
        <w:jc w:val="center"/>
        <w:tblInd w:w="0" w:type="dxa"/>
        <w:tblLayout w:type="fixed"/>
        <w:tblCellMar>
          <w:top w:w="0" w:type="dxa"/>
          <w:left w:w="0" w:type="dxa"/>
          <w:bottom w:w="0" w:type="dxa"/>
          <w:right w:w="0" w:type="dxa"/>
        </w:tblCellMar>
      </w:tblPr>
      <w:tblGrid>
        <w:gridCol w:w="1636"/>
        <w:gridCol w:w="456"/>
        <w:gridCol w:w="1959"/>
      </w:tblGrid>
      <w:tr>
        <w:trPr/>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1038860" cy="29210"/>
                      <wp:effectExtent l="0" t="0" r="0" b="0"/>
                      <wp:wrapNone/>
                      <wp:docPr id="588" name="Frame588"/>
                      <a:graphic xmlns:a="http://schemas.openxmlformats.org/drawingml/2006/main">
                        <a:graphicData uri="http://schemas.microsoft.com/office/word/2010/wordprocessingShape">
                          <wps:wsp>
                            <wps:cNvSpPr txBox="1"/>
                            <wps:spPr>
                              <a:xfrm>
                                <a:off x="0" y="0"/>
                                <a:ext cx="10388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289560" cy="29210"/>
                      <wp:effectExtent l="0" t="0" r="0" b="0"/>
                      <wp:wrapNone/>
                      <wp:docPr id="589" name="Frame589"/>
                      <a:graphic xmlns:a="http://schemas.openxmlformats.org/drawingml/2006/main">
                        <a:graphicData uri="http://schemas.microsoft.com/office/word/2010/wordprocessingShape">
                          <wps:wsp>
                            <wps:cNvSpPr txBox="1"/>
                            <wps:spPr>
                              <a:xfrm>
                                <a:off x="0" y="0"/>
                                <a:ext cx="2895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9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1243965" cy="29210"/>
                      <wp:effectExtent l="0" t="0" r="0" b="0"/>
                      <wp:wrapNone/>
                      <wp:docPr id="590" name="Frame590"/>
                      <a:graphic xmlns:a="http://schemas.openxmlformats.org/drawingml/2006/main">
                        <a:graphicData uri="http://schemas.microsoft.com/office/word/2010/wordprocessingShape">
                          <wps:wsp>
                            <wps:cNvSpPr txBox="1"/>
                            <wps:spPr>
                              <a:xfrm>
                                <a:off x="0" y="0"/>
                                <a:ext cx="124396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9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7, 2026</w:t>
            </w:r>
          </w:p>
        </w:tc>
        <w:tc>
          <w:tcPr>
            <w:tcW w:w="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959"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SCHWAB</w:t>
            </w:r>
          </w:p>
        </w:tc>
      </w:tr>
      <w:tr>
        <w:trPr/>
        <w:tc>
          <w:tcPr>
            <w:tcW w:w="1636" w:type="dxa"/>
            <w:tcBorders/>
            <w:vAlign w:val="center"/>
          </w:tcPr>
          <w:p>
            <w:pPr>
              <w:pStyle w:val="TableContents"/>
              <w:bidi w:val="0"/>
              <w:spacing w:before="0" w:after="0"/>
              <w:ind w:left="0" w:right="0" w:hanging="0"/>
              <w:jc w:val="left"/>
              <w:rPr/>
            </w:pPr>
            <w:r>
              <w:rPr/>
              <w:t> </w:t>
            </w:r>
          </w:p>
        </w:tc>
        <w:tc>
          <w:tcPr>
            <w:tcW w:w="24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Schwab</w:t>
            </w:r>
          </w:p>
        </w:tc>
      </w:tr>
      <w:tr>
        <w:trPr/>
        <w:tc>
          <w:tcPr>
            <w:tcW w:w="1636" w:type="dxa"/>
            <w:tcBorders/>
            <w:vAlign w:val="center"/>
          </w:tcPr>
          <w:p>
            <w:pPr>
              <w:pStyle w:val="TableContents"/>
              <w:bidi w:val="0"/>
              <w:spacing w:before="0" w:after="0"/>
              <w:ind w:left="0" w:right="0" w:hanging="0"/>
              <w:jc w:val="left"/>
              <w:rPr/>
            </w:pPr>
            <w:r>
              <w:rPr/>
              <w:t> </w:t>
            </w:r>
          </w:p>
        </w:tc>
        <w:tc>
          <w:tcPr>
            <w:tcW w:w="24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br/>
            </w:r>
            <w:r>
              <w:rPr>
                <w:rFonts w:ascii="Times New Roman;Times;serif" w:hAnsi="Times New Roman;Times;serif"/>
                <w:i/>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659" w:name="verx-20260331xex32d1.htm"/>
      <w:bookmarkStart w:id="1660" w:name="ksverx20260331xex32d1"/>
      <w:bookmarkEnd w:id="1659"/>
      <w:bookmarkEnd w:id="1660"/>
      <w:r>
        <w:rPr>
          <w:rFonts w:ascii="Times New Roman;Times;serif" w:hAnsi="Times New Roman;Times;serif"/>
          <w:b/>
          <w:sz w:val="20"/>
        </w:rPr>
        <w:t>Exhibit 32.1</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connection with the Quarterly Report on Form 10-Q of Vertex, Inc. (the “Company”) for the period ended March 31, 2026 as filed with the Securities and Exchange Commission on the date hereof (the “Report”), I certify, pursuant to 18 U.S.C. § 1350, as adopted pursuant to § 906 of the Sarbanes-Oxley Act of 2002, that: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40"/>
        <w:gridCol w:w="9942"/>
      </w:tblGrid>
      <w:tr>
        <w:trPr/>
        <w:tc>
          <w:tcPr>
            <w:tcW w:w="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994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4563" w:type="dxa"/>
        <w:jc w:val="center"/>
        <w:tblInd w:w="0" w:type="dxa"/>
        <w:tblLayout w:type="fixed"/>
        <w:tblCellMar>
          <w:top w:w="0" w:type="dxa"/>
          <w:left w:w="0" w:type="dxa"/>
          <w:bottom w:w="0" w:type="dxa"/>
          <w:right w:w="0" w:type="dxa"/>
        </w:tblCellMar>
      </w:tblPr>
      <w:tblGrid>
        <w:gridCol w:w="1636"/>
        <w:gridCol w:w="496"/>
        <w:gridCol w:w="2431"/>
      </w:tblGrid>
      <w:tr>
        <w:trPr/>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1038860" cy="29210"/>
                      <wp:effectExtent l="0" t="0" r="0" b="0"/>
                      <wp:wrapNone/>
                      <wp:docPr id="591" name="Frame591"/>
                      <a:graphic xmlns:a="http://schemas.openxmlformats.org/drawingml/2006/main">
                        <a:graphicData uri="http://schemas.microsoft.com/office/word/2010/wordprocessingShape">
                          <wps:wsp>
                            <wps:cNvSpPr txBox="1"/>
                            <wps:spPr>
                              <a:xfrm>
                                <a:off x="0" y="0"/>
                                <a:ext cx="10388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314960" cy="29210"/>
                      <wp:effectExtent l="0" t="0" r="0" b="0"/>
                      <wp:wrapNone/>
                      <wp:docPr id="592" name="Frame592"/>
                      <a:graphic xmlns:a="http://schemas.openxmlformats.org/drawingml/2006/main">
                        <a:graphicData uri="http://schemas.microsoft.com/office/word/2010/wordprocessingShape">
                          <wps:wsp>
                            <wps:cNvSpPr txBox="1"/>
                            <wps:spPr>
                              <a:xfrm>
                                <a:off x="0" y="0"/>
                                <a:ext cx="3149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1543685" cy="29210"/>
                      <wp:effectExtent l="0" t="0" r="0" b="0"/>
                      <wp:wrapNone/>
                      <wp:docPr id="593" name="Frame593"/>
                      <a:graphic xmlns:a="http://schemas.openxmlformats.org/drawingml/2006/main">
                        <a:graphicData uri="http://schemas.microsoft.com/office/word/2010/wordprocessingShape">
                          <wps:wsp>
                            <wps:cNvSpPr txBox="1"/>
                            <wps:spPr>
                              <a:xfrm>
                                <a:off x="0" y="0"/>
                                <a:ext cx="15436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7, 2026</w:t>
            </w:r>
          </w:p>
        </w:tc>
        <w:tc>
          <w:tcPr>
            <w:tcW w:w="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w:t>
            </w:r>
          </w:p>
        </w:tc>
        <w:tc>
          <w:tcPr>
            <w:tcW w:w="243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CHRISTOPHER YOUNG</w:t>
            </w:r>
          </w:p>
        </w:tc>
      </w:tr>
      <w:tr>
        <w:trPr/>
        <w:tc>
          <w:tcPr>
            <w:tcW w:w="1636" w:type="dxa"/>
            <w:tcBorders/>
            <w:vAlign w:val="center"/>
          </w:tcPr>
          <w:p>
            <w:pPr>
              <w:pStyle w:val="TableContents"/>
              <w:bidi w:val="0"/>
              <w:spacing w:before="0" w:after="0"/>
              <w:ind w:left="0" w:right="0" w:hanging="0"/>
              <w:jc w:val="left"/>
              <w:rPr/>
            </w:pPr>
            <w:r>
              <w:rPr/>
              <w:t> </w:t>
            </w:r>
          </w:p>
        </w:tc>
        <w:tc>
          <w:tcPr>
            <w:tcW w:w="292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Christopher Young </w:t>
            </w:r>
          </w:p>
        </w:tc>
      </w:tr>
      <w:tr>
        <w:trPr/>
        <w:tc>
          <w:tcPr>
            <w:tcW w:w="1636" w:type="dxa"/>
            <w:tcBorders/>
            <w:vAlign w:val="center"/>
          </w:tcPr>
          <w:p>
            <w:pPr>
              <w:pStyle w:val="TableContents"/>
              <w:bidi w:val="0"/>
              <w:spacing w:before="0" w:after="0"/>
              <w:ind w:left="0" w:right="0" w:hanging="0"/>
              <w:jc w:val="left"/>
              <w:rPr/>
            </w:pPr>
            <w:r>
              <w:rPr/>
              <w:t> </w:t>
            </w:r>
          </w:p>
        </w:tc>
        <w:tc>
          <w:tcPr>
            <w:tcW w:w="292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br/>
            </w:r>
            <w:r>
              <w:rPr>
                <w:rFonts w:ascii="Times New Roman;Times;serif" w:hAnsi="Times New Roman;Times;serif"/>
                <w:i/>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661" w:name="verx-20260331xex32d2.htm"/>
      <w:bookmarkStart w:id="1662" w:name="ksverx20260331xex32d2"/>
      <w:bookmarkEnd w:id="1661"/>
      <w:bookmarkEnd w:id="1662"/>
      <w:r>
        <w:rPr>
          <w:rFonts w:ascii="Times New Roman;Times;serif" w:hAnsi="Times New Roman;Times;serif"/>
          <w:b/>
          <w:sz w:val="20"/>
        </w:rPr>
        <w:t>Exhibit 32.2</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connection with the Quarterly Report on Form 10-Q of Vertex, Inc. (the “Company”) for the period ended March 31, 2026 as filed with the Securities and Exchange Commission on the date hereof (the “Report”), I certify, pursuant to 18 U.S.C. § 1350, as adopted pursuant to § 906 of the Sarbanes-Oxley Act of 2002, that: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40"/>
        <w:gridCol w:w="9942"/>
      </w:tblGrid>
      <w:tr>
        <w:trPr/>
        <w:tc>
          <w:tcPr>
            <w:tcW w:w="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99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both"/>
        <w:rPr/>
      </w:pPr>
      <w:r>
        <w:rPr/>
        <w:t>​</w:t>
      </w:r>
    </w:p>
    <w:tbl>
      <w:tblPr>
        <w:tblW w:w="4051" w:type="dxa"/>
        <w:jc w:val="left"/>
        <w:tblInd w:w="0" w:type="dxa"/>
        <w:tblLayout w:type="fixed"/>
        <w:tblCellMar>
          <w:top w:w="0" w:type="dxa"/>
          <w:left w:w="0" w:type="dxa"/>
          <w:bottom w:w="0" w:type="dxa"/>
          <w:right w:w="0" w:type="dxa"/>
        </w:tblCellMar>
      </w:tblPr>
      <w:tblGrid>
        <w:gridCol w:w="1636"/>
        <w:gridCol w:w="447"/>
        <w:gridCol w:w="1968"/>
      </w:tblGrid>
      <w:tr>
        <w:trPr/>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1038860" cy="160655"/>
                      <wp:effectExtent l="0" t="0" r="0" b="0"/>
                      <wp:wrapNone/>
                      <wp:docPr id="594" name="Frame594"/>
                      <a:graphic xmlns:a="http://schemas.openxmlformats.org/drawingml/2006/main">
                        <a:graphicData uri="http://schemas.microsoft.com/office/word/2010/wordprocessingShape">
                          <wps:wsp>
                            <wps:cNvSpPr txBox="1"/>
                            <wps:spPr>
                              <a:xfrm>
                                <a:off x="0" y="0"/>
                                <a:ext cx="1038860" cy="160655"/>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ov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ov</w:t>
                            </w:r>
                          </w:p>
                        </w:txbxContent>
                      </v:textbox>
                      <w10:wrap type="none"/>
                    </v:rect>
                  </w:pict>
                </mc:Fallback>
              </mc:AlternateContent>
            </w:r>
          </w:p>
        </w:tc>
        <w:tc>
          <w:tcPr>
            <w:tcW w:w="4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283845" cy="29210"/>
                      <wp:effectExtent l="0" t="0" r="0" b="0"/>
                      <wp:wrapNone/>
                      <wp:docPr id="595" name="Frame595"/>
                      <a:graphic xmlns:a="http://schemas.openxmlformats.org/drawingml/2006/main">
                        <a:graphicData uri="http://schemas.microsoft.com/office/word/2010/wordprocessingShape">
                          <wps:wsp>
                            <wps:cNvSpPr txBox="1"/>
                            <wps:spPr>
                              <a:xfrm>
                                <a:off x="0" y="0"/>
                                <a:ext cx="283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9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1249680" cy="29210"/>
                      <wp:effectExtent l="0" t="0" r="0" b="0"/>
                      <wp:wrapNone/>
                      <wp:docPr id="596" name="Frame596"/>
                      <a:graphic xmlns:a="http://schemas.openxmlformats.org/drawingml/2006/main">
                        <a:graphicData uri="http://schemas.microsoft.com/office/word/2010/wordprocessingShape">
                          <wps:wsp>
                            <wps:cNvSpPr txBox="1"/>
                            <wps:spPr>
                              <a:xfrm>
                                <a:off x="0" y="0"/>
                                <a:ext cx="124968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4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7, 2026</w:t>
            </w:r>
          </w:p>
        </w:tc>
        <w:tc>
          <w:tcPr>
            <w:tcW w:w="4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968"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 JOHN SCHWAB </w:t>
            </w:r>
          </w:p>
        </w:tc>
      </w:tr>
      <w:tr>
        <w:trPr/>
        <w:tc>
          <w:tcPr>
            <w:tcW w:w="1636" w:type="dxa"/>
            <w:tcBorders/>
            <w:vAlign w:val="center"/>
          </w:tcPr>
          <w:p>
            <w:pPr>
              <w:pStyle w:val="TableContents"/>
              <w:bidi w:val="0"/>
              <w:spacing w:before="0" w:after="0"/>
              <w:ind w:left="0" w:right="0" w:hanging="0"/>
              <w:jc w:val="left"/>
              <w:rPr/>
            </w:pPr>
            <w:r>
              <w:rPr/>
              <w:t> </w:t>
            </w:r>
          </w:p>
        </w:tc>
        <w:tc>
          <w:tcPr>
            <w:tcW w:w="24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Schwab</w:t>
            </w:r>
          </w:p>
        </w:tc>
      </w:tr>
      <w:tr>
        <w:trPr/>
        <w:tc>
          <w:tcPr>
            <w:tcW w:w="1636" w:type="dxa"/>
            <w:tcBorders/>
            <w:vAlign w:val="center"/>
          </w:tcPr>
          <w:p>
            <w:pPr>
              <w:pStyle w:val="TableContents"/>
              <w:bidi w:val="0"/>
              <w:spacing w:before="0" w:after="0"/>
              <w:ind w:left="0" w:right="0" w:hanging="0"/>
              <w:jc w:val="left"/>
              <w:rPr/>
            </w:pPr>
            <w:r>
              <w:rPr/>
              <w:t> </w:t>
            </w:r>
          </w:p>
        </w:tc>
        <w:tc>
          <w:tcPr>
            <w:tcW w:w="24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br/>
            </w:r>
            <w:r>
              <w:rPr>
                <w:rFonts w:ascii="Times New Roman;Times;serif" w:hAnsi="Times New Roman;Times;serif"/>
                <w:i/>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26042</Words>
  <Characters>149216</Characters>
  <CharactersWithSpaces>178110</CharactersWithSpaces>
  <Paragraphs>8572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