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verx-20230930x10q.htm"/>
        <w:bookmarkStart w:id="1" w:name="ksverx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79b8e9e8_ad4a_4bdf_867a_098e859275cb"/>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8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8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QQqS4gT6fE-5wrCcYGq1Pw_1_2"/>
      <w:bookmarkStart w:id="4" w:name="_bf128692_be5f_4c23_8561_ac62219be472"/>
      <w:bookmarkStart w:id="5" w:name="Tc_QQqS4gT6fE-5wrCcYGq1Pw_1_2"/>
      <w:bookmarkStart w:id="6" w:name="_bf128692_be5f_4c23_8561_ac62219be472"/>
      <w:bookmarkEnd w:id="5"/>
      <w:bookmarkEnd w:id="6"/>
    </w:p>
    <w:tbl>
      <w:tblPr>
        <w:tblW w:w="10205" w:type="dxa"/>
        <w:jc w:val="left"/>
        <w:tblInd w:w="0" w:type="dxa"/>
        <w:tblLayout w:type="fixed"/>
        <w:tblCellMar>
          <w:top w:w="0" w:type="dxa"/>
          <w:left w:w="0" w:type="dxa"/>
          <w:bottom w:w="0" w:type="dxa"/>
          <w:right w:w="0" w:type="dxa"/>
        </w:tblCellMar>
      </w:tblPr>
      <w:tblGrid>
        <w:gridCol w:w="331"/>
        <w:gridCol w:w="326"/>
        <w:gridCol w:w="9548"/>
      </w:tblGrid>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54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548"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2023</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 w:name="Tc_fvlrgf9Mk068_gg27h48sA_1_2"/>
      <w:bookmarkStart w:id="8" w:name="_fcfd63c3_2698_4c49_b53c_deb29d8f9193"/>
      <w:bookmarkStart w:id="9" w:name="Tc_fvlrgf9Mk068_gg27h48sA_1_2"/>
      <w:bookmarkStart w:id="10" w:name="_fcfd63c3_2698_4c49_b53c_deb29d8f9193"/>
      <w:bookmarkEnd w:id="9"/>
      <w:bookmarkEnd w:id="10"/>
    </w:p>
    <w:tbl>
      <w:tblPr>
        <w:tblW w:w="10205" w:type="dxa"/>
        <w:jc w:val="left"/>
        <w:tblInd w:w="0" w:type="dxa"/>
        <w:tblLayout w:type="fixed"/>
        <w:tblCellMar>
          <w:top w:w="0" w:type="dxa"/>
          <w:left w:w="0" w:type="dxa"/>
          <w:bottom w:w="0" w:type="dxa"/>
          <w:right w:w="0" w:type="dxa"/>
        </w:tblCellMar>
      </w:tblPr>
      <w:tblGrid>
        <w:gridCol w:w="331"/>
        <w:gridCol w:w="326"/>
        <w:gridCol w:w="9548"/>
      </w:tblGrid>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54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548"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001-39413</w:t>
      </w:r>
    </w:p>
    <w:p>
      <w:pPr>
        <w:pStyle w:val="TextBody"/>
        <w:bidi w:val="0"/>
        <w:spacing w:before="0" w:after="0"/>
        <w:ind w:left="0" w:right="0" w:hanging="0"/>
        <w:jc w:val="center"/>
        <w:rPr>
          <w:rFonts w:ascii="Times New Roman;Times;serif" w:hAnsi="Times New Roman;Times;serif"/>
          <w:b/>
          <w:i w:val="false"/>
          <w:caps w:val="false"/>
          <w:smallCaps w:val="false"/>
          <w:sz w:val="46"/>
        </w:rPr>
      </w:pPr>
      <w:r>
        <w:rPr>
          <w:rFonts w:ascii="Times New Roman;Times;serif" w:hAnsi="Times New Roman;Times;serif"/>
          <w:b/>
          <w:i w:val="false"/>
          <w:caps w:val="false"/>
          <w:smallCaps w:val="false"/>
          <w:sz w:val="46"/>
        </w:rPr>
        <w:t>VERTEX,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 w:name="Tc_FEIqDC2nC0myyeQvLCfupw_5_4"/>
      <w:bookmarkStart w:id="12" w:name="Tc_I_BwS90TS0OY4-S-nQ6zvQ_5_0"/>
      <w:bookmarkStart w:id="13" w:name="Tc_dmkSiwLwbUmjk75tfYvLDQ_4_4"/>
      <w:bookmarkStart w:id="14" w:name="Tc_mGaSqAlw2U-AFjzIWMB0ZQ_4_0"/>
      <w:bookmarkStart w:id="15" w:name="Tc_jFETvmsRJE61Lp6Az_Wtnw_2_4"/>
      <w:bookmarkStart w:id="16" w:name="Tc_q8mh5GSgUUuVout7pUjD8g_2_0"/>
      <w:bookmarkStart w:id="17" w:name="_b80f365e_57d5_4c51_95d7_52d4c2e246ab"/>
      <w:bookmarkStart w:id="18" w:name="Tc_FEIqDC2nC0myyeQvLCfupw_5_4"/>
      <w:bookmarkStart w:id="19" w:name="Tc_I_BwS90TS0OY4-S-nQ6zvQ_5_0"/>
      <w:bookmarkStart w:id="20" w:name="Tc_dmkSiwLwbUmjk75tfYvLDQ_4_4"/>
      <w:bookmarkStart w:id="21" w:name="Tc_mGaSqAlw2U-AFjzIWMB0ZQ_4_0"/>
      <w:bookmarkStart w:id="22" w:name="Tc_jFETvmsRJE61Lp6Az_Wtnw_2_4"/>
      <w:bookmarkStart w:id="23" w:name="Tc_q8mh5GSgUUuVout7pUjD8g_2_0"/>
      <w:bookmarkStart w:id="24" w:name="_b80f365e_57d5_4c51_95d7_52d4c2e246ab"/>
      <w:bookmarkEnd w:id="18"/>
      <w:bookmarkEnd w:id="19"/>
      <w:bookmarkEnd w:id="20"/>
      <w:bookmarkEnd w:id="21"/>
      <w:bookmarkEnd w:id="22"/>
      <w:bookmarkEnd w:id="23"/>
      <w:bookmarkEnd w:id="24"/>
    </w:p>
    <w:tbl>
      <w:tblPr>
        <w:tblW w:w="4505" w:type="dxa"/>
        <w:jc w:val="left"/>
        <w:tblInd w:w="0" w:type="dxa"/>
        <w:tblLayout w:type="fixed"/>
        <w:tblCellMar>
          <w:top w:w="0" w:type="dxa"/>
          <w:left w:w="0" w:type="dxa"/>
          <w:bottom w:w="0" w:type="dxa"/>
          <w:right w:w="0" w:type="dxa"/>
        </w:tblCellMar>
      </w:tblPr>
      <w:tblGrid>
        <w:gridCol w:w="2461"/>
        <w:gridCol w:w="326"/>
        <w:gridCol w:w="146"/>
        <w:gridCol w:w="326"/>
        <w:gridCol w:w="1246"/>
      </w:tblGrid>
      <w:tr>
        <w:trPr/>
        <w:tc>
          <w:tcPr>
            <w:tcW w:w="2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both"/>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23-2081753</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r>
        <w:trPr/>
        <w:tc>
          <w:tcPr>
            <w:tcW w:w="246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2301 Renaissance Blvd</w:t>
            </w:r>
            <w:r>
              <w:rPr>
                <w:rFonts w:ascii="Times New Roman;Times;serif" w:hAnsi="Times New Roman;Times;serif"/>
                <w:sz w:val="18"/>
              </w:rPr>
              <w:br/>
            </w:r>
            <w:r>
              <w:rPr>
                <w:rFonts w:ascii="Times New Roman;Times;serif" w:hAnsi="Times New Roman;Times;serif"/>
                <w:b/>
                <w:sz w:val="18"/>
              </w:rPr>
              <w:t>King of Prussia, Pennsylvania</w:t>
            </w:r>
            <w:r>
              <w:rPr>
                <w:rFonts w:ascii="Times New Roman;Times;serif" w:hAnsi="Times New Roman;Times;serif"/>
                <w:sz w:val="20"/>
              </w:rPr>
              <w:t xml:space="preserve"> </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19406</w:t>
            </w:r>
            <w:r>
              <w:rPr>
                <w:rFonts w:ascii="Times New Roman;Times;serif" w:hAnsi="Times New Roman;Times;serif"/>
                <w:sz w:val="20"/>
              </w:rPr>
              <w:t> </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(800) 355-3500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FM-tBOQykUGouExOww_Ilw_1_4"/>
      <w:bookmarkStart w:id="26" w:name="Tc_ZM-HL1HVykmq8XWgkEB3AQ_1_2"/>
      <w:bookmarkStart w:id="27" w:name="Tc_4trxfq1SBE2seatPFvPJkg_1_0"/>
      <w:bookmarkStart w:id="28" w:name="_2de39deb_a515_459a_b1f1_fd289b9c31c6"/>
      <w:bookmarkStart w:id="29" w:name="Tc_FM-tBOQykUGouExOww_Ilw_1_4"/>
      <w:bookmarkStart w:id="30" w:name="Tc_ZM-HL1HVykmq8XWgkEB3AQ_1_2"/>
      <w:bookmarkStart w:id="31" w:name="Tc_4trxfq1SBE2seatPFvPJkg_1_0"/>
      <w:bookmarkStart w:id="32" w:name="_2de39deb_a515_459a_b1f1_fd289b9c31c6"/>
      <w:bookmarkEnd w:id="29"/>
      <w:bookmarkEnd w:id="30"/>
      <w:bookmarkEnd w:id="31"/>
      <w:bookmarkEnd w:id="32"/>
    </w:p>
    <w:tbl>
      <w:tblPr>
        <w:tblW w:w="8575" w:type="dxa"/>
        <w:jc w:val="left"/>
        <w:tblInd w:w="0" w:type="dxa"/>
        <w:tblLayout w:type="fixed"/>
        <w:tblCellMar>
          <w:top w:w="0" w:type="dxa"/>
          <w:left w:w="0" w:type="dxa"/>
          <w:bottom w:w="0" w:type="dxa"/>
          <w:right w:w="0" w:type="dxa"/>
        </w:tblCellMar>
      </w:tblPr>
      <w:tblGrid>
        <w:gridCol w:w="4156"/>
        <w:gridCol w:w="326"/>
        <w:gridCol w:w="1066"/>
        <w:gridCol w:w="326"/>
        <w:gridCol w:w="2701"/>
      </w:tblGrid>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4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vAlign w:val="center"/>
          </w:tcPr>
          <w:p>
            <w:pPr>
              <w:pStyle w:val="TableContents"/>
              <w:bidi w:val="0"/>
              <w:spacing w:before="0" w:after="0"/>
              <w:ind w:left="0" w:right="0" w:hanging="0"/>
              <w:jc w:val="both"/>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26" w:type="dxa"/>
            <w:tcBorders/>
            <w:vAlign w:val="center"/>
          </w:tcPr>
          <w:p>
            <w:pPr>
              <w:pStyle w:val="TableContents"/>
              <w:bidi w:val="0"/>
              <w:spacing w:before="0" w:after="0"/>
              <w:ind w:left="0" w:right="0" w:hanging="0"/>
              <w:jc w:val="both"/>
              <w:rPr/>
            </w:pPr>
            <w:r>
              <w:rPr/>
              <w:t>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41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Class A Common Stock, Par Value $0.001 Per Share</w:t>
            </w:r>
          </w:p>
        </w:tc>
        <w:tc>
          <w:tcPr>
            <w:tcW w:w="326" w:type="dxa"/>
            <w:tcBorders/>
            <w:vAlign w:val="center"/>
          </w:tcPr>
          <w:p>
            <w:pPr>
              <w:pStyle w:val="TableContents"/>
              <w:bidi w:val="0"/>
              <w:spacing w:before="0" w:after="240"/>
              <w:ind w:left="0" w:right="0" w:hanging="0"/>
              <w:jc w:val="both"/>
              <w:rPr/>
            </w:pPr>
            <w:r>
              <w:rPr/>
              <w:t>​</w:t>
            </w:r>
          </w:p>
        </w:tc>
        <w:tc>
          <w:tcPr>
            <w:tcW w:w="10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VERX</w:t>
            </w:r>
          </w:p>
        </w:tc>
        <w:tc>
          <w:tcPr>
            <w:tcW w:w="326" w:type="dxa"/>
            <w:tcBorders/>
            <w:vAlign w:val="center"/>
          </w:tcPr>
          <w:p>
            <w:pPr>
              <w:pStyle w:val="TableContents"/>
              <w:bidi w:val="0"/>
              <w:spacing w:before="0" w:after="240"/>
              <w:ind w:left="0" w:right="0" w:hanging="0"/>
              <w:jc w:val="both"/>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Stock Market LLC</w:t>
            </w:r>
          </w:p>
        </w:tc>
      </w:tr>
    </w:tbl>
    <w:p>
      <w:pPr>
        <w:pStyle w:val="TextBody"/>
        <w:bidi w:val="0"/>
        <w:spacing w:before="0" w:after="0"/>
        <w:ind w:left="0" w:right="0" w:hanging="0"/>
        <w:jc w:val="left"/>
        <w:rPr/>
      </w:pPr>
      <w:r>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3" w:name="Tc_zodzuAWZXEOS4jIMdW0iBA_3_4"/>
      <w:bookmarkStart w:id="34" w:name="Tc_4xgk1NnCRkG4DVW1qexr8g_3_3"/>
      <w:bookmarkStart w:id="35" w:name="Tc_eN6130IF5UeQkmwjUUBQDQ_2_3"/>
      <w:bookmarkStart w:id="36" w:name="Tc_7R8MLURMUUuudM7He7xhdA_2_1"/>
      <w:bookmarkStart w:id="37" w:name="Tc_oaEjCUBwgUi83fHHYpoy8g_2_0"/>
      <w:bookmarkStart w:id="38" w:name="Tc_DKVENSbxM0OYNP48dlXJ-A_1_4"/>
      <w:bookmarkStart w:id="39" w:name="Tc_lD337M92Gk6Xn03_nPraZA_1_1"/>
      <w:bookmarkStart w:id="40" w:name="Tc_BG5ZUPM51k-76oZKPN_wmg_1_0"/>
      <w:bookmarkStart w:id="41" w:name="_7a629acc_e15b_4ae7_90f9_3d0e349b3fdd"/>
      <w:bookmarkStart w:id="42" w:name="Tc_zodzuAWZXEOS4jIMdW0iBA_3_4"/>
      <w:bookmarkStart w:id="43" w:name="Tc_4xgk1NnCRkG4DVW1qexr8g_3_3"/>
      <w:bookmarkStart w:id="44" w:name="Tc_eN6130IF5UeQkmwjUUBQDQ_2_3"/>
      <w:bookmarkStart w:id="45" w:name="Tc_7R8MLURMUUuudM7He7xhdA_2_1"/>
      <w:bookmarkStart w:id="46" w:name="Tc_oaEjCUBwgUi83fHHYpoy8g_2_0"/>
      <w:bookmarkStart w:id="47" w:name="Tc_DKVENSbxM0OYNP48dlXJ-A_1_4"/>
      <w:bookmarkStart w:id="48" w:name="Tc_lD337M92Gk6Xn03_nPraZA_1_1"/>
      <w:bookmarkStart w:id="49" w:name="Tc_BG5ZUPM51k-76oZKPN_wmg_1_0"/>
      <w:bookmarkStart w:id="50" w:name="_7a629acc_e15b_4ae7_90f9_3d0e349b3fdd"/>
      <w:bookmarkEnd w:id="42"/>
      <w:bookmarkEnd w:id="43"/>
      <w:bookmarkEnd w:id="44"/>
      <w:bookmarkEnd w:id="45"/>
      <w:bookmarkEnd w:id="46"/>
      <w:bookmarkEnd w:id="47"/>
      <w:bookmarkEnd w:id="48"/>
      <w:bookmarkEnd w:id="49"/>
      <w:bookmarkEnd w:id="50"/>
    </w:p>
    <w:tbl>
      <w:tblPr>
        <w:tblW w:w="4770" w:type="dxa"/>
        <w:jc w:val="left"/>
        <w:tblInd w:w="0" w:type="dxa"/>
        <w:tblLayout w:type="fixed"/>
        <w:tblCellMar>
          <w:top w:w="0" w:type="dxa"/>
          <w:left w:w="0" w:type="dxa"/>
          <w:bottom w:w="0" w:type="dxa"/>
          <w:right w:w="0" w:type="dxa"/>
        </w:tblCellMar>
      </w:tblPr>
      <w:tblGrid>
        <w:gridCol w:w="1666"/>
        <w:gridCol w:w="316"/>
        <w:gridCol w:w="326"/>
        <w:gridCol w:w="2041"/>
        <w:gridCol w:w="42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421" w:type="dxa"/>
            <w:tcBorders/>
            <w:vAlign w:val="center"/>
          </w:tcPr>
          <w:p>
            <w:pPr>
              <w:pStyle w:val="TableContents"/>
              <w:bidi w:val="0"/>
              <w:spacing w:before="0" w:after="0"/>
              <w:ind w:left="0" w:right="0" w:hanging="0"/>
              <w:jc w:val="both"/>
              <w:rPr/>
            </w:pPr>
            <w:r>
              <w:rPr/>
              <w:t>☒ </w:t>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24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42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40"/>
              <w:ind w:left="0" w:right="0" w:hanging="0"/>
              <w:jc w:val="both"/>
              <w:rPr/>
            </w:pPr>
            <w:r>
              <w:rPr/>
              <w:t>​</w:t>
            </w:r>
          </w:p>
        </w:tc>
        <w:tc>
          <w:tcPr>
            <w:tcW w:w="316" w:type="dxa"/>
            <w:tcBorders/>
            <w:vAlign w:val="center"/>
          </w:tcPr>
          <w:p>
            <w:pPr>
              <w:pStyle w:val="TableContents"/>
              <w:bidi w:val="0"/>
              <w:spacing w:before="0" w:after="240"/>
              <w:ind w:left="0" w:right="0" w:hanging="0"/>
              <w:jc w:val="both"/>
              <w:rPr/>
            </w:pPr>
            <w:r>
              <w:rPr/>
              <w:t>​</w:t>
            </w:r>
          </w:p>
        </w:tc>
        <w:tc>
          <w:tcPr>
            <w:tcW w:w="326" w:type="dxa"/>
            <w:tcBorders/>
            <w:vAlign w:val="center"/>
          </w:tcPr>
          <w:p>
            <w:pPr>
              <w:pStyle w:val="TableContents"/>
              <w:bidi w:val="0"/>
              <w:spacing w:before="0" w:after="24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421" w:type="dxa"/>
            <w:tcBorders/>
            <w:vAlign w:val="center"/>
          </w:tcPr>
          <w:p>
            <w:pPr>
              <w:pStyle w:val="TableContents"/>
              <w:bidi w:val="0"/>
              <w:spacing w:before="0" w:after="0"/>
              <w:ind w:left="0" w:right="0" w:hanging="0"/>
              <w:jc w:val="both"/>
              <w:rPr/>
            </w:pPr>
            <w:r>
              <w:rPr/>
              <w:t>☒ </w:t>
            </w:r>
          </w:p>
        </w:tc>
      </w:tr>
    </w:tbl>
    <w:p>
      <w:pPr>
        <w:pStyle w:val="TextBody"/>
        <w:bidi w:val="0"/>
        <w:spacing w:before="0" w:after="0"/>
        <w:ind w:left="0" w:right="0" w:hanging="0"/>
        <w:jc w:val="left"/>
        <w:rPr/>
      </w:pPr>
      <w:r>
        <w:rPr/>
        <w:t>​</w:t>
      </w:r>
    </w:p>
    <w:p>
      <w:pPr>
        <w:pStyle w:val="TextBody"/>
        <w:bidi w:val="0"/>
        <w:spacing w:before="0" w:after="80"/>
        <w:ind w:left="0" w:right="0" w:firstLine="518"/>
        <w:jc w:val="both"/>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8"/>
        </w:rPr>
      </w:pPr>
      <w:r>
        <w:rPr>
          <w:rFonts w:ascii="Times New Roman;Times;serif" w:hAnsi="Times New Roman;Times;serif"/>
          <w:sz w:val="18"/>
        </w:rPr>
        <w:t>As of  November 3, 2023, the registrant had 60,325,387 shares of Class A common stock, $0.001 par value per share, and 92,661,000 shares of Class B common stock, $0.001 par value per share, outstanding.</w:t>
      </w:r>
    </w:p>
    <w:p>
      <w:pPr>
        <w:pStyle w:val="TextBody"/>
        <w:bidi w:val="0"/>
        <w:spacing w:before="0" w:after="240"/>
        <w:ind w:left="0" w:right="0" w:firstLine="518"/>
        <w:jc w:val="both"/>
        <w:rPr/>
      </w:pPr>
      <w:r>
        <w:rPr/>
        <w:t>​</w:t>
      </w:r>
    </w:p>
    <w:p>
      <w:pPr>
        <w:pStyle w:val="TextBody"/>
        <w:pBdr>
          <w:top w:val="single" w:sz="2" w:space="1" w:color="000000"/>
          <w:bottom w:val="single" w:sz="24" w:space="1" w:color="000000"/>
        </w:pBdr>
        <w:bidi w:val="0"/>
        <w:spacing w:before="0" w:after="240"/>
        <w:ind w:left="0" w:right="0" w:firstLine="523"/>
        <w:jc w:val="both"/>
        <w:rPr/>
      </w:pPr>
      <w:r>
        <w:rPr/>
        <w:t>​</w:t>
      </w:r>
    </w:p>
    <w:p>
      <w:pPr>
        <w:pStyle w:val="TextBody"/>
        <w:bidi w:val="0"/>
        <w:spacing w:before="0" w:after="240"/>
        <w:ind w:left="0" w:right="0" w:firstLine="523"/>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51" w:name="TOC"/>
      <w:bookmarkStart w:id="52" w:name="_4e79eda8_687c_4821_b92d_d5cc596c472c"/>
      <w:bookmarkEnd w:id="51"/>
      <w:bookmarkEnd w:id="52"/>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3"/>
        <w:gridCol w:w="8930"/>
        <w:gridCol w:w="572"/>
      </w:tblGrid>
      <w:tr>
        <w:trPr/>
        <w:tc>
          <w:tcPr>
            <w:tcW w:w="703" w:type="dxa"/>
            <w:tcBorders/>
            <w:vAlign w:val="center"/>
          </w:tcPr>
          <w:p>
            <w:pPr>
              <w:pStyle w:val="TableContents"/>
              <w:bidi w:val="0"/>
              <w:spacing w:before="0" w:after="0"/>
              <w:ind w:left="0" w:right="0" w:hanging="0"/>
              <w:jc w:val="left"/>
              <w:rPr/>
            </w:pPr>
            <w:r>
              <w:rPr/>
              <w:t>​</w:t>
            </w:r>
          </w:p>
        </w:tc>
        <w:tc>
          <w:tcPr>
            <w:tcW w:w="8930" w:type="dxa"/>
            <w:tcBorders/>
            <w:vAlign w:val="center"/>
          </w:tcPr>
          <w:p>
            <w:pPr>
              <w:pStyle w:val="TableContents"/>
              <w:bidi w:val="0"/>
              <w:spacing w:before="0" w:after="0"/>
              <w:ind w:left="0" w:right="0" w:hanging="0"/>
              <w:jc w:val="left"/>
              <w:rPr/>
            </w:pPr>
            <w:r>
              <w:rPr/>
              <w:t> </w:t>
            </w:r>
          </w:p>
        </w:tc>
        <w:tc>
          <w:tcPr>
            <w:tcW w:w="572"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03" w:type="dxa"/>
            <w:tcBorders/>
            <w:vAlign w:val="center"/>
          </w:tcPr>
          <w:p>
            <w:pPr>
              <w:pStyle w:val="TableContents"/>
              <w:bidi w:val="0"/>
              <w:spacing w:before="0" w:after="0"/>
              <w:ind w:left="0" w:right="0" w:hanging="0"/>
              <w:jc w:val="left"/>
              <w:rPr/>
            </w:pPr>
            <w:r>
              <w:rPr/>
              <w:t>​</w:t>
            </w:r>
          </w:p>
        </w:tc>
        <w:tc>
          <w:tcPr>
            <w:tcW w:w="8930" w:type="dxa"/>
            <w:tcBorders/>
            <w:vAlign w:val="center"/>
          </w:tcPr>
          <w:p>
            <w:pPr>
              <w:pStyle w:val="TableContents"/>
              <w:bidi w:val="0"/>
              <w:spacing w:before="0" w:after="0"/>
              <w:ind w:left="0" w:right="0" w:hanging="0"/>
              <w:jc w:val="center"/>
              <w:rPr/>
            </w:pPr>
            <w:hyperlink w:anchor="PARTIFINANCIALINFORMATION_19634">
              <w:r>
                <w:rPr>
                  <w:rStyle w:val="InternetLink"/>
                  <w:rFonts w:ascii="Times New Roman;Times;serif" w:hAnsi="Times New Roman;Times;serif"/>
                  <w:b w:val="false"/>
                  <w:i w:val="false"/>
                  <w:caps w:val="false"/>
                  <w:smallCaps w:val="false"/>
                  <w:sz w:val="20"/>
                </w:rPr>
                <w:t>Part I - Financial Information </w:t>
              </w:r>
            </w:hyperlink>
          </w:p>
        </w:tc>
        <w:tc>
          <w:tcPr>
            <w:tcW w:w="572"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703" w:type="dxa"/>
            <w:tcBorders/>
            <w:vAlign w:val="center"/>
          </w:tcPr>
          <w:p>
            <w:pPr>
              <w:pStyle w:val="TableContents"/>
              <w:bidi w:val="0"/>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Item 1.</w:t>
              </w:r>
            </w:hyperlink>
          </w:p>
        </w:tc>
        <w:tc>
          <w:tcPr>
            <w:tcW w:w="8930" w:type="dxa"/>
            <w:tcBorders/>
            <w:vAlign w:val="center"/>
          </w:tcPr>
          <w:p>
            <w:pPr>
              <w:pStyle w:val="TableContents"/>
              <w:bidi w:val="0"/>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Financial Statements</w:t>
              </w:r>
            </w:hyperlink>
          </w:p>
        </w:tc>
        <w:tc>
          <w:tcPr>
            <w:tcW w:w="572" w:type="dxa"/>
            <w:tcBorders/>
            <w:vAlign w:val="center"/>
          </w:tcPr>
          <w:p>
            <w:pPr>
              <w:pStyle w:val="TableContents"/>
              <w:bidi w:val="0"/>
              <w:spacing w:before="0" w:after="0"/>
              <w:ind w:left="0" w:right="0" w:hanging="0"/>
              <w:jc w:val="right"/>
              <w:rPr/>
            </w:pPr>
            <w:r>
              <w:rPr/>
              <w:t>​</w:t>
            </w:r>
          </w:p>
        </w:tc>
      </w:tr>
      <w:tr>
        <w:trPr/>
        <w:tc>
          <w:tcPr>
            <w:tcW w:w="703" w:type="dxa"/>
            <w:tcBorders/>
            <w:vAlign w:val="center"/>
          </w:tcPr>
          <w:p>
            <w:pPr>
              <w:pStyle w:val="TableContents"/>
              <w:bidi w:val="0"/>
              <w:spacing w:before="0" w:after="0"/>
              <w:ind w:left="0" w:right="0" w:hanging="0"/>
              <w:jc w:val="left"/>
              <w:rPr/>
            </w:pPr>
            <w:r>
              <w:rPr/>
              <w:t>​</w:t>
            </w:r>
          </w:p>
        </w:tc>
        <w:tc>
          <w:tcPr>
            <w:tcW w:w="8930" w:type="dxa"/>
            <w:tcBorders/>
            <w:vAlign w:val="center"/>
          </w:tcPr>
          <w:p>
            <w:pPr>
              <w:pStyle w:val="TableContents"/>
              <w:bidi w:val="0"/>
              <w:spacing w:before="0" w:after="0"/>
              <w:ind w:left="0" w:right="0" w:hanging="0"/>
              <w:jc w:val="both"/>
              <w:rPr/>
            </w:pPr>
            <w:hyperlink w:anchor="CondensedConsolidatedBalanceSheets_41728">
              <w:r>
                <w:rPr>
                  <w:rStyle w:val="InternetLink"/>
                  <w:rFonts w:ascii="Times New Roman;Times;serif" w:hAnsi="Times New Roman;Times;serif"/>
                  <w:b w:val="false"/>
                  <w:i w:val="false"/>
                  <w:caps w:val="false"/>
                  <w:smallCaps w:val="false"/>
                  <w:sz w:val="20"/>
                </w:rPr>
                <w:t>Condensed Consolidated Balance Sheets as of September 30, 2023 and December 31, 2022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03" w:type="dxa"/>
            <w:tcBorders/>
            <w:vAlign w:val="center"/>
          </w:tcPr>
          <w:p>
            <w:pPr>
              <w:pStyle w:val="TableContents"/>
              <w:bidi w:val="0"/>
              <w:spacing w:before="0" w:after="0"/>
              <w:ind w:left="0" w:right="0" w:hanging="0"/>
              <w:jc w:val="left"/>
              <w:rPr/>
            </w:pPr>
            <w:r>
              <w:rPr/>
              <w:t>​</w:t>
            </w:r>
          </w:p>
        </w:tc>
        <w:tc>
          <w:tcPr>
            <w:tcW w:w="8930" w:type="dxa"/>
            <w:tcBorders/>
            <w:vAlign w:val="center"/>
          </w:tcPr>
          <w:p>
            <w:pPr>
              <w:pStyle w:val="TableContents"/>
              <w:bidi w:val="0"/>
              <w:spacing w:before="0" w:after="0"/>
              <w:ind w:left="0" w:right="0" w:hanging="0"/>
              <w:jc w:val="both"/>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Loss for the Three and Nine Months Ended September 30, 2023 and 2022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3" w:type="dxa"/>
            <w:tcBorders/>
            <w:vAlign w:val="center"/>
          </w:tcPr>
          <w:p>
            <w:pPr>
              <w:pStyle w:val="TableContents"/>
              <w:bidi w:val="0"/>
              <w:spacing w:before="0" w:after="0"/>
              <w:ind w:left="0" w:right="0" w:hanging="0"/>
              <w:jc w:val="left"/>
              <w:rPr/>
            </w:pPr>
            <w:r>
              <w:rPr/>
              <w:t>​</w:t>
            </w:r>
          </w:p>
        </w:tc>
        <w:tc>
          <w:tcPr>
            <w:tcW w:w="8930" w:type="dxa"/>
            <w:tcBorders/>
            <w:vAlign w:val="center"/>
          </w:tcPr>
          <w:p>
            <w:pPr>
              <w:pStyle w:val="TableContents"/>
              <w:bidi w:val="0"/>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for the Three and Nine Months Ended September 30, 2023 and 2022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03" w:type="dxa"/>
            <w:tcBorders/>
            <w:vAlign w:val="center"/>
          </w:tcPr>
          <w:p>
            <w:pPr>
              <w:pStyle w:val="TableContents"/>
              <w:bidi w:val="0"/>
              <w:spacing w:before="0" w:after="0"/>
              <w:ind w:left="0" w:right="0" w:hanging="0"/>
              <w:jc w:val="left"/>
              <w:rPr/>
            </w:pPr>
            <w:r>
              <w:rPr/>
              <w:t>​</w:t>
            </w:r>
          </w:p>
        </w:tc>
        <w:tc>
          <w:tcPr>
            <w:tcW w:w="8930" w:type="dxa"/>
            <w:tcBorders/>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Nine Months Ended September 30, 2023 and 2022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03" w:type="dxa"/>
            <w:tcBorders/>
            <w:vAlign w:val="center"/>
          </w:tcPr>
          <w:p>
            <w:pPr>
              <w:pStyle w:val="TableContents"/>
              <w:bidi w:val="0"/>
              <w:spacing w:before="0" w:after="0"/>
              <w:ind w:left="0" w:right="0" w:hanging="0"/>
              <w:jc w:val="left"/>
              <w:rPr/>
            </w:pPr>
            <w:r>
              <w:rPr/>
              <w:t>​</w:t>
            </w:r>
          </w:p>
        </w:tc>
        <w:tc>
          <w:tcPr>
            <w:tcW w:w="8930" w:type="dxa"/>
            <w:tcBorders/>
            <w:vAlign w:val="center"/>
          </w:tcPr>
          <w:p>
            <w:pPr>
              <w:pStyle w:val="TableContents"/>
              <w:bidi w:val="0"/>
              <w:spacing w:before="0" w:after="0"/>
              <w:ind w:left="0" w:right="0" w:hanging="0"/>
              <w:jc w:val="both"/>
              <w:rPr/>
            </w:pPr>
            <w:hyperlink w:anchor="a1SUMMARYOFSIGNIFICANTACCOUNTINGPOLICI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03" w:type="dxa"/>
            <w:tcBorders/>
            <w:vAlign w:val="center"/>
          </w:tcPr>
          <w:p>
            <w:pPr>
              <w:pStyle w:val="TableContents"/>
              <w:bidi w:val="0"/>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Item 2.</w:t>
              </w:r>
            </w:hyperlink>
          </w:p>
        </w:tc>
        <w:tc>
          <w:tcPr>
            <w:tcW w:w="8930" w:type="dxa"/>
            <w:tcBorders/>
            <w:vAlign w:val="center"/>
          </w:tcPr>
          <w:p>
            <w:pPr>
              <w:pStyle w:val="TableContents"/>
              <w:bidi w:val="0"/>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03" w:type="dxa"/>
            <w:tcBorders/>
            <w:vAlign w:val="center"/>
          </w:tcPr>
          <w:p>
            <w:pPr>
              <w:pStyle w:val="TableContents"/>
              <w:bidi w:val="0"/>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Item 3.</w:t>
              </w:r>
            </w:hyperlink>
          </w:p>
        </w:tc>
        <w:tc>
          <w:tcPr>
            <w:tcW w:w="8930" w:type="dxa"/>
            <w:tcBorders/>
            <w:vAlign w:val="center"/>
          </w:tcPr>
          <w:p>
            <w:pPr>
              <w:pStyle w:val="TableContents"/>
              <w:bidi w:val="0"/>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03" w:type="dxa"/>
            <w:tcBorders/>
            <w:vAlign w:val="center"/>
          </w:tcPr>
          <w:p>
            <w:pPr>
              <w:pStyle w:val="TableContents"/>
              <w:bidi w:val="0"/>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Item 4.</w:t>
              </w:r>
            </w:hyperlink>
          </w:p>
        </w:tc>
        <w:tc>
          <w:tcPr>
            <w:tcW w:w="8930" w:type="dxa"/>
            <w:tcBorders/>
            <w:vAlign w:val="center"/>
          </w:tcPr>
          <w:p>
            <w:pPr>
              <w:pStyle w:val="TableContents"/>
              <w:bidi w:val="0"/>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703" w:type="dxa"/>
            <w:tcBorders/>
            <w:vAlign w:val="center"/>
          </w:tcPr>
          <w:p>
            <w:pPr>
              <w:pStyle w:val="TableContents"/>
              <w:bidi w:val="0"/>
              <w:spacing w:before="0" w:after="283"/>
              <w:ind w:left="0" w:right="0" w:hanging="0"/>
              <w:jc w:val="left"/>
              <w:rPr>
                <w:sz w:val="4"/>
                <w:szCs w:val="4"/>
              </w:rPr>
            </w:pPr>
            <w:r>
              <w:rPr>
                <w:sz w:val="4"/>
                <w:szCs w:val="4"/>
              </w:rPr>
            </w:r>
          </w:p>
        </w:tc>
        <w:tc>
          <w:tcPr>
            <w:tcW w:w="8930" w:type="dxa"/>
            <w:tcBorders/>
            <w:vAlign w:val="center"/>
          </w:tcPr>
          <w:p>
            <w:pPr>
              <w:pStyle w:val="TableContents"/>
              <w:bidi w:val="0"/>
              <w:spacing w:before="0" w:after="0"/>
              <w:ind w:left="0" w:right="0" w:hanging="0"/>
              <w:jc w:val="center"/>
              <w:rPr/>
            </w:pPr>
            <w:hyperlink w:anchor="PARTIIOTHERINFORMATION_466846">
              <w:r>
                <w:rPr>
                  <w:rStyle w:val="InternetLink"/>
                  <w:rFonts w:ascii="Times New Roman;Times;serif" w:hAnsi="Times New Roman;Times;serif"/>
                  <w:b w:val="false"/>
                  <w:i w:val="false"/>
                  <w:caps w:val="false"/>
                  <w:smallCaps w:val="false"/>
                  <w:sz w:val="20"/>
                </w:rPr>
                <w:t>Part II - 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3" w:type="dxa"/>
            <w:tcBorders/>
            <w:vAlign w:val="center"/>
          </w:tcPr>
          <w:p>
            <w:pPr>
              <w:pStyle w:val="TableContents"/>
              <w:bidi w:val="0"/>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Item 1.</w:t>
              </w:r>
            </w:hyperlink>
          </w:p>
        </w:tc>
        <w:tc>
          <w:tcPr>
            <w:tcW w:w="8930" w:type="dxa"/>
            <w:tcBorders/>
            <w:vAlign w:val="center"/>
          </w:tcPr>
          <w:p>
            <w:pPr>
              <w:pStyle w:val="TableContents"/>
              <w:bidi w:val="0"/>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3" w:type="dxa"/>
            <w:tcBorders/>
            <w:vAlign w:val="center"/>
          </w:tcPr>
          <w:p>
            <w:pPr>
              <w:pStyle w:val="TableContents"/>
              <w:bidi w:val="0"/>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Item 1A.</w:t>
              </w:r>
            </w:hyperlink>
          </w:p>
        </w:tc>
        <w:tc>
          <w:tcPr>
            <w:tcW w:w="8930" w:type="dxa"/>
            <w:tcBorders/>
            <w:vAlign w:val="center"/>
          </w:tcPr>
          <w:p>
            <w:pPr>
              <w:pStyle w:val="TableContents"/>
              <w:bidi w:val="0"/>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3"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30"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3" w:type="dxa"/>
            <w:tcBorders/>
            <w:vAlign w:val="center"/>
          </w:tcPr>
          <w:p>
            <w:pPr>
              <w:pStyle w:val="TableContents"/>
              <w:bidi w:val="0"/>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Item 3.</w:t>
              </w:r>
            </w:hyperlink>
          </w:p>
        </w:tc>
        <w:tc>
          <w:tcPr>
            <w:tcW w:w="8930" w:type="dxa"/>
            <w:tcBorders/>
            <w:vAlign w:val="center"/>
          </w:tcPr>
          <w:p>
            <w:pPr>
              <w:pStyle w:val="TableContents"/>
              <w:bidi w:val="0"/>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3" w:type="dxa"/>
            <w:tcBorders/>
            <w:vAlign w:val="center"/>
          </w:tcPr>
          <w:p>
            <w:pPr>
              <w:pStyle w:val="TableContents"/>
              <w:bidi w:val="0"/>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Item 4.</w:t>
              </w:r>
            </w:hyperlink>
          </w:p>
        </w:tc>
        <w:tc>
          <w:tcPr>
            <w:tcW w:w="8930" w:type="dxa"/>
            <w:tcBorders/>
            <w:vAlign w:val="center"/>
          </w:tcPr>
          <w:p>
            <w:pPr>
              <w:pStyle w:val="TableContents"/>
              <w:bidi w:val="0"/>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3" w:type="dxa"/>
            <w:tcBorders/>
            <w:vAlign w:val="center"/>
          </w:tcPr>
          <w:p>
            <w:pPr>
              <w:pStyle w:val="TableContents"/>
              <w:bidi w:val="0"/>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Item 5.</w:t>
              </w:r>
            </w:hyperlink>
          </w:p>
        </w:tc>
        <w:tc>
          <w:tcPr>
            <w:tcW w:w="8930" w:type="dxa"/>
            <w:tcBorders/>
            <w:vAlign w:val="center"/>
          </w:tcPr>
          <w:p>
            <w:pPr>
              <w:pStyle w:val="TableContents"/>
              <w:bidi w:val="0"/>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 xml:space="preserve">Other Information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3" w:type="dxa"/>
            <w:tcBorders/>
            <w:vAlign w:val="center"/>
          </w:tcPr>
          <w:p>
            <w:pPr>
              <w:pStyle w:val="TableContents"/>
              <w:bidi w:val="0"/>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Item 6.</w:t>
              </w:r>
            </w:hyperlink>
          </w:p>
        </w:tc>
        <w:tc>
          <w:tcPr>
            <w:tcW w:w="8930" w:type="dxa"/>
            <w:tcBorders/>
            <w:vAlign w:val="center"/>
          </w:tcPr>
          <w:p>
            <w:pPr>
              <w:pStyle w:val="TableContents"/>
              <w:bidi w:val="0"/>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03" w:type="dxa"/>
            <w:tcBorders/>
            <w:vAlign w:val="center"/>
          </w:tcPr>
          <w:p>
            <w:pPr>
              <w:pStyle w:val="TableContents"/>
              <w:bidi w:val="0"/>
              <w:spacing w:before="0" w:after="283"/>
              <w:ind w:left="0" w:right="0" w:hanging="0"/>
              <w:jc w:val="left"/>
              <w:rPr>
                <w:sz w:val="4"/>
                <w:szCs w:val="4"/>
              </w:rPr>
            </w:pPr>
            <w:r>
              <w:rPr>
                <w:sz w:val="4"/>
                <w:szCs w:val="4"/>
              </w:rPr>
            </w:r>
          </w:p>
        </w:tc>
        <w:tc>
          <w:tcPr>
            <w:tcW w:w="8930" w:type="dxa"/>
            <w:tcBorders/>
            <w:vAlign w:val="center"/>
          </w:tcPr>
          <w:p>
            <w:pPr>
              <w:pStyle w:val="TableContents"/>
              <w:bidi w:val="0"/>
              <w:spacing w:before="0" w:after="0"/>
              <w:ind w:left="0" w:right="0" w:hanging="0"/>
              <w:jc w:val="both"/>
              <w:rPr/>
            </w:pPr>
            <w:hyperlink w:anchor="SIGNATURES_99336">
              <w:r>
                <w:rPr>
                  <w:rStyle w:val="InternetLink"/>
                  <w:rFonts w:ascii="Times New Roman;Times;serif" w:hAnsi="Times New Roman;Times;serif"/>
                  <w:b w:val="false"/>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53" w:name="_c2ed6f5f_c54f_43cb_99d9_8bc8764a6cb6"/>
      <w:bookmarkEnd w:id="53"/>
      <w:r>
        <w:rPr>
          <w:rFonts w:ascii="Times New Roman;Times;serif" w:hAnsi="Times New Roman;Times;serif"/>
          <w:b/>
          <w:sz w:val="20"/>
        </w:rPr>
        <w:t>SPECIAL NOTE REGARDING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on a cost-effective basis and the extent to which existing customers renew and upgrade their subscriptions;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and expand revenues, maintain profitability, and to effectively manage our anticipated growth;</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our introduction of new solutions or updates to existing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diversify our solutions by developing or introducing new solutions or acquiring and integrating additional businesses, products, services, or content;</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our strategic relationships with third parties;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expanding international operations;</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our solutions to customers without disruption or delay;</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liability from errors, delays, fraud or system failures, which may not be covered by insurance;</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determinations of customers’ transaction tax and tax payments;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changes in tax laws and regulations or their interpretation or enforcement;</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cybersecurity and data privacy risks;</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failures in information technology, infrastructure, and third-party service providers;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protect, maintain, and enhance our brand;</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weakness and uncertainties, and disruption in the capital and credit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disruptions related to natural disasters, epidemic outbreaks, terrorist acts, political events, or other events outside of our control;</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effects on our business from the existence of a global endemic or pandemic;</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anti-corruption, anti-bribery, and similar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security ratings and market perceptions of the industry in which we operate, or our ability to obtain capital on commercially reasonable terms or at all;</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of belief and any statements of assumptions underlying any of the foregoing; and</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beyond our control.</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risks included here are not exhaustive, and additional factors could adversely affect our business and financial performance, including factors and risks included in our Annual Report on Form 10-K for the year ended December 31, 2022, filed with the Securities and Exchange Commission (the “SEC”) on March 10, 2023 (the “2022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7"/>
        </w:rPr>
      </w:pPr>
      <w:bookmarkStart w:id="54" w:name="PARTIFINANCIALINFORMATION_19634"/>
      <w:bookmarkStart w:id="55" w:name="_4d0c939a_04b0_4288_8d9b_d710c618acfa"/>
      <w:bookmarkEnd w:id="54"/>
      <w:bookmarkEnd w:id="55"/>
      <w:r>
        <w:rPr>
          <w:rFonts w:ascii="Times New Roman;Times;serif" w:hAnsi="Times New Roman;Times;serif"/>
          <w:b/>
          <w:sz w:val="17"/>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6"/>
        </w:rPr>
      </w:pPr>
      <w:bookmarkStart w:id="56" w:name="Item1FINANCIALSTATEMENTS_787624"/>
      <w:bookmarkEnd w:id="56"/>
      <w:r>
        <w:rPr>
          <w:rFonts w:ascii="Times New Roman;Times;serif" w:hAnsi="Times New Roman;Times;serif"/>
          <w:b/>
          <w:sz w:val="16"/>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Vertex, Inc. and Subsidiaries</w:t>
      </w:r>
    </w:p>
    <w:p>
      <w:pPr>
        <w:pStyle w:val="TextBody"/>
        <w:bidi w:val="0"/>
        <w:spacing w:before="0" w:after="0"/>
        <w:ind w:left="0" w:right="0" w:hanging="0"/>
        <w:jc w:val="center"/>
        <w:rPr>
          <w:rFonts w:ascii="Times New Roman;Times;serif" w:hAnsi="Times New Roman;Times;serif"/>
          <w:b/>
          <w:sz w:val="16"/>
        </w:rPr>
      </w:pPr>
      <w:bookmarkStart w:id="57" w:name="CondensedConsolidatedBalanceSheets_41728"/>
      <w:bookmarkEnd w:id="57"/>
      <w:r>
        <w:rPr>
          <w:rFonts w:ascii="Times New Roman;Times;serif" w:hAnsi="Times New Roman;Times;serif"/>
          <w:b/>
          <w:sz w:val="16"/>
        </w:rPr>
        <w:t>Condensed Consolidated Balance Sheets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2023 and December 31, 2022</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8" w:name="Tc_9diPPHrk40-fVSoFIjzoPQ_51_4"/>
      <w:bookmarkStart w:id="59" w:name="Tc_n3LyOpfvrUi26AhTMYCP6g_51_1"/>
      <w:bookmarkStart w:id="60" w:name="Tc_J49zDyIzV0igqa_o3rAdNw_51_0"/>
      <w:bookmarkStart w:id="61" w:name="Tc_AbSSkcPMfUeWA99TM2G-hw_50_0"/>
      <w:bookmarkStart w:id="62" w:name="Tc_kEvcdLhRL0S66abCzJ7JJw_49_0"/>
      <w:bookmarkStart w:id="63" w:name="Tc_dq1Bu8ZLvEONbETRcQrDuA_48_0"/>
      <w:bookmarkStart w:id="64" w:name="Tc_jjL4tYY_VEicou8zeCKWsg_47_0"/>
      <w:bookmarkStart w:id="65" w:name="Tc_t16zfmX7PUeQnsV-CkamCA_46_0"/>
      <w:bookmarkStart w:id="66" w:name="Tc_uWIubdx8xUGXjmYQm4zyJg_45_0"/>
      <w:bookmarkStart w:id="67" w:name="_c22eb737_72e9_4a57_8485_cb84a75af111_3"/>
      <w:bookmarkStart w:id="68" w:name="_c22eb737_72e9_4a57_8485_cb84a75af111_2"/>
      <w:bookmarkStart w:id="69" w:name="_c22eb737_72e9_4a57_8485_cb84a75af111"/>
      <w:bookmarkStart w:id="70" w:name="Tc_XV4SJQPS-UuFWmGfdS88Ag_44_0"/>
      <w:bookmarkStart w:id="71" w:name="Tc_e1hT0gk6P0KkGv63GiWRKw_43_0"/>
      <w:bookmarkStart w:id="72" w:name="Tc_D14-cNsPFk63CkTzRMd89w_42_0"/>
      <w:bookmarkStart w:id="73" w:name="Tc_t9VCBf8u1k-6iSxN3rDjYw_41_0"/>
      <w:bookmarkStart w:id="74" w:name="Tc_hkktyHXGdE2Z63_yLX2AZg_40_0"/>
      <w:bookmarkStart w:id="75" w:name="Tc_43-XjTbxJEyAz8UnTjP9Tg_39_0"/>
      <w:bookmarkStart w:id="76" w:name="Tc_tq4kV0MAxUi2QxL861WMww_38_0"/>
      <w:bookmarkStart w:id="77" w:name="Tc_pbdhhje5Lk-NJzcduGFeow_37_0"/>
      <w:bookmarkStart w:id="78" w:name="Tc_7-st5AsB1kWs_Nv39oTAyA_36_0"/>
      <w:bookmarkStart w:id="79" w:name="Tc_Lct_ulXljUWLcKP1Hj74hw_35_0"/>
      <w:bookmarkStart w:id="80" w:name="Tc_BBTSNk5c-0OUnKtt-mM0UQ_34_0"/>
      <w:bookmarkStart w:id="81" w:name="Tc_NTaYDWVBbUOPKhLByZA0aA_33_0"/>
      <w:bookmarkStart w:id="82" w:name="Tc_zVQpbFGA8EKXDhiRbjpzOw_32_0"/>
      <w:bookmarkStart w:id="83" w:name="Tc_D67MYmXMfUGR-6dK1MtmKA_31_0"/>
      <w:bookmarkStart w:id="84" w:name="Tc_GursuSz_xEa_A6lWpcSMtQ_30_0"/>
      <w:bookmarkStart w:id="85" w:name="Tc_lRXi9TF_d0ONpthefnbkaQ_29_0"/>
      <w:bookmarkStart w:id="86" w:name="Tc_Rzr1Q2TgkkuqOQPook-w8w_28_2"/>
      <w:bookmarkStart w:id="87" w:name="Tc_hdtLx27kI0igCa_7SDMOVQ_28_0"/>
      <w:bookmarkStart w:id="88" w:name="Tc_IlIquulTckG5VrT7FLCmRw_27_0"/>
      <w:bookmarkStart w:id="89" w:name="Tc_Vrdv8NLDqEaORKhOsVIyAQ_26_0"/>
      <w:bookmarkStart w:id="90" w:name="Tc_D7j7AAdt_Ue0NyddJuUktg_25_0"/>
      <w:bookmarkStart w:id="91" w:name="Tc_BapB3vxMyE20EkPbrzQkCw_24_0"/>
      <w:bookmarkStart w:id="92" w:name="Tc_51vaC-KvPkW9HwPJBuDjYQ_23_0"/>
      <w:bookmarkStart w:id="93" w:name="Tc_B8IHZFuawEeeg70RdE_baA_22_4"/>
      <w:bookmarkStart w:id="94" w:name="Tc_b45hFVrAxkW4qP-UAvfReQ_22_1"/>
      <w:bookmarkStart w:id="95" w:name="Tc_cjliGRInWUyD26UE91twuw_22_0"/>
      <w:bookmarkStart w:id="96" w:name="Tc_ued8EtWUmkyWNa4kQrDRkQ_21_0"/>
      <w:bookmarkStart w:id="97" w:name="Tc_7mytXX1OhkGam54RJruGMg_20_5"/>
      <w:bookmarkStart w:id="98" w:name="Tc_Y670KXfQxEuDcMlUWRNddw_20_2"/>
      <w:bookmarkStart w:id="99" w:name="Tc_H_K62_7J8keJUDQV4jVZXw_20_0"/>
      <w:bookmarkStart w:id="100" w:name="Tc_QskQS3P51USkarO4TVN-Pg_19_4"/>
      <w:bookmarkStart w:id="101" w:name="Tc_ZK8b0u8T-k28FcmF98YGcw_19_1"/>
      <w:bookmarkStart w:id="102" w:name="Tc_VKEM4VGEW0e3lqcy8_973A_19_0"/>
      <w:bookmarkStart w:id="103" w:name="Tc_Gh1tASJvg0aQiaJgNQZ4Ew_18_0"/>
      <w:bookmarkStart w:id="104" w:name="Tc_dUiz72tb-UKlCR0A_lgV4g_17_0"/>
      <w:bookmarkStart w:id="105" w:name="Tc_8scw4RD6v0ORsUQ1-m9Msw_16_0"/>
      <w:bookmarkStart w:id="106" w:name="Tc_cxGSijyuuEycCvjKR-bVFg_15_0"/>
      <w:bookmarkStart w:id="107" w:name="Tc_yGmTY9eZ-EKW6oZ0F4D1SQ_14_0"/>
      <w:bookmarkStart w:id="108" w:name="Tc_PO8tSt1BK0SptPQHau0Mpw_13_0"/>
      <w:bookmarkStart w:id="109" w:name="Tc_KBRk5wpOakWnpbkEAED70Q_12_0"/>
      <w:bookmarkStart w:id="110" w:name="Tc_jpEFxBhLMU6n3bAdiM9n7g_11_0"/>
      <w:bookmarkStart w:id="111" w:name="Tc_vH27mKuc_0GWlSsswgHvmg_10_0"/>
      <w:bookmarkStart w:id="112" w:name="Tc_bBQmMO8RmUSAA4nAqHKzlg_9_0"/>
      <w:bookmarkStart w:id="113" w:name="Tc_G38b3CnyA0C_4gT8-bCoig_8_0"/>
      <w:bookmarkStart w:id="114" w:name="Tc__sI6fAUrQECqhzRUc_yXGg_7_0"/>
      <w:bookmarkStart w:id="115" w:name="Tc_EV070aj-akyJZpX6ZVjJGg_6_4"/>
      <w:bookmarkStart w:id="116" w:name="Tc_7JY3RxVwKkeCHXyAF5loTw_6_1"/>
      <w:bookmarkStart w:id="117" w:name="Tc_XlC7KYK3Nk-ZZxVekM9ZnA_6_0"/>
      <w:bookmarkStart w:id="118" w:name="Tc_CRinxblnDkK6XiqJ0Kt7wQ_5_0"/>
      <w:bookmarkStart w:id="119" w:name="Tc_Wus4GGIyWUCshcupVtO1vQ_4_0"/>
      <w:bookmarkStart w:id="120" w:name="Tc_om54S-8gvUGWUnlioi2RYQ_3_1"/>
      <w:bookmarkStart w:id="121" w:name="Tc_6Dgw8puzA0Wj4B5ZpYDRcA_2_4"/>
      <w:bookmarkStart w:id="122" w:name="Tc_5RYec17uFEa7dYsUvnrQUw_2_1"/>
      <w:bookmarkStart w:id="123" w:name="Tc_GeIsovA4GkukA64pzr3Oww_1_4"/>
      <w:bookmarkStart w:id="124" w:name="Tc_DgIe8V7FWk2S_XogovE1Ag_1_1"/>
      <w:bookmarkStart w:id="125" w:name="_bf713315_f8fd_4cb8_8c2b_575f331673ed"/>
      <w:bookmarkStart w:id="126" w:name="Tc_9diPPHrk40-fVSoFIjzoPQ_51_4"/>
      <w:bookmarkStart w:id="127" w:name="Tc_n3LyOpfvrUi26AhTMYCP6g_51_1"/>
      <w:bookmarkStart w:id="128" w:name="Tc_J49zDyIzV0igqa_o3rAdNw_51_0"/>
      <w:bookmarkStart w:id="129" w:name="Tc_AbSSkcPMfUeWA99TM2G-hw_50_0"/>
      <w:bookmarkStart w:id="130" w:name="Tc_kEvcdLhRL0S66abCzJ7JJw_49_0"/>
      <w:bookmarkStart w:id="131" w:name="Tc_dq1Bu8ZLvEONbETRcQrDuA_48_0"/>
      <w:bookmarkStart w:id="132" w:name="Tc_jjL4tYY_VEicou8zeCKWsg_47_0"/>
      <w:bookmarkStart w:id="133" w:name="Tc_t16zfmX7PUeQnsV-CkamCA_46_0"/>
      <w:bookmarkStart w:id="134" w:name="Tc_uWIubdx8xUGXjmYQm4zyJg_45_0"/>
      <w:bookmarkStart w:id="135" w:name="_c22eb737_72e9_4a57_8485_cb84a75af111_3"/>
      <w:bookmarkStart w:id="136" w:name="_c22eb737_72e9_4a57_8485_cb84a75af111_2"/>
      <w:bookmarkStart w:id="137" w:name="_c22eb737_72e9_4a57_8485_cb84a75af111"/>
      <w:bookmarkStart w:id="138" w:name="Tc_XV4SJQPS-UuFWmGfdS88Ag_44_0"/>
      <w:bookmarkStart w:id="139" w:name="Tc_e1hT0gk6P0KkGv63GiWRKw_43_0"/>
      <w:bookmarkStart w:id="140" w:name="Tc_D14-cNsPFk63CkTzRMd89w_42_0"/>
      <w:bookmarkStart w:id="141" w:name="Tc_t9VCBf8u1k-6iSxN3rDjYw_41_0"/>
      <w:bookmarkStart w:id="142" w:name="Tc_hkktyHXGdE2Z63_yLX2AZg_40_0"/>
      <w:bookmarkStart w:id="143" w:name="Tc_43-XjTbxJEyAz8UnTjP9Tg_39_0"/>
      <w:bookmarkStart w:id="144" w:name="Tc_tq4kV0MAxUi2QxL861WMww_38_0"/>
      <w:bookmarkStart w:id="145" w:name="Tc_pbdhhje5Lk-NJzcduGFeow_37_0"/>
      <w:bookmarkStart w:id="146" w:name="Tc_7-st5AsB1kWs_Nv39oTAyA_36_0"/>
      <w:bookmarkStart w:id="147" w:name="Tc_Lct_ulXljUWLcKP1Hj74hw_35_0"/>
      <w:bookmarkStart w:id="148" w:name="Tc_BBTSNk5c-0OUnKtt-mM0UQ_34_0"/>
      <w:bookmarkStart w:id="149" w:name="Tc_NTaYDWVBbUOPKhLByZA0aA_33_0"/>
      <w:bookmarkStart w:id="150" w:name="Tc_zVQpbFGA8EKXDhiRbjpzOw_32_0"/>
      <w:bookmarkStart w:id="151" w:name="Tc_D67MYmXMfUGR-6dK1MtmKA_31_0"/>
      <w:bookmarkStart w:id="152" w:name="Tc_GursuSz_xEa_A6lWpcSMtQ_30_0"/>
      <w:bookmarkStart w:id="153" w:name="Tc_lRXi9TF_d0ONpthefnbkaQ_29_0"/>
      <w:bookmarkStart w:id="154" w:name="Tc_Rzr1Q2TgkkuqOQPook-w8w_28_2"/>
      <w:bookmarkStart w:id="155" w:name="Tc_hdtLx27kI0igCa_7SDMOVQ_28_0"/>
      <w:bookmarkStart w:id="156" w:name="Tc_IlIquulTckG5VrT7FLCmRw_27_0"/>
      <w:bookmarkStart w:id="157" w:name="Tc_Vrdv8NLDqEaORKhOsVIyAQ_26_0"/>
      <w:bookmarkStart w:id="158" w:name="Tc_D7j7AAdt_Ue0NyddJuUktg_25_0"/>
      <w:bookmarkStart w:id="159" w:name="Tc_BapB3vxMyE20EkPbrzQkCw_24_0"/>
      <w:bookmarkStart w:id="160" w:name="Tc_51vaC-KvPkW9HwPJBuDjYQ_23_0"/>
      <w:bookmarkStart w:id="161" w:name="Tc_B8IHZFuawEeeg70RdE_baA_22_4"/>
      <w:bookmarkStart w:id="162" w:name="Tc_b45hFVrAxkW4qP-UAvfReQ_22_1"/>
      <w:bookmarkStart w:id="163" w:name="Tc_cjliGRInWUyD26UE91twuw_22_0"/>
      <w:bookmarkStart w:id="164" w:name="Tc_ued8EtWUmkyWNa4kQrDRkQ_21_0"/>
      <w:bookmarkStart w:id="165" w:name="Tc_7mytXX1OhkGam54RJruGMg_20_5"/>
      <w:bookmarkStart w:id="166" w:name="Tc_Y670KXfQxEuDcMlUWRNddw_20_2"/>
      <w:bookmarkStart w:id="167" w:name="Tc_H_K62_7J8keJUDQV4jVZXw_20_0"/>
      <w:bookmarkStart w:id="168" w:name="Tc_QskQS3P51USkarO4TVN-Pg_19_4"/>
      <w:bookmarkStart w:id="169" w:name="Tc_ZK8b0u8T-k28FcmF98YGcw_19_1"/>
      <w:bookmarkStart w:id="170" w:name="Tc_VKEM4VGEW0e3lqcy8_973A_19_0"/>
      <w:bookmarkStart w:id="171" w:name="Tc_Gh1tASJvg0aQiaJgNQZ4Ew_18_0"/>
      <w:bookmarkStart w:id="172" w:name="Tc_dUiz72tb-UKlCR0A_lgV4g_17_0"/>
      <w:bookmarkStart w:id="173" w:name="Tc_8scw4RD6v0ORsUQ1-m9Msw_16_0"/>
      <w:bookmarkStart w:id="174" w:name="Tc_cxGSijyuuEycCvjKR-bVFg_15_0"/>
      <w:bookmarkStart w:id="175" w:name="Tc_yGmTY9eZ-EKW6oZ0F4D1SQ_14_0"/>
      <w:bookmarkStart w:id="176" w:name="Tc_PO8tSt1BK0SptPQHau0Mpw_13_0"/>
      <w:bookmarkStart w:id="177" w:name="Tc_KBRk5wpOakWnpbkEAED70Q_12_0"/>
      <w:bookmarkStart w:id="178" w:name="Tc_jpEFxBhLMU6n3bAdiM9n7g_11_0"/>
      <w:bookmarkStart w:id="179" w:name="Tc_vH27mKuc_0GWlSsswgHvmg_10_0"/>
      <w:bookmarkStart w:id="180" w:name="Tc_bBQmMO8RmUSAA4nAqHKzlg_9_0"/>
      <w:bookmarkStart w:id="181" w:name="Tc_G38b3CnyA0C_4gT8-bCoig_8_0"/>
      <w:bookmarkStart w:id="182" w:name="Tc__sI6fAUrQECqhzRUc_yXGg_7_0"/>
      <w:bookmarkStart w:id="183" w:name="Tc_EV070aj-akyJZpX6ZVjJGg_6_4"/>
      <w:bookmarkStart w:id="184" w:name="Tc_7JY3RxVwKkeCHXyAF5loTw_6_1"/>
      <w:bookmarkStart w:id="185" w:name="Tc_XlC7KYK3Nk-ZZxVekM9ZnA_6_0"/>
      <w:bookmarkStart w:id="186" w:name="Tc_CRinxblnDkK6XiqJ0Kt7wQ_5_0"/>
      <w:bookmarkStart w:id="187" w:name="Tc_Wus4GGIyWUCshcupVtO1vQ_4_0"/>
      <w:bookmarkStart w:id="188" w:name="Tc_om54S-8gvUGWUnlioi2RYQ_3_1"/>
      <w:bookmarkStart w:id="189" w:name="Tc_6Dgw8puzA0Wj4B5ZpYDRcA_2_4"/>
      <w:bookmarkStart w:id="190" w:name="Tc_5RYec17uFEa7dYsUvnrQUw_2_1"/>
      <w:bookmarkStart w:id="191" w:name="Tc_GeIsovA4GkukA64pzr3Oww_1_4"/>
      <w:bookmarkStart w:id="192" w:name="Tc_DgIe8V7FWk2S_XogovE1Ag_1_1"/>
      <w:bookmarkStart w:id="193" w:name="_bf713315_f8fd_4cb8_8c2b_575f331673ed"/>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W w:w="10205" w:type="dxa"/>
        <w:jc w:val="left"/>
        <w:tblInd w:w="0" w:type="dxa"/>
        <w:tblLayout w:type="fixed"/>
        <w:tblCellMar>
          <w:top w:w="0" w:type="dxa"/>
          <w:left w:w="0" w:type="dxa"/>
          <w:bottom w:w="0" w:type="dxa"/>
          <w:right w:w="0" w:type="dxa"/>
        </w:tblCellMar>
      </w:tblPr>
      <w:tblGrid>
        <w:gridCol w:w="7557"/>
        <w:gridCol w:w="255"/>
        <w:gridCol w:w="904"/>
        <w:gridCol w:w="326"/>
        <w:gridCol w:w="243"/>
        <w:gridCol w:w="920"/>
      </w:tblGrid>
      <w:tr>
        <w:trPr/>
        <w:tc>
          <w:tcPr>
            <w:tcW w:w="7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98695" cy="175260"/>
                      <wp:effectExtent l="0" t="0" r="0" b="0"/>
                      <wp:wrapNone/>
                      <wp:docPr id="1" name="Frame1"/>
                      <a:graphic xmlns:a="http://schemas.openxmlformats.org/drawingml/2006/main">
                        <a:graphicData uri="http://schemas.microsoft.com/office/word/2010/wordprocessingShape">
                          <wps:wsp>
                            <wps:cNvSpPr txBox="1"/>
                            <wps:spPr>
                              <a:xfrm>
                                <a:off x="0" y="0"/>
                                <a:ext cx="4798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1925" cy="175260"/>
                      <wp:effectExtent l="0" t="0" r="0" b="0"/>
                      <wp:wrapNone/>
                      <wp:docPr id="2" name="Frame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74040" cy="175260"/>
                      <wp:effectExtent l="0" t="0" r="0" b="0"/>
                      <wp:wrapNone/>
                      <wp:docPr id="3" name="Frame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54305" cy="175260"/>
                      <wp:effectExtent l="0" t="0" r="0" b="0"/>
                      <wp:wrapNone/>
                      <wp:docPr id="5" name="Frame5"/>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84200" cy="175260"/>
                      <wp:effectExtent l="0" t="0" r="0" b="0"/>
                      <wp:wrapNone/>
                      <wp:docPr id="6" name="Frame6"/>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57" w:type="dxa"/>
            <w:tcBorders/>
            <w:vAlign w:val="center"/>
          </w:tcPr>
          <w:p>
            <w:pPr>
              <w:pStyle w:val="TableContents"/>
              <w:bidi w:val="0"/>
              <w:spacing w:before="0" w:after="1"/>
              <w:ind w:left="0" w:right="0" w:hanging="0"/>
              <w:jc w:val="left"/>
              <w:rPr/>
            </w:pPr>
            <w:r>
              <w:rPr/>
              <w:t>​</w:t>
            </w:r>
          </w:p>
        </w:tc>
        <w:tc>
          <w:tcPr>
            <w:tcW w:w="115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    </w:t>
            </w:r>
          </w:p>
        </w:tc>
        <w:tc>
          <w:tcPr>
            <w:tcW w:w="116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557" w:type="dxa"/>
            <w:tcBorders/>
            <w:vAlign w:val="center"/>
          </w:tcPr>
          <w:p>
            <w:pPr>
              <w:pStyle w:val="TableContents"/>
              <w:bidi w:val="0"/>
              <w:spacing w:before="0" w:after="1"/>
              <w:ind w:left="0" w:right="0" w:hanging="0"/>
              <w:jc w:val="left"/>
              <w:rPr/>
            </w:pPr>
            <w:r>
              <w:rPr/>
              <w:t>​</w:t>
            </w:r>
          </w:p>
        </w:tc>
        <w:tc>
          <w:tcPr>
            <w:tcW w:w="11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1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557" w:type="dxa"/>
            <w:tcBorders/>
            <w:vAlign w:val="center"/>
          </w:tcPr>
          <w:p>
            <w:pPr>
              <w:pStyle w:val="TableContents"/>
              <w:bidi w:val="0"/>
              <w:spacing w:before="0" w:after="1"/>
              <w:ind w:left="0" w:right="0" w:hanging="0"/>
              <w:jc w:val="left"/>
              <w:rPr/>
            </w:pPr>
            <w:r>
              <w:rPr/>
              <w:t>​</w:t>
            </w:r>
          </w:p>
        </w:tc>
        <w:tc>
          <w:tcPr>
            <w:tcW w:w="115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    </w:t>
            </w:r>
          </w:p>
        </w:tc>
        <w:tc>
          <w:tcPr>
            <w:tcW w:w="243" w:type="dxa"/>
            <w:tcBorders/>
            <w:vAlign w:val="center"/>
          </w:tcPr>
          <w:p>
            <w:pPr>
              <w:pStyle w:val="TableContents"/>
              <w:bidi w:val="0"/>
              <w:spacing w:before="0" w:after="1"/>
              <w:ind w:left="0" w:right="0" w:hanging="0"/>
              <w:jc w:val="center"/>
              <w:rPr/>
            </w:pPr>
            <w:r>
              <w:rPr/>
              <w:t>​</w:t>
            </w:r>
          </w:p>
        </w:tc>
        <w:tc>
          <w:tcPr>
            <w:tcW w:w="920" w:type="dxa"/>
            <w:tcBorders/>
            <w:vAlign w:val="center"/>
          </w:tcPr>
          <w:p>
            <w:pPr>
              <w:pStyle w:val="TableContents"/>
              <w:bidi w:val="0"/>
              <w:spacing w:before="0" w:after="1"/>
              <w:ind w:left="0" w:right="0" w:hanging="0"/>
              <w:jc w:val="center"/>
              <w:rPr/>
            </w:pPr>
            <w:r>
              <w:rPr/>
              <w:t>​</w:t>
            </w:r>
          </w:p>
        </w:tc>
      </w:tr>
      <w:tr>
        <w:trPr/>
        <w:tc>
          <w:tcPr>
            <w:tcW w:w="7557"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255" w:type="dxa"/>
            <w:tcBorders/>
            <w:shd w:fill="CCEEFF" w:val="clear"/>
            <w:vAlign w:val="center"/>
          </w:tcPr>
          <w:p>
            <w:pPr>
              <w:pStyle w:val="TableContents"/>
              <w:bidi w:val="0"/>
              <w:spacing w:before="0" w:after="1"/>
              <w:ind w:left="0" w:right="0" w:hanging="0"/>
              <w:jc w:val="center"/>
              <w:rPr/>
            </w:pPr>
            <w:r>
              <w:rPr/>
              <w:t>​</w:t>
            </w:r>
          </w:p>
        </w:tc>
        <w:tc>
          <w:tcPr>
            <w:tcW w:w="90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43" w:type="dxa"/>
            <w:tcBorders/>
            <w:shd w:fill="CCEEFF" w:val="clear"/>
            <w:vAlign w:val="center"/>
          </w:tcPr>
          <w:p>
            <w:pPr>
              <w:pStyle w:val="TableContents"/>
              <w:bidi w:val="0"/>
              <w:spacing w:before="0" w:after="1"/>
              <w:ind w:left="0" w:right="0" w:hanging="0"/>
              <w:jc w:val="center"/>
              <w:rPr/>
            </w:pPr>
            <w:r>
              <w:rPr/>
              <w:t>​</w:t>
            </w:r>
          </w:p>
        </w:tc>
        <w:tc>
          <w:tcPr>
            <w:tcW w:w="920" w:type="dxa"/>
            <w:tcBorders/>
            <w:shd w:fill="CCEEFF" w:val="clear"/>
            <w:vAlign w:val="center"/>
          </w:tcPr>
          <w:p>
            <w:pPr>
              <w:pStyle w:val="TableContents"/>
              <w:bidi w:val="0"/>
              <w:spacing w:before="0" w:after="1"/>
              <w:ind w:left="0" w:right="0" w:hanging="0"/>
              <w:jc w:val="center"/>
              <w:rPr/>
            </w:pPr>
            <w:r>
              <w:rPr/>
              <w:t>​</w:t>
            </w:r>
          </w:p>
        </w:tc>
      </w:tr>
      <w:tr>
        <w:trPr/>
        <w:tc>
          <w:tcPr>
            <w:tcW w:w="755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255"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left"/>
              <w:rPr/>
            </w:pPr>
            <w:r>
              <w:rPr/>
              <w:t>​</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49,499</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91,803</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Funds held for customers</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31,623</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14,945</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of $14,308 and $9,554, respectively</w:t>
            </w:r>
          </w:p>
        </w:tc>
        <w:tc>
          <w:tcPr>
            <w:tcW w:w="255"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129,018</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102,885</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19,637</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22,340</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securities available-for-sale, at fair value (amortized cost of $8,359 and $11,220, respectively)</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8,326</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11,173</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238,103</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243,146</w:t>
            </w:r>
          </w:p>
        </w:tc>
      </w:tr>
      <w:tr>
        <w:trPr/>
        <w:tc>
          <w:tcPr>
            <w:tcW w:w="755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 of accumulated depreciation</w:t>
            </w:r>
          </w:p>
        </w:tc>
        <w:tc>
          <w:tcPr>
            <w:tcW w:w="255"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100,270</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101,090</w:t>
            </w:r>
          </w:p>
        </w:tc>
      </w:tr>
      <w:tr>
        <w:trPr/>
        <w:tc>
          <w:tcPr>
            <w:tcW w:w="755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Capitalized software, net of accumulated amortization</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39,356</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39,012</w:t>
            </w:r>
          </w:p>
        </w:tc>
      </w:tr>
      <w:tr>
        <w:trPr/>
        <w:tc>
          <w:tcPr>
            <w:tcW w:w="755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 xml:space="preserve">Goodwill and other intangible assets </w:t>
            </w:r>
          </w:p>
        </w:tc>
        <w:tc>
          <w:tcPr>
            <w:tcW w:w="255"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253,976</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257,023</w:t>
            </w:r>
          </w:p>
        </w:tc>
      </w:tr>
      <w:tr>
        <w:trPr/>
        <w:tc>
          <w:tcPr>
            <w:tcW w:w="755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commissions</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17,094</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15,463</w:t>
            </w:r>
          </w:p>
        </w:tc>
      </w:tr>
      <w:tr>
        <w:trPr/>
        <w:tc>
          <w:tcPr>
            <w:tcW w:w="755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income tax asset</w:t>
            </w:r>
          </w:p>
        </w:tc>
        <w:tc>
          <w:tcPr>
            <w:tcW w:w="255"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40,557</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30,938</w:t>
            </w:r>
          </w:p>
        </w:tc>
      </w:tr>
      <w:tr>
        <w:trPr/>
        <w:tc>
          <w:tcPr>
            <w:tcW w:w="755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Operating lease right-of-use assets</w:t>
            </w:r>
          </w:p>
        </w:tc>
        <w:tc>
          <w:tcPr>
            <w:tcW w:w="255"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15,333</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17,187</w:t>
            </w:r>
          </w:p>
        </w:tc>
      </w:tr>
      <w:tr>
        <w:trPr/>
        <w:tc>
          <w:tcPr>
            <w:tcW w:w="755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assets</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15,379</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15,333</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720,068</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719,192</w:t>
            </w:r>
          </w:p>
        </w:tc>
      </w:tr>
      <w:tr>
        <w:trPr/>
        <w:tc>
          <w:tcPr>
            <w:tcW w:w="7557"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255"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pPr>
            <w:r>
              <w:rPr/>
              <w:t>​</w:t>
            </w:r>
          </w:p>
        </w:tc>
      </w:tr>
      <w:tr>
        <w:trPr/>
        <w:tc>
          <w:tcPr>
            <w:tcW w:w="755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pPr>
            <w:r>
              <w:rPr/>
              <w:t>  </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2,188</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255"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24,379</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14,329</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255"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49,614</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38,234</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Customer funds obligations</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29,117</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12,121</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salaries and benefits</w:t>
            </w:r>
          </w:p>
        </w:tc>
        <w:tc>
          <w:tcPr>
            <w:tcW w:w="255"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17,355</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10,790</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variable compensation</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23,232</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23,729</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compensation, current</w:t>
            </w:r>
          </w:p>
        </w:tc>
        <w:tc>
          <w:tcPr>
            <w:tcW w:w="255"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2,809</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264,785</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268,847</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255"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4,198</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4,086</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finance lease liabilities</w:t>
            </w:r>
          </w:p>
        </w:tc>
        <w:tc>
          <w:tcPr>
            <w:tcW w:w="255"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purchase consideration, current</w:t>
            </w:r>
          </w:p>
        </w:tc>
        <w:tc>
          <w:tcPr>
            <w:tcW w:w="255"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19,824</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current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7,842</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6,149</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433,106</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403,209</w:t>
            </w:r>
          </w:p>
        </w:tc>
      </w:tr>
      <w:tr>
        <w:trPr/>
        <w:tc>
          <w:tcPr>
            <w:tcW w:w="755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revenue, net of current portion</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2,030</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10,289</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net of current portion</w:t>
            </w:r>
          </w:p>
        </w:tc>
        <w:tc>
          <w:tcPr>
            <w:tcW w:w="255"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44,863</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46,709</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255"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17,445</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20,421</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Finance lease liabilities, net of current portion</w:t>
            </w:r>
          </w:p>
        </w:tc>
        <w:tc>
          <w:tcPr>
            <w:tcW w:w="255"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net of current portion</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2,200</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8,412</w:t>
            </w:r>
          </w:p>
        </w:tc>
      </w:tr>
      <w:tr>
        <w:trPr/>
        <w:tc>
          <w:tcPr>
            <w:tcW w:w="755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other liabilities</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499,896</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489,467</w:t>
            </w:r>
          </w:p>
        </w:tc>
      </w:tr>
      <w:tr>
        <w:trPr/>
        <w:tc>
          <w:tcPr>
            <w:tcW w:w="755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11)</w:t>
            </w:r>
          </w:p>
        </w:tc>
        <w:tc>
          <w:tcPr>
            <w:tcW w:w="255"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pPr>
            <w:r>
              <w:rPr/>
              <w:t>  </w:t>
            </w:r>
          </w:p>
        </w:tc>
      </w:tr>
      <w:tr>
        <w:trPr/>
        <w:tc>
          <w:tcPr>
            <w:tcW w:w="755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255"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920" w:type="dxa"/>
            <w:tcBorders/>
            <w:vAlign w:val="center"/>
          </w:tcPr>
          <w:p>
            <w:pPr>
              <w:pStyle w:val="TableContents"/>
              <w:bidi w:val="0"/>
              <w:spacing w:before="0" w:after="1"/>
              <w:ind w:left="0" w:right="0" w:hanging="0"/>
              <w:jc w:val="right"/>
              <w:rPr/>
            </w:pPr>
            <w:r>
              <w:rPr/>
              <w:t>  </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shares, $0.001 par value, 30,000 shares authorized; no shares issued and outstanding</w:t>
            </w:r>
          </w:p>
        </w:tc>
        <w:tc>
          <w:tcPr>
            <w:tcW w:w="255"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Class A voting common stock, $0.001</w:t>
            </w:r>
            <w:r>
              <w:rPr>
                <w:rFonts w:ascii="Times New Roman;Times;serif" w:hAnsi="Times New Roman;Times;serif"/>
                <w:sz w:val="20"/>
              </w:rPr>
              <w:t xml:space="preserve"> </w:t>
            </w:r>
            <w:r>
              <w:rPr>
                <w:rFonts w:ascii="Times New Roman;Times;serif" w:hAnsi="Times New Roman;Times;serif"/>
                <w:sz w:val="16"/>
              </w:rPr>
              <w:t>par value, 300,000</w:t>
            </w:r>
            <w:r>
              <w:rPr>
                <w:rFonts w:ascii="Times New Roman;Times;serif" w:hAnsi="Times New Roman;Times;serif"/>
                <w:sz w:val="20"/>
              </w:rPr>
              <w:t xml:space="preserve"> </w:t>
            </w:r>
            <w:r>
              <w:rPr>
                <w:rFonts w:ascii="Times New Roman;Times;serif" w:hAnsi="Times New Roman;Times;serif"/>
                <w:sz w:val="16"/>
              </w:rPr>
              <w:t>shares authorized; 55,825</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50,014</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255"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Class B voting common stock, $0.001</w:t>
            </w:r>
            <w:r>
              <w:rPr>
                <w:rFonts w:ascii="Times New Roman;Times;serif" w:hAnsi="Times New Roman;Times;serif"/>
                <w:sz w:val="20"/>
              </w:rPr>
              <w:t xml:space="preserve"> </w:t>
            </w:r>
            <w:r>
              <w:rPr>
                <w:rFonts w:ascii="Times New Roman;Times;serif" w:hAnsi="Times New Roman;Times;serif"/>
                <w:sz w:val="16"/>
              </w:rPr>
              <w:t>par value, 150,000</w:t>
            </w:r>
            <w:r>
              <w:rPr>
                <w:rFonts w:ascii="Times New Roman;Times;serif" w:hAnsi="Times New Roman;Times;serif"/>
                <w:sz w:val="20"/>
              </w:rPr>
              <w:t xml:space="preserve"> </w:t>
            </w:r>
            <w:r>
              <w:rPr>
                <w:rFonts w:ascii="Times New Roman;Times;serif" w:hAnsi="Times New Roman;Times;serif"/>
                <w:sz w:val="16"/>
              </w:rPr>
              <w:t>shares authorized; 96,839</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100,307</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255"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 in capital</w:t>
            </w:r>
          </w:p>
        </w:tc>
        <w:tc>
          <w:tcPr>
            <w:tcW w:w="255"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265,251</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244,820</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 retained earnings</w:t>
            </w:r>
          </w:p>
        </w:tc>
        <w:tc>
          <w:tcPr>
            <w:tcW w:w="255"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(15,920)</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12,507</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(29,312)</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(27,752)</w:t>
            </w:r>
          </w:p>
        </w:tc>
      </w:tr>
      <w:tr>
        <w:trPr/>
        <w:tc>
          <w:tcPr>
            <w:tcW w:w="75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220,172</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229,725</w:t>
            </w:r>
          </w:p>
        </w:tc>
      </w:tr>
      <w:tr>
        <w:trPr/>
        <w:tc>
          <w:tcPr>
            <w:tcW w:w="75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720,068</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719,192</w:t>
            </w:r>
          </w:p>
        </w:tc>
      </w:tr>
      <w:tr>
        <w:trPr/>
        <w:tc>
          <w:tcPr>
            <w:tcW w:w="7557"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bookmarkStart w:id="194" w:name="_aabeb030_37d8_4d1d_8a82_5eeabac5375c"/>
      <w:bookmarkEnd w:id="194"/>
      <w:r>
        <w:rPr>
          <w:rFonts w:ascii="Times New Roman;Times;serif" w:hAnsi="Times New Roman;Times;serif"/>
          <w:b/>
          <w:sz w:val="18"/>
        </w:rPr>
        <w:t>Vertex, Inc. and Subsidiaries</w:t>
      </w:r>
    </w:p>
    <w:p>
      <w:pPr>
        <w:pStyle w:val="TextBody"/>
        <w:bidi w:val="0"/>
        <w:spacing w:before="0" w:after="0"/>
        <w:ind w:left="0" w:right="0" w:hanging="0"/>
        <w:jc w:val="center"/>
        <w:rPr>
          <w:rFonts w:ascii="Times New Roman;Times;serif" w:hAnsi="Times New Roman;Times;serif"/>
          <w:b/>
          <w:sz w:val="18"/>
        </w:rPr>
      </w:pPr>
      <w:bookmarkStart w:id="195" w:name="CondensedConsolidatedStatementsofCompreh"/>
      <w:bookmarkEnd w:id="195"/>
      <w:r>
        <w:rPr>
          <w:rFonts w:ascii="Times New Roman;Times;serif" w:hAnsi="Times New Roman;Times;serif"/>
          <w:b/>
          <w:sz w:val="18"/>
        </w:rPr>
        <w:t>Condensed Consolidated Statements of Comprehensive Loss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and nine months ended September 30, 2023 and 2022</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(Amounts in thousands, except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6" w:name="Tc_JM2RNshQ6E6jf5uwamF2rg_43_0"/>
      <w:bookmarkStart w:id="197" w:name="Tc_VBwNNlqiK02tf6ShOlqzxA_42_11"/>
      <w:bookmarkStart w:id="198" w:name="Tc_fSyJ4TcItkGkgYHoCqimUg_42_8"/>
      <w:bookmarkStart w:id="199" w:name="Tc_Vo-J6MXlhkaRs0jo8UXEgQ_42_4"/>
      <w:bookmarkStart w:id="200" w:name="Tc_9zBkWijJUEyt-kFXgDZTeA_42_1"/>
      <w:bookmarkStart w:id="201" w:name="Tc_OLT9kprR0068SM-b4AONYg_42_0"/>
      <w:bookmarkStart w:id="202" w:name="Tc_HwXRUK8ZS0uAEaHf_NHlPQ_41_11"/>
      <w:bookmarkStart w:id="203" w:name="Tc_lBKVGIEBnECH0J7IoVKB7A_41_8"/>
      <w:bookmarkStart w:id="204" w:name="Tc_ggmBt07MzUGLQd6XhSsJFA_41_4"/>
      <w:bookmarkStart w:id="205" w:name="Tc_IuRxGfsEB0uQJ3OIHJLJyA_41_1"/>
      <w:bookmarkStart w:id="206" w:name="Tc_vQHo0AJiske4eShcF7KiyQ_41_0"/>
      <w:bookmarkStart w:id="207" w:name="Tc_uZahQadFpE-ndo3LVfccmQ_40_0"/>
      <w:bookmarkStart w:id="208" w:name="Tc_lag6brQbdkWjcbWQeDLNMw_39_11"/>
      <w:bookmarkStart w:id="209" w:name="Tc_HfBXUJAjE0e-HJFm_E0q4Q_39_8"/>
      <w:bookmarkStart w:id="210" w:name="Tc_fSVhW9x1uk2Q17M4nptuPg_39_4"/>
      <w:bookmarkStart w:id="211" w:name="Tc_WXyT13z_Yky3UmdPSzGx7w_39_1"/>
      <w:bookmarkStart w:id="212" w:name="Tc_zTufqwm_U0uftJefzlytZA_39_0"/>
      <w:bookmarkStart w:id="213" w:name="Tc_G_L1d69XP0u31YSTetIwVw_38_11"/>
      <w:bookmarkStart w:id="214" w:name="Tc_kjIFfFQGP0S_iRke4W5q6Q_38_8"/>
      <w:bookmarkStart w:id="215" w:name="Tc_Qo_SjAEEDEa0hDjpKXyQwA_38_4"/>
      <w:bookmarkStart w:id="216" w:name="Tc_V8jLVToHjUmGe3N12txaiA_38_1"/>
      <w:bookmarkStart w:id="217" w:name="Tc_S8tW0k37cEuoeUa9gIvnhw_38_0"/>
      <w:bookmarkStart w:id="218" w:name="Tc_gOglk1YRDUy6THsp_LwppQ_36_0"/>
      <w:bookmarkStart w:id="219" w:name="Tc_DRotMsyZkUW0m4wJuZL60Q_35_11"/>
      <w:bookmarkStart w:id="220" w:name="Tc_yhGb9CE5HUy5wEDQS0-e_w_35_8"/>
      <w:bookmarkStart w:id="221" w:name="Tc_K1eniEPsSke3n-PkbDeudw_35_4"/>
      <w:bookmarkStart w:id="222" w:name="Tc_FxfcOe3CHE2n_zf-ZEE9Bg_35_1"/>
      <w:bookmarkStart w:id="223" w:name="Tc_sW1gSj_2okC6UFLWO7SJOg_35_0"/>
      <w:bookmarkStart w:id="224" w:name="Tc_toEE8XLvfU6NUTEqpGv9yg_34_11"/>
      <w:bookmarkStart w:id="225" w:name="Tc_JzwWhu4X10y8h9tc1VBlYw_34_8"/>
      <w:bookmarkStart w:id="226" w:name="Tc_QmIHNaRiXkuG_ZQl0JhJDg_34_4"/>
      <w:bookmarkStart w:id="227" w:name="Tc_Xh7O-IVYM0GtjjR6j-f-Og_34_1"/>
      <w:bookmarkStart w:id="228" w:name="Tc_5tg5q2ia-E6wn65lkBpwKA_34_0"/>
      <w:bookmarkStart w:id="229" w:name="Tc_e5qmwE9lLkKd1MOLHQfoFA_33_0"/>
      <w:bookmarkStart w:id="230" w:name="Tc_itDfomzqqE-FYOMVsZHQ3Q_32_11"/>
      <w:bookmarkStart w:id="231" w:name="Tc_-6FiOnqM_kqQ8QbZggYshA_32_8"/>
      <w:bookmarkStart w:id="232" w:name="Tc_Vob6Q1xyUUqSlDzdkWH7Gw_32_4"/>
      <w:bookmarkStart w:id="233" w:name="Tc_AJ48dxuU2UaN6AfWJX8cRw_32_1"/>
      <w:bookmarkStart w:id="234" w:name="Tc_JYRkM3cSlUq71r9emw05ew_32_0"/>
      <w:bookmarkStart w:id="235" w:name="Tc_kJQpDK_eF0iifO0JDX8Z9A_31_11"/>
      <w:bookmarkStart w:id="236" w:name="Tc_FpRB9-HY4EORZ7A8-hSKqg_31_8"/>
      <w:bookmarkStart w:id="237" w:name="Tc_ncZUKnLTCUax0e5lDRwKKQ_31_4"/>
      <w:bookmarkStart w:id="238" w:name="Tc_plcB4F0By0GzxBKvCtkfdw_31_1"/>
      <w:bookmarkStart w:id="239" w:name="Tc_ihxFXLohgESqeu3ZLFN1fA_31_0"/>
      <w:bookmarkStart w:id="240" w:name="Tc_rPKYYt8esUmZUeNQAPqaEg_29_11"/>
      <w:bookmarkStart w:id="241" w:name="Tc_LgcYQ156fEWLpSOUtvkF1A_29_8"/>
      <w:bookmarkStart w:id="242" w:name="Tc_s017qlH260SN4bu_6HqkXQ_29_4"/>
      <w:bookmarkStart w:id="243" w:name="Tc_RU4iSKVqU06bKgzcpx3tbg_29_1"/>
      <w:bookmarkStart w:id="244" w:name="Tc_5wvtbZhn_UG7Y7wKe95coQ_29_0"/>
      <w:bookmarkStart w:id="245" w:name="Tc_PupWIyMzB0usJ4uKQO6eQw_28_0"/>
      <w:bookmarkStart w:id="246" w:name="Tc_T6fTfT20sUCygD4yOePcyQ_27_0"/>
      <w:bookmarkStart w:id="247" w:name="Tc_Yj19qqgn7EqBX8FrobL88A_26_0"/>
      <w:bookmarkStart w:id="248" w:name="Tc_DaccQOA0EEezKc18QHfO6A_25_0"/>
      <w:bookmarkStart w:id="249" w:name="Tc_QO3KwPdGJ06KxEhWDh-ZlA_24_0"/>
      <w:bookmarkStart w:id="250" w:name="Tc_UaNa817mDEeGpZ77aDgcxg_23_0"/>
      <w:bookmarkStart w:id="251" w:name="Tc_3rbzHuzNYU6Kh5T-AOyGWA_22_0"/>
      <w:bookmarkStart w:id="252" w:name="Tc_pXFgVsMt8EeZBL_LqgjcGg_21_0"/>
      <w:bookmarkStart w:id="253" w:name="Tc_MT2NrQ7R8UWRhRTtV18VRQ_20_0"/>
      <w:bookmarkStart w:id="254" w:name="Tc_tJhNMJHXF0ai8EzyuheWiQ_19_0"/>
      <w:bookmarkStart w:id="255" w:name="Tc_peG2e3WoFk6zuc2bcj1rlw_18_0"/>
      <w:bookmarkStart w:id="256" w:name="Tc_h7rSZ06w-kqG1JgiMnElZQ_17_0"/>
      <w:bookmarkStart w:id="257" w:name="Tc_9D-nZWR5pU-wJ--Gqt1EzQ_16_0"/>
      <w:bookmarkStart w:id="258" w:name="Tc_qfiCYoowH0O1BWyhKA0s4Q_15_0"/>
      <w:bookmarkStart w:id="259" w:name="Tc_zkLcB4MoIEiVdgxEEz4hdw_14_0"/>
      <w:bookmarkStart w:id="260" w:name="Tc_wj18888pEEGbE9UcVKHNqg_13_0"/>
      <w:bookmarkStart w:id="261" w:name="Tc_gxDPHXD9jEmRbEsvfxKTuQ_12_0"/>
      <w:bookmarkStart w:id="262" w:name="Tc_RWFbRgOzpkGKDGMvK01aLA_11_0"/>
      <w:bookmarkStart w:id="263" w:name="Tc_Ak0InoF_EUmmIfXBhHBN1w_10_0"/>
      <w:bookmarkStart w:id="264" w:name="Tc_2lILjldfMEGuWrH1dVlGdQ_9_0"/>
      <w:bookmarkStart w:id="265" w:name="Tc_S8mMlag1nU67MXbVuumy7g_8_0"/>
      <w:bookmarkStart w:id="266" w:name="Tc_ro_qTxbQA0SJjbK3khIFFw_7_0"/>
      <w:bookmarkStart w:id="267" w:name="Tc_SR9EOTb2mUqKVS_CCBvsSw_6_0"/>
      <w:bookmarkStart w:id="268" w:name="Tc_s_-2bqWT8ki59JfzCiDSBw_5_11"/>
      <w:bookmarkStart w:id="269" w:name="Tc_GBXhqGrqyk2WV6MUmkLfIA_5_8"/>
      <w:bookmarkStart w:id="270" w:name="Tc_uo1_RrwC10Whlf-MAyJz-w_5_4"/>
      <w:bookmarkStart w:id="271" w:name="Tc_0_MPqaQJFkGkfQsmsnW8MQ_5_1"/>
      <w:bookmarkStart w:id="272" w:name="Tc_Qyf9HaO9RUuwDqqEY5Cs2w_5_0"/>
      <w:bookmarkStart w:id="273" w:name="Tc_cmZ5OEOslUCEzzTgBF3h3g_4_0"/>
      <w:bookmarkStart w:id="274" w:name="Tc_qfDO9V8geE6qNc5ht2ApPQ_3_8"/>
      <w:bookmarkStart w:id="275" w:name="Tc_Ep0atQW4iU254AQ_GVgoDQ_3_1"/>
      <w:bookmarkStart w:id="276" w:name="Tc_9H4ommIUwkesLQPT_MoxAQ_2_11"/>
      <w:bookmarkStart w:id="277" w:name="Tc_RGgaWvqQE0e9uh1DhIIXNg_2_8"/>
      <w:bookmarkStart w:id="278" w:name="Tc_nTublyiu2U2JzTF29EAY_w_2_4"/>
      <w:bookmarkStart w:id="279" w:name="Tc_u-0Bu_YMKE6e3Hx5mV5VyA_2_1"/>
      <w:bookmarkStart w:id="280" w:name="Tc_bIieTl-HOEuDf55GYiO9oA_1_8"/>
      <w:bookmarkStart w:id="281" w:name="Tc_TnBZ9MygckmR-YdVVO9wtA_1_1"/>
      <w:bookmarkStart w:id="282" w:name="_4efb1144_cceb_4af3_a271_720eb64a402b"/>
      <w:bookmarkStart w:id="283" w:name="Tc_JM2RNshQ6E6jf5uwamF2rg_43_0"/>
      <w:bookmarkStart w:id="284" w:name="Tc_VBwNNlqiK02tf6ShOlqzxA_42_11"/>
      <w:bookmarkStart w:id="285" w:name="Tc_fSyJ4TcItkGkgYHoCqimUg_42_8"/>
      <w:bookmarkStart w:id="286" w:name="Tc_Vo-J6MXlhkaRs0jo8UXEgQ_42_4"/>
      <w:bookmarkStart w:id="287" w:name="Tc_9zBkWijJUEyt-kFXgDZTeA_42_1"/>
      <w:bookmarkStart w:id="288" w:name="Tc_OLT9kprR0068SM-b4AONYg_42_0"/>
      <w:bookmarkStart w:id="289" w:name="Tc_HwXRUK8ZS0uAEaHf_NHlPQ_41_11"/>
      <w:bookmarkStart w:id="290" w:name="Tc_lBKVGIEBnECH0J7IoVKB7A_41_8"/>
      <w:bookmarkStart w:id="291" w:name="Tc_ggmBt07MzUGLQd6XhSsJFA_41_4"/>
      <w:bookmarkStart w:id="292" w:name="Tc_IuRxGfsEB0uQJ3OIHJLJyA_41_1"/>
      <w:bookmarkStart w:id="293" w:name="Tc_vQHo0AJiske4eShcF7KiyQ_41_0"/>
      <w:bookmarkStart w:id="294" w:name="Tc_uZahQadFpE-ndo3LVfccmQ_40_0"/>
      <w:bookmarkStart w:id="295" w:name="Tc_lag6brQbdkWjcbWQeDLNMw_39_11"/>
      <w:bookmarkStart w:id="296" w:name="Tc_HfBXUJAjE0e-HJFm_E0q4Q_39_8"/>
      <w:bookmarkStart w:id="297" w:name="Tc_fSVhW9x1uk2Q17M4nptuPg_39_4"/>
      <w:bookmarkStart w:id="298" w:name="Tc_WXyT13z_Yky3UmdPSzGx7w_39_1"/>
      <w:bookmarkStart w:id="299" w:name="Tc_zTufqwm_U0uftJefzlytZA_39_0"/>
      <w:bookmarkStart w:id="300" w:name="Tc_G_L1d69XP0u31YSTetIwVw_38_11"/>
      <w:bookmarkStart w:id="301" w:name="Tc_kjIFfFQGP0S_iRke4W5q6Q_38_8"/>
      <w:bookmarkStart w:id="302" w:name="Tc_Qo_SjAEEDEa0hDjpKXyQwA_38_4"/>
      <w:bookmarkStart w:id="303" w:name="Tc_V8jLVToHjUmGe3N12txaiA_38_1"/>
      <w:bookmarkStart w:id="304" w:name="Tc_S8tW0k37cEuoeUa9gIvnhw_38_0"/>
      <w:bookmarkStart w:id="305" w:name="Tc_gOglk1YRDUy6THsp_LwppQ_36_0"/>
      <w:bookmarkStart w:id="306" w:name="Tc_DRotMsyZkUW0m4wJuZL60Q_35_11"/>
      <w:bookmarkStart w:id="307" w:name="Tc_yhGb9CE5HUy5wEDQS0-e_w_35_8"/>
      <w:bookmarkStart w:id="308" w:name="Tc_K1eniEPsSke3n-PkbDeudw_35_4"/>
      <w:bookmarkStart w:id="309" w:name="Tc_FxfcOe3CHE2n_zf-ZEE9Bg_35_1"/>
      <w:bookmarkStart w:id="310" w:name="Tc_sW1gSj_2okC6UFLWO7SJOg_35_0"/>
      <w:bookmarkStart w:id="311" w:name="Tc_toEE8XLvfU6NUTEqpGv9yg_34_11"/>
      <w:bookmarkStart w:id="312" w:name="Tc_JzwWhu4X10y8h9tc1VBlYw_34_8"/>
      <w:bookmarkStart w:id="313" w:name="Tc_QmIHNaRiXkuG_ZQl0JhJDg_34_4"/>
      <w:bookmarkStart w:id="314" w:name="Tc_Xh7O-IVYM0GtjjR6j-f-Og_34_1"/>
      <w:bookmarkStart w:id="315" w:name="Tc_5tg5q2ia-E6wn65lkBpwKA_34_0"/>
      <w:bookmarkStart w:id="316" w:name="Tc_e5qmwE9lLkKd1MOLHQfoFA_33_0"/>
      <w:bookmarkStart w:id="317" w:name="Tc_itDfomzqqE-FYOMVsZHQ3Q_32_11"/>
      <w:bookmarkStart w:id="318" w:name="Tc_-6FiOnqM_kqQ8QbZggYshA_32_8"/>
      <w:bookmarkStart w:id="319" w:name="Tc_Vob6Q1xyUUqSlDzdkWH7Gw_32_4"/>
      <w:bookmarkStart w:id="320" w:name="Tc_AJ48dxuU2UaN6AfWJX8cRw_32_1"/>
      <w:bookmarkStart w:id="321" w:name="Tc_JYRkM3cSlUq71r9emw05ew_32_0"/>
      <w:bookmarkStart w:id="322" w:name="Tc_kJQpDK_eF0iifO0JDX8Z9A_31_11"/>
      <w:bookmarkStart w:id="323" w:name="Tc_FpRB9-HY4EORZ7A8-hSKqg_31_8"/>
      <w:bookmarkStart w:id="324" w:name="Tc_ncZUKnLTCUax0e5lDRwKKQ_31_4"/>
      <w:bookmarkStart w:id="325" w:name="Tc_plcB4F0By0GzxBKvCtkfdw_31_1"/>
      <w:bookmarkStart w:id="326" w:name="Tc_ihxFXLohgESqeu3ZLFN1fA_31_0"/>
      <w:bookmarkStart w:id="327" w:name="Tc_rPKYYt8esUmZUeNQAPqaEg_29_11"/>
      <w:bookmarkStart w:id="328" w:name="Tc_LgcYQ156fEWLpSOUtvkF1A_29_8"/>
      <w:bookmarkStart w:id="329" w:name="Tc_s017qlH260SN4bu_6HqkXQ_29_4"/>
      <w:bookmarkStart w:id="330" w:name="Tc_RU4iSKVqU06bKgzcpx3tbg_29_1"/>
      <w:bookmarkStart w:id="331" w:name="Tc_5wvtbZhn_UG7Y7wKe95coQ_29_0"/>
      <w:bookmarkStart w:id="332" w:name="Tc_PupWIyMzB0usJ4uKQO6eQw_28_0"/>
      <w:bookmarkStart w:id="333" w:name="Tc_T6fTfT20sUCygD4yOePcyQ_27_0"/>
      <w:bookmarkStart w:id="334" w:name="Tc_Yj19qqgn7EqBX8FrobL88A_26_0"/>
      <w:bookmarkStart w:id="335" w:name="Tc_DaccQOA0EEezKc18QHfO6A_25_0"/>
      <w:bookmarkStart w:id="336" w:name="Tc_QO3KwPdGJ06KxEhWDh-ZlA_24_0"/>
      <w:bookmarkStart w:id="337" w:name="Tc_UaNa817mDEeGpZ77aDgcxg_23_0"/>
      <w:bookmarkStart w:id="338" w:name="Tc_3rbzHuzNYU6Kh5T-AOyGWA_22_0"/>
      <w:bookmarkStart w:id="339" w:name="Tc_pXFgVsMt8EeZBL_LqgjcGg_21_0"/>
      <w:bookmarkStart w:id="340" w:name="Tc_MT2NrQ7R8UWRhRTtV18VRQ_20_0"/>
      <w:bookmarkStart w:id="341" w:name="Tc_tJhNMJHXF0ai8EzyuheWiQ_19_0"/>
      <w:bookmarkStart w:id="342" w:name="Tc_peG2e3WoFk6zuc2bcj1rlw_18_0"/>
      <w:bookmarkStart w:id="343" w:name="Tc_h7rSZ06w-kqG1JgiMnElZQ_17_0"/>
      <w:bookmarkStart w:id="344" w:name="Tc_9D-nZWR5pU-wJ--Gqt1EzQ_16_0"/>
      <w:bookmarkStart w:id="345" w:name="Tc_qfiCYoowH0O1BWyhKA0s4Q_15_0"/>
      <w:bookmarkStart w:id="346" w:name="Tc_zkLcB4MoIEiVdgxEEz4hdw_14_0"/>
      <w:bookmarkStart w:id="347" w:name="Tc_wj18888pEEGbE9UcVKHNqg_13_0"/>
      <w:bookmarkStart w:id="348" w:name="Tc_gxDPHXD9jEmRbEsvfxKTuQ_12_0"/>
      <w:bookmarkStart w:id="349" w:name="Tc_RWFbRgOzpkGKDGMvK01aLA_11_0"/>
      <w:bookmarkStart w:id="350" w:name="Tc_Ak0InoF_EUmmIfXBhHBN1w_10_0"/>
      <w:bookmarkStart w:id="351" w:name="Tc_2lILjldfMEGuWrH1dVlGdQ_9_0"/>
      <w:bookmarkStart w:id="352" w:name="Tc_S8mMlag1nU67MXbVuumy7g_8_0"/>
      <w:bookmarkStart w:id="353" w:name="Tc_ro_qTxbQA0SJjbK3khIFFw_7_0"/>
      <w:bookmarkStart w:id="354" w:name="Tc_SR9EOTb2mUqKVS_CCBvsSw_6_0"/>
      <w:bookmarkStart w:id="355" w:name="Tc_s_-2bqWT8ki59JfzCiDSBw_5_11"/>
      <w:bookmarkStart w:id="356" w:name="Tc_GBXhqGrqyk2WV6MUmkLfIA_5_8"/>
      <w:bookmarkStart w:id="357" w:name="Tc_uo1_RrwC10Whlf-MAyJz-w_5_4"/>
      <w:bookmarkStart w:id="358" w:name="Tc_0_MPqaQJFkGkfQsmsnW8MQ_5_1"/>
      <w:bookmarkStart w:id="359" w:name="Tc_Qyf9HaO9RUuwDqqEY5Cs2w_5_0"/>
      <w:bookmarkStart w:id="360" w:name="Tc_cmZ5OEOslUCEzzTgBF3h3g_4_0"/>
      <w:bookmarkStart w:id="361" w:name="Tc_qfDO9V8geE6qNc5ht2ApPQ_3_8"/>
      <w:bookmarkStart w:id="362" w:name="Tc_Ep0atQW4iU254AQ_GVgoDQ_3_1"/>
      <w:bookmarkStart w:id="363" w:name="Tc_9H4ommIUwkesLQPT_MoxAQ_2_11"/>
      <w:bookmarkStart w:id="364" w:name="Tc_RGgaWvqQE0e9uh1DhIIXNg_2_8"/>
      <w:bookmarkStart w:id="365" w:name="Tc_nTublyiu2U2JzTF29EAY_w_2_4"/>
      <w:bookmarkStart w:id="366" w:name="Tc_u-0Bu_YMKE6e3Hx5mV5VyA_2_1"/>
      <w:bookmarkStart w:id="367" w:name="Tc_bIieTl-HOEuDf55GYiO9oA_1_8"/>
      <w:bookmarkStart w:id="368" w:name="Tc_TnBZ9MygckmR-YdVVO9wtA_1_1"/>
      <w:bookmarkStart w:id="369" w:name="_4efb1144_cceb_4af3_a271_720eb64a402b"/>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tbl>
      <w:tblPr>
        <w:tblW w:w="10205" w:type="dxa"/>
        <w:jc w:val="left"/>
        <w:tblInd w:w="0" w:type="dxa"/>
        <w:tblLayout w:type="fixed"/>
        <w:tblCellMar>
          <w:top w:w="0" w:type="dxa"/>
          <w:left w:w="0" w:type="dxa"/>
          <w:bottom w:w="0" w:type="dxa"/>
          <w:right w:w="0" w:type="dxa"/>
        </w:tblCellMar>
      </w:tblPr>
      <w:tblGrid>
        <w:gridCol w:w="4328"/>
        <w:gridCol w:w="249"/>
        <w:gridCol w:w="882"/>
        <w:gridCol w:w="416"/>
        <w:gridCol w:w="249"/>
        <w:gridCol w:w="914"/>
        <w:gridCol w:w="326"/>
        <w:gridCol w:w="109"/>
        <w:gridCol w:w="239"/>
        <w:gridCol w:w="877"/>
        <w:gridCol w:w="398"/>
        <w:gridCol w:w="239"/>
        <w:gridCol w:w="979"/>
      </w:tblGrid>
      <w:tr>
        <w:trPr/>
        <w:tc>
          <w:tcPr>
            <w:tcW w:w="4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748280" cy="175260"/>
                      <wp:effectExtent l="0" t="0" r="0" b="0"/>
                      <wp:wrapNone/>
                      <wp:docPr id="7" name="Frame7"/>
                      <a:graphic xmlns:a="http://schemas.openxmlformats.org/drawingml/2006/main">
                        <a:graphicData uri="http://schemas.microsoft.com/office/word/2010/wordprocessingShape">
                          <wps:wsp>
                            <wps:cNvSpPr txBox="1"/>
                            <wps:spPr>
                              <a:xfrm>
                                <a:off x="0" y="0"/>
                                <a:ext cx="274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58115" cy="175260"/>
                      <wp:effectExtent l="0" t="0" r="0" b="0"/>
                      <wp:wrapNone/>
                      <wp:docPr id="8" name="Frame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60070" cy="175260"/>
                      <wp:effectExtent l="0" t="0" r="0" b="0"/>
                      <wp:wrapNone/>
                      <wp:docPr id="9" name="Frame9"/>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64160" cy="175260"/>
                      <wp:effectExtent l="0" t="0" r="0" b="0"/>
                      <wp:wrapNone/>
                      <wp:docPr id="10" name="Frame10"/>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58115" cy="175260"/>
                      <wp:effectExtent l="0" t="0" r="0" b="0"/>
                      <wp:wrapNone/>
                      <wp:docPr id="11" name="Frame1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80390" cy="175260"/>
                      <wp:effectExtent l="0" t="0" r="0" b="0"/>
                      <wp:wrapNone/>
                      <wp:docPr id="12" name="Frame12"/>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51765" cy="175260"/>
                      <wp:effectExtent l="0" t="0" r="0" b="0"/>
                      <wp:wrapNone/>
                      <wp:docPr id="15" name="Frame1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56895" cy="175260"/>
                      <wp:effectExtent l="0" t="0" r="0" b="0"/>
                      <wp:wrapNone/>
                      <wp:docPr id="16" name="Frame16"/>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52730" cy="175260"/>
                      <wp:effectExtent l="0" t="0" r="0" b="0"/>
                      <wp:wrapNone/>
                      <wp:docPr id="17" name="Frame17"/>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51765" cy="175260"/>
                      <wp:effectExtent l="0" t="0" r="0" b="0"/>
                      <wp:wrapNone/>
                      <wp:docPr id="18" name="Frame1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21665" cy="175260"/>
                      <wp:effectExtent l="0" t="0" r="0" b="0"/>
                      <wp:wrapNone/>
                      <wp:docPr id="19" name="Frame19"/>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8" w:type="dxa"/>
            <w:tcBorders/>
            <w:vAlign w:val="center"/>
          </w:tcPr>
          <w:p>
            <w:pPr>
              <w:pStyle w:val="TableContents"/>
              <w:bidi w:val="0"/>
              <w:spacing w:before="0" w:after="1"/>
              <w:ind w:left="0" w:right="0" w:hanging="0"/>
              <w:jc w:val="left"/>
              <w:rPr/>
            </w:pPr>
            <w:r>
              <w:rPr/>
              <w:t>​</w:t>
            </w:r>
          </w:p>
        </w:tc>
        <w:tc>
          <w:tcPr>
            <w:tcW w:w="27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September 30,</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7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4328" w:type="dxa"/>
            <w:tcBorders/>
            <w:vAlign w:val="center"/>
          </w:tcPr>
          <w:p>
            <w:pPr>
              <w:pStyle w:val="TableContents"/>
              <w:bidi w:val="0"/>
              <w:spacing w:before="0" w:after="1"/>
              <w:ind w:left="0" w:right="0" w:hanging="0"/>
              <w:jc w:val="left"/>
              <w:rPr/>
            </w:pPr>
            <w:r>
              <w:rPr/>
              <w:t>​</w:t>
            </w:r>
          </w:p>
        </w:tc>
        <w:tc>
          <w:tcPr>
            <w:tcW w:w="11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416" w:type="dxa"/>
            <w:tcBorders/>
            <w:vAlign w:val="center"/>
          </w:tcPr>
          <w:p>
            <w:pPr>
              <w:pStyle w:val="TableContents"/>
              <w:bidi w:val="0"/>
              <w:spacing w:before="0" w:after="1"/>
              <w:ind w:left="0" w:right="0" w:hanging="0"/>
              <w:jc w:val="center"/>
              <w:rPr/>
            </w:pPr>
            <w:r>
              <w:rPr/>
              <w:t>​</w:t>
            </w:r>
          </w:p>
        </w:tc>
        <w:tc>
          <w:tcPr>
            <w:tcW w:w="11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98" w:type="dxa"/>
            <w:tcBorders/>
            <w:vAlign w:val="center"/>
          </w:tcPr>
          <w:p>
            <w:pPr>
              <w:pStyle w:val="TableContents"/>
              <w:bidi w:val="0"/>
              <w:spacing w:before="0" w:after="1"/>
              <w:ind w:left="0" w:right="0" w:hanging="0"/>
              <w:jc w:val="center"/>
              <w:rPr/>
            </w:pPr>
            <w:r>
              <w:rPr/>
              <w:t>​</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28" w:type="dxa"/>
            <w:tcBorders/>
            <w:vAlign w:val="center"/>
          </w:tcPr>
          <w:p>
            <w:pPr>
              <w:pStyle w:val="TableContents"/>
              <w:bidi w:val="0"/>
              <w:spacing w:before="0" w:after="1"/>
              <w:ind w:left="0" w:right="0" w:hanging="0"/>
              <w:jc w:val="left"/>
              <w:rPr/>
            </w:pPr>
            <w:r>
              <w:rPr/>
              <w:t>​</w:t>
            </w:r>
          </w:p>
        </w:tc>
        <w:tc>
          <w:tcPr>
            <w:tcW w:w="271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732"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4328"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Revenues:</w:t>
            </w:r>
          </w:p>
        </w:tc>
        <w:tc>
          <w:tcPr>
            <w:tcW w:w="249"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pPr>
            <w:r>
              <w:rPr/>
              <w:t>  </w:t>
            </w:r>
          </w:p>
        </w:tc>
        <w:tc>
          <w:tcPr>
            <w:tcW w:w="416" w:type="dxa"/>
            <w:tcBorders/>
            <w:shd w:fill="CCEEFF" w:val="clear"/>
            <w:vAlign w:val="center"/>
          </w:tcPr>
          <w:p>
            <w:pPr>
              <w:pStyle w:val="TableContents"/>
              <w:bidi w:val="0"/>
              <w:spacing w:before="0" w:after="1"/>
              <w:ind w:left="0" w:right="0" w:hanging="0"/>
              <w:jc w:val="left"/>
              <w:rPr/>
            </w:pPr>
            <w:r>
              <w:rPr/>
              <w:t>    </w:t>
            </w:r>
          </w:p>
        </w:tc>
        <w:tc>
          <w:tcPr>
            <w:tcW w:w="249"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left"/>
              <w:rPr/>
            </w:pPr>
            <w:r>
              <w:rPr/>
              <w:t>​</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2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121,285</w:t>
            </w:r>
          </w:p>
        </w:tc>
        <w:tc>
          <w:tcPr>
            <w:tcW w:w="41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106,368</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350,135</w:t>
            </w:r>
          </w:p>
        </w:tc>
        <w:tc>
          <w:tcPr>
            <w:tcW w:w="398"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304,587</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23,742</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19,870</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67,338</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55,911</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145,027</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126,238</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417,473</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360,498</w:t>
            </w:r>
          </w:p>
        </w:tc>
      </w:tr>
      <w:tr>
        <w:trPr/>
        <w:tc>
          <w:tcPr>
            <w:tcW w:w="4328"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249"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pPr>
            <w:r>
              <w:rPr/>
              <w:t>  </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pPr>
            <w:r>
              <w:rPr/>
              <w:t>​</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249"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41,055</w:t>
            </w:r>
          </w:p>
        </w:tc>
        <w:tc>
          <w:tcPr>
            <w:tcW w:w="41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36,638</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116,974</w:t>
            </w:r>
          </w:p>
        </w:tc>
        <w:tc>
          <w:tcPr>
            <w:tcW w:w="398"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105,760</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15,816</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14,020</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45,523</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37,893</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56,871</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50,658</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162,497</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143,653</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88,156</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75,580</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254,976</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216,845</w:t>
            </w:r>
          </w:p>
        </w:tc>
      </w:tr>
      <w:tr>
        <w:trPr/>
        <w:tc>
          <w:tcPr>
            <w:tcW w:w="432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249"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pPr>
            <w:r>
              <w:rPr/>
              <w:t>  </w:t>
            </w:r>
          </w:p>
        </w:tc>
        <w:tc>
          <w:tcPr>
            <w:tcW w:w="41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pPr>
            <w:r>
              <w:rPr/>
              <w:t>​</w:t>
            </w:r>
          </w:p>
        </w:tc>
        <w:tc>
          <w:tcPr>
            <w:tcW w:w="398"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pPr>
            <w:r>
              <w:rPr/>
              <w:t>​</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249"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16,772</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10,351</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45,314</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30,294</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and marketing</w:t>
            </w:r>
          </w:p>
        </w:tc>
        <w:tc>
          <w:tcPr>
            <w:tcW w:w="249"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33,919</w:t>
            </w:r>
          </w:p>
        </w:tc>
        <w:tc>
          <w:tcPr>
            <w:tcW w:w="41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30,252</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103,196</w:t>
            </w:r>
          </w:p>
        </w:tc>
        <w:tc>
          <w:tcPr>
            <w:tcW w:w="398"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89,683</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249"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35,385</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31,679</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109,071</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90,520</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49"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3,782</w:t>
            </w:r>
          </w:p>
        </w:tc>
        <w:tc>
          <w:tcPr>
            <w:tcW w:w="41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2,936</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11,401</w:t>
            </w:r>
          </w:p>
        </w:tc>
        <w:tc>
          <w:tcPr>
            <w:tcW w:w="398"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9,120</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operating expense , net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1,233</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1,013</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1,927</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90,174</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76,451</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269,995</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221,544</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249"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(2,018)</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(871)</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(15,019)</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(4,699)</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 net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597</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361</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1,079</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before income taxes</w:t>
            </w:r>
          </w:p>
        </w:tc>
        <w:tc>
          <w:tcPr>
            <w:tcW w:w="249"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(2,615)</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(1,232)</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(15,161)</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(5,778)</w:t>
            </w:r>
          </w:p>
        </w:tc>
      </w:tr>
      <w:tr>
        <w:trPr/>
        <w:tc>
          <w:tcPr>
            <w:tcW w:w="432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Income tax expense (benefit)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784</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13,266</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1,217</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(3,399)</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(1,141)</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(28,427)</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(6,995)</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249"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left"/>
              <w:rPr/>
            </w:pPr>
            <w:r>
              <w:rPr/>
              <w:t>​</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and revaluations, net of tax</w:t>
            </w:r>
          </w:p>
        </w:tc>
        <w:tc>
          <w:tcPr>
            <w:tcW w:w="249"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5,311</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10,670</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1,580</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24,496</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investments, net of tax</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5,301</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10,698</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1,560</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24,522</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comprehensive loss</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(8,700)</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(11,839)</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(29,987)</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(31,517)</w:t>
            </w:r>
          </w:p>
        </w:tc>
      </w:tr>
      <w:tr>
        <w:trPr/>
        <w:tc>
          <w:tcPr>
            <w:tcW w:w="432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pPr>
            <w:r>
              <w:rPr/>
              <w:t>​</w:t>
            </w:r>
          </w:p>
        </w:tc>
      </w:tr>
      <w:tr>
        <w:trPr/>
        <w:tc>
          <w:tcPr>
            <w:tcW w:w="432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 attributable to Class A stockholders, basic</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(1,228)</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(9,960)</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(2,092)</w:t>
            </w:r>
          </w:p>
        </w:tc>
      </w:tr>
      <w:tr>
        <w:trPr/>
        <w:tc>
          <w:tcPr>
            <w:tcW w:w="4328"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 per Class A share, basic</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(0.19)</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r>
      <w:tr>
        <w:trPr/>
        <w:tc>
          <w:tcPr>
            <w:tcW w:w="432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Weighted average Class A common stock, basic</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54,931</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48,488</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53,050</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44,708</w:t>
            </w:r>
          </w:p>
        </w:tc>
      </w:tr>
      <w:tr>
        <w:trPr/>
        <w:tc>
          <w:tcPr>
            <w:tcW w:w="4328"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 attributable to Class A stockholders, diluted</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(1,228)</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(9,960)</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(2,092)</w:t>
            </w:r>
          </w:p>
        </w:tc>
      </w:tr>
      <w:tr>
        <w:trPr/>
        <w:tc>
          <w:tcPr>
            <w:tcW w:w="432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 per Class A share, diluted</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(0.19)</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r>
      <w:tr>
        <w:trPr/>
        <w:tc>
          <w:tcPr>
            <w:tcW w:w="4328"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Weighted average Class A common stock, diluted </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54,931</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48,488</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53,050</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44,708</w:t>
            </w:r>
          </w:p>
        </w:tc>
      </w:tr>
      <w:tr>
        <w:trPr/>
        <w:tc>
          <w:tcPr>
            <w:tcW w:w="432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pPr>
            <w:r>
              <w:rPr/>
              <w:t>​</w:t>
            </w:r>
          </w:p>
        </w:tc>
        <w:tc>
          <w:tcPr>
            <w:tcW w:w="41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pPr>
            <w:r>
              <w:rPr/>
              <w:t>​</w:t>
            </w:r>
          </w:p>
        </w:tc>
        <w:tc>
          <w:tcPr>
            <w:tcW w:w="398"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pPr>
            <w:r>
              <w:rPr/>
              <w:t>​</w:t>
            </w:r>
          </w:p>
        </w:tc>
      </w:tr>
      <w:tr>
        <w:trPr/>
        <w:tc>
          <w:tcPr>
            <w:tcW w:w="4328"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 attributable to Class B stockholders, basic</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(2,171)</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(772)</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(18,467)</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(4,903)</w:t>
            </w:r>
          </w:p>
        </w:tc>
      </w:tr>
      <w:tr>
        <w:trPr/>
        <w:tc>
          <w:tcPr>
            <w:tcW w:w="432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 per Class B share, basic</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(0.19)</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r>
      <w:tr>
        <w:trPr/>
        <w:tc>
          <w:tcPr>
            <w:tcW w:w="4328"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Weighted average Class B common stock, basic </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97,145</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101,307</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98,361</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104,772</w:t>
            </w:r>
          </w:p>
        </w:tc>
      </w:tr>
      <w:tr>
        <w:trPr/>
        <w:tc>
          <w:tcPr>
            <w:tcW w:w="432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 attributable to Class B stockholders, diluted</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(2,171)</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(772)</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(18,467)</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(4,903)</w:t>
            </w:r>
          </w:p>
        </w:tc>
      </w:tr>
      <w:tr>
        <w:trPr/>
        <w:tc>
          <w:tcPr>
            <w:tcW w:w="4328"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 per Class B share, diluted</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41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(0.19)</w:t>
            </w:r>
          </w:p>
        </w:tc>
        <w:tc>
          <w:tcPr>
            <w:tcW w:w="398"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r>
      <w:tr>
        <w:trPr/>
        <w:tc>
          <w:tcPr>
            <w:tcW w:w="432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Weighted average Class B common stock, diluted </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97,145</w:t>
            </w:r>
          </w:p>
        </w:tc>
        <w:tc>
          <w:tcPr>
            <w:tcW w:w="41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101,307</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98,361</w:t>
            </w:r>
          </w:p>
        </w:tc>
        <w:tc>
          <w:tcPr>
            <w:tcW w:w="398"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104,772</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The accompanying notes are an integral part of these condensed consolidated financial statements.</w:t>
      </w:r>
    </w:p>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370" w:name="_23315170_ddfb_4672_bfd7_b9f7978985c6"/>
      <w:bookmarkEnd w:id="370"/>
      <w:r>
        <w:rPr/>
        <w:t>​</w:t>
      </w:r>
    </w:p>
    <w:p>
      <w:pPr>
        <w:pStyle w:val="Normal"/>
        <w:bidi w:val="0"/>
        <w:spacing w:before="0" w:after="0"/>
        <w:jc w:val="left"/>
        <w:rPr>
          <w:sz w:val="4"/>
          <w:szCs w:val="4"/>
        </w:rPr>
      </w:pPr>
      <w:r>
        <w:rPr>
          <w:sz w:val="4"/>
          <w:szCs w:val="4"/>
        </w:rPr>
      </w:r>
      <w:bookmarkStart w:id="371" w:name="CondensedConsolidatedStatementsofChanges"/>
      <w:bookmarkStart w:id="372" w:name="CondensedConsolidatedStatementsofChanges"/>
      <w:bookmarkEnd w:id="372"/>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Statements of Changes in Stockholders’ Equity</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nine months ended September 30, 2023 and 2022 (unaudited)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3" w:name="Tc_Udb2cnQ5EEmH0jzCkmFYIQ_33_22"/>
      <w:bookmarkStart w:id="374" w:name="Tc_glecJF-zTUes6M_GtOVmHw_33_19"/>
      <w:bookmarkStart w:id="375" w:name="Tc_7zfHlkf6PkaylG0XXekO_Q_33_16"/>
      <w:bookmarkStart w:id="376" w:name="Tc_z7_3CfKcYEOy5D7mXGFfAA_33_13"/>
      <w:bookmarkStart w:id="377" w:name="Tc_zhHEURJZLkisD0wTDZpQiw_33_10"/>
      <w:bookmarkStart w:id="378" w:name="Tc_Q-BG0xkQjUmXkrXxPMQ1Rg_33_5"/>
      <w:bookmarkStart w:id="379" w:name="Tc_D1v3Fx1tx0mvmJrcmeRJ_w_33_0"/>
      <w:bookmarkStart w:id="380" w:name="Tc_BZ2XYYX_DEqzfnVah3DxLA_32_20"/>
      <w:bookmarkStart w:id="381" w:name="Tc_7zgIQgM3E0GBbEFNRzsRsQ_32_14"/>
      <w:bookmarkStart w:id="382" w:name="Tc_B-IPyH3ILUOIMe7zh60ASQ_32_11"/>
      <w:bookmarkStart w:id="383" w:name="Tc_L8-QaajgqEmn_CBjICds9A_32_8"/>
      <w:bookmarkStart w:id="384" w:name="Tc_nruQ93n7v0C3jDCMW0c9LA_32_6"/>
      <w:bookmarkStart w:id="385" w:name="Tc_wKzPgdTfTU2zEm4yh9NCCA_32_3"/>
      <w:bookmarkStart w:id="386" w:name="Tc_bMtILqldZ0Wr1VnsZvBfgA_32_0"/>
      <w:bookmarkStart w:id="387" w:name="Tc_jOQV6fmOTUKQdT54MoAbsQ_31_17"/>
      <w:bookmarkStart w:id="388" w:name="Tc_HWKxGNcKDkquvPafy7TDxA_31_14"/>
      <w:bookmarkStart w:id="389" w:name="Tc_nbQ6DsTsnUS3Hu9_qF1dBA_31_11"/>
      <w:bookmarkStart w:id="390" w:name="Tc_dlSMs_aGrEiLcTmQk201bA_31_8"/>
      <w:bookmarkStart w:id="391" w:name="Tc_KH6iPeNm2kq3aEdxzQoQ9Q_31_6"/>
      <w:bookmarkStart w:id="392" w:name="Tc_fp4ighKGo0mBD82gPY8crQ_31_3"/>
      <w:bookmarkStart w:id="393" w:name="Tc_A1AhX9sunkOmwZuLsLDJKw_31_0"/>
      <w:bookmarkStart w:id="394" w:name="Tc_BMsMurjV4E-S62HVhxWArA_30_17"/>
      <w:bookmarkStart w:id="395" w:name="Tc_fzilCel60EK-HI00_2bWqg_30_14"/>
      <w:bookmarkStart w:id="396" w:name="Tc_rkaFw07pJkynsAVlk5v31w_30_11"/>
      <w:bookmarkStart w:id="397" w:name="Tc_rwhKn47zdkye9tJbuaD8wg_30_8"/>
      <w:bookmarkStart w:id="398" w:name="Tc_1M9pZ6cQ30ak1SWWfb60mw_30_6"/>
      <w:bookmarkStart w:id="399" w:name="Tc_YeR0ehtzPUiYJDirJKb-ag_30_3"/>
      <w:bookmarkStart w:id="400" w:name="Tc_DDJptqWHPEOKrVRNbLEA4g_30_0"/>
      <w:bookmarkStart w:id="401" w:name="Tc_Uykeuw96cEmvDs8wAnz3Kw_29_23"/>
      <w:bookmarkStart w:id="402" w:name="Tc_iUE6XVqSdkOO_BkumH-46g_29_20"/>
      <w:bookmarkStart w:id="403" w:name="Tc_e98WYKrakkeqzSd4S_o-Rg_29_17"/>
      <w:bookmarkStart w:id="404" w:name="Tc_SKZ9L-GG-E-nnQgmTP_1lg_29_14"/>
      <w:bookmarkStart w:id="405" w:name="Tc_KzLD02iz7kyG9NKHj9RvkA_29_0"/>
      <w:bookmarkStart w:id="406" w:name="Tc__YdDdB4hMU-30M6UBeWIlg_28_20"/>
      <w:bookmarkStart w:id="407" w:name="Tc_jk_0XvRtUEWidJV6SrRzNA_28_17"/>
      <w:bookmarkStart w:id="408" w:name="Tc_rxXFGaoTN0qKm2X1_ATTpw_28_11"/>
      <w:bookmarkStart w:id="409" w:name="Tc_asXVj89vdEe1WdjqRz8DcQ_28_8"/>
      <w:bookmarkStart w:id="410" w:name="Tc_KaPPUasMP06-V8B8HAnkHQ_28_6"/>
      <w:bookmarkStart w:id="411" w:name="Tc_bGaH0pHHSkCHfEgvuQxViw_28_3"/>
      <w:bookmarkStart w:id="412" w:name="Tc_q5v3abzkV0qVt2fN-Tb0ug_28_0"/>
      <w:bookmarkStart w:id="413" w:name="Tc_lqa1Mxxp2kO_XiVRC7c4Ow_27_20"/>
      <w:bookmarkStart w:id="414" w:name="Tc_qfJfFPPzE0G4ZvZJEc1uEA_27_17"/>
      <w:bookmarkStart w:id="415" w:name="Tc_8beqpoVrlkKz2vuJl53UAA_27_11"/>
      <w:bookmarkStart w:id="416" w:name="Tc_ohPOwIZlKUC6dL68QJxIig_27_8"/>
      <w:bookmarkStart w:id="417" w:name="Tc_B6Y19YltBkKxDjWFt10V_w_27_6"/>
      <w:bookmarkStart w:id="418" w:name="Tc_sp8-0SO1YkKD27iGtBxOAQ_27_0"/>
      <w:bookmarkStart w:id="419" w:name="Tc_5dY1e6hkRkyWpFJmRg9ZJQ_26_20"/>
      <w:bookmarkStart w:id="420" w:name="Tc_YGxwFIVGZUGvcNAmEvkjpQ_26_17"/>
      <w:bookmarkStart w:id="421" w:name="Tc_Q6GtK6gW8kuKDN7iIrj4Vg_26_11"/>
      <w:bookmarkStart w:id="422" w:name="Tc_KRAGx_wCpUiCccYfJb2qIg_26_8"/>
      <w:bookmarkStart w:id="423" w:name="Tc_uh-3xgtP2UGrZ-qQ4XRYlw_26_6"/>
      <w:bookmarkStart w:id="424" w:name="Tc_lwOq5Yx3s0G7JyWkZJiZCA_26_0"/>
      <w:bookmarkStart w:id="425" w:name="Tc_4CGWlIL3b0yN8Kuw0U8MrQ_25_20"/>
      <w:bookmarkStart w:id="426" w:name="Tc_dtGL_RtTm0iqgdfBFUZXtg_25_17"/>
      <w:bookmarkStart w:id="427" w:name="Tc_sMYtXxTxG0e5dDv6IwsH6w_25_11"/>
      <w:bookmarkStart w:id="428" w:name="Tc_0cVBHZjPo0yYnDi0HeF8fw_25_8"/>
      <w:bookmarkStart w:id="429" w:name="Tc_nq3--e0kZ0SbPzXm5W78cw_25_0"/>
      <w:bookmarkStart w:id="430" w:name="Tc_pE8wW3putUK4kinTbyNZYQ_24_0"/>
      <w:bookmarkStart w:id="431" w:name="Tc_Fn7hzzIZgE2FlhELNZEW7A_23_20"/>
      <w:bookmarkStart w:id="432" w:name="Tc_wPCdbi3_x0e05gSgeHcQgA_23_14"/>
      <w:bookmarkStart w:id="433" w:name="Tc_jEOnFVL49020y_ND2kGYTw_23_11"/>
      <w:bookmarkStart w:id="434" w:name="Tc_98tNaxgeDkSi0R4E8QRSJw_23_8"/>
      <w:bookmarkStart w:id="435" w:name="Tc_Cmfelt1gNEiOJnAvlXWN2g_23_6"/>
      <w:bookmarkStart w:id="436" w:name="Tc_UpD8K26SZ02U1VP9XdXN3w_23_3"/>
      <w:bookmarkStart w:id="437" w:name="Tc_vjVL0F3fNEO5sudweDmmPA_23_0"/>
      <w:bookmarkStart w:id="438" w:name="Tc_uS7z4n6Vm0CE5tSI1rJ1tw_22_17"/>
      <w:bookmarkStart w:id="439" w:name="Tc_IyNgGOxxFkmpjN8K6i3H8A_22_14"/>
      <w:bookmarkStart w:id="440" w:name="Tc_yzdVoxjiGkCSwjHjQ0aknw_22_11"/>
      <w:bookmarkStart w:id="441" w:name="Tc_f5FzfFnHGEaBXxq_jDzyGA_22_8"/>
      <w:bookmarkStart w:id="442" w:name="Tc_lkFYi3QJRUqVAe_kIQy5pQ_22_6"/>
      <w:bookmarkStart w:id="443" w:name="Tc_mQkOlwX3x0iBOV-MDjf-UA_22_3"/>
      <w:bookmarkStart w:id="444" w:name="Tc_e7CihApIlE-mIgcmKpZnXw_22_0"/>
      <w:bookmarkStart w:id="445" w:name="Tc_NHPyNn4XW0m2dVqZ4JECDA_21_17"/>
      <w:bookmarkStart w:id="446" w:name="Tc_780-SiIrqkWcs6wM52NjAg_21_14"/>
      <w:bookmarkStart w:id="447" w:name="Tc_NqWAi5SJTEmo2_b5C-0LHA_21_11"/>
      <w:bookmarkStart w:id="448" w:name="Tc_OrYNH92VmE-RhdOidrJ08Q_21_8"/>
      <w:bookmarkStart w:id="449" w:name="Tc_2b6NHA56uEOMziNRYUULLQ_21_6"/>
      <w:bookmarkStart w:id="450" w:name="Tc_zsVMrdP0k0-6ohqAHd23fg_21_3"/>
      <w:bookmarkStart w:id="451" w:name="Tc_eae348-ubE6vrZ6V4cd84A_21_0"/>
      <w:bookmarkStart w:id="452" w:name="Tc_qkJXO1Zd7ESZO3kH1nlxSA_20_20"/>
      <w:bookmarkStart w:id="453" w:name="Tc_Vi5X06okm0iAPy3NUAgZtg_20_17"/>
      <w:bookmarkStart w:id="454" w:name="Tc_iIe3fSDxd0qQAdFLt91wLQ_20_11"/>
      <w:bookmarkStart w:id="455" w:name="Tc_PJxMeJF8tEC_cOpwNlUa_A_20_8"/>
      <w:bookmarkStart w:id="456" w:name="Tc_cNjVb8pXrkuPnifsrGr3DQ_20_6"/>
      <w:bookmarkStart w:id="457" w:name="Tc_v_1rWt-ZL06Dy0_6P3NumA_20_3"/>
      <w:bookmarkStart w:id="458" w:name="Tc_xIPGaywtR0O2MtnN8ChVgg_20_0"/>
      <w:bookmarkStart w:id="459" w:name="Tc_rj4HqdgJFUWrlImcje8qYw_19_20"/>
      <w:bookmarkStart w:id="460" w:name="Tc_YihGmpZlmkOy5tYN82XF1w_19_17"/>
      <w:bookmarkStart w:id="461" w:name="Tc_GnRS_uMQxUm9ylEpUhp25g_19_11"/>
      <w:bookmarkStart w:id="462" w:name="Tc_vLeMLUbHS0OP31twqEdTkQ_19_8"/>
      <w:bookmarkStart w:id="463" w:name="Tc_-ri2HjwGYUiLBT0gaBZj5w_19_6"/>
      <w:bookmarkStart w:id="464" w:name="Tc_tZ4FG2SgyEmAQ8ukpWcEmQ_19_0"/>
      <w:bookmarkStart w:id="465" w:name="Tc_HdcTpJm_dEGdoN9nq0awMA_18_23"/>
      <w:bookmarkStart w:id="466" w:name="Tc_GvgoQ9hnlUmeM1RTiGpiSQ_18_20"/>
      <w:bookmarkStart w:id="467" w:name="Tc_4sn3M7ZU70iIjSTckp-lnQ_18_17"/>
      <w:bookmarkStart w:id="468" w:name="Tc_zNK9m3l5Jk-u5D337XhRjg_18_14"/>
      <w:bookmarkStart w:id="469" w:name="Tc_afU9C7bzWUCmLWwEzWKLyg_18_11"/>
      <w:bookmarkStart w:id="470" w:name="Tc_qkpRvKGCg0OZRUqKIZZnaA_18_8"/>
      <w:bookmarkStart w:id="471" w:name="Tc_jHViMdZdW0qwLAU_ayJ3Xw_18_6"/>
      <w:bookmarkStart w:id="472" w:name="Tc_vmbF425bvkODGBBIrHTI4A_18_0"/>
      <w:bookmarkStart w:id="473" w:name="Tc_iAoZUdOGSkOr2D0NtMyVDw_17_20"/>
      <w:bookmarkStart w:id="474" w:name="Tc_V9lHsqeIR0ezJLhF4vz47Q_17_17"/>
      <w:bookmarkStart w:id="475" w:name="Tc_f_vPQqTncE6XwG9tkTatDA_17_11"/>
      <w:bookmarkStart w:id="476" w:name="Tc_uHyd5kKSHk-mLrLLk8yvDQ_17_8"/>
      <w:bookmarkStart w:id="477" w:name="Tc_08FXeo4XcEySaGK8d_vPvA_17_6"/>
      <w:bookmarkStart w:id="478" w:name="Tc_u7sPBgh-rkOSSyfwZzzHnA_17_0"/>
      <w:bookmarkStart w:id="479" w:name="Tc_MzcrNGxf5UKvt6yp-6OI8Q_16_20"/>
      <w:bookmarkStart w:id="480" w:name="Tc_JGO7QUTOQEeZgR76SQJtQA_16_17"/>
      <w:bookmarkStart w:id="481" w:name="Tc_sUtflEzrREuiVIpimXodxw_16_11"/>
      <w:bookmarkStart w:id="482" w:name="Tc_fVpNv65CmkCgNOAEtbH1Cw_16_8"/>
      <w:bookmarkStart w:id="483" w:name="Tc_fLGmXbZlGEiTuKsN8hu76w_16_0"/>
      <w:bookmarkStart w:id="484" w:name="Tc_UYYZWq-cFEyVZZinnKN_3w_15_0"/>
      <w:bookmarkStart w:id="485" w:name="Tc_uogsU8VzY0O08fnBNhLyyw_14_20"/>
      <w:bookmarkStart w:id="486" w:name="Tc_ElkqhOmzk0GjBQrKSDEvAw_14_14"/>
      <w:bookmarkStart w:id="487" w:name="Tc_D0AEaXKyr0aV0ZfO_SwCyw_14_11"/>
      <w:bookmarkStart w:id="488" w:name="Tc_LzjZ9eL7Gkq8h5qZku5WkA_14_8"/>
      <w:bookmarkStart w:id="489" w:name="Tc_t2abu_CnTUSI3X2gZc3TdQ_14_6"/>
      <w:bookmarkStart w:id="490" w:name="Tc_M8gBhufvjUuisKUB6RFh4A_14_3"/>
      <w:bookmarkStart w:id="491" w:name="Tc_qFiNfUml80mKnGKz8xGlUQ_14_0"/>
      <w:bookmarkStart w:id="492" w:name="Tc_eCMsSjAoykmunImvIJkTTw_13_17"/>
      <w:bookmarkStart w:id="493" w:name="Tc_bduCfg7HC02RIhG7Sr7SIg_13_14"/>
      <w:bookmarkStart w:id="494" w:name="Tc_sN9oEDNXvkK043FETCMOPA_13_11"/>
      <w:bookmarkStart w:id="495" w:name="Tc_kBzxq7tHPkmvJMMI59S65w_13_8"/>
      <w:bookmarkStart w:id="496" w:name="Tc_-DAXNFAHPESJwmLRfyXqIQ_13_6"/>
      <w:bookmarkStart w:id="497" w:name="Tc_Vp1jCyIpLECHU4tJuAIKug_13_3"/>
      <w:bookmarkStart w:id="498" w:name="Tc_7108UHzagU6qv5G1Pm4HZw_13_0"/>
      <w:bookmarkStart w:id="499" w:name="Tc_mGZxW5ahIEyVMhPU5in_Gw_12_17"/>
      <w:bookmarkStart w:id="500" w:name="Tc_sPNuH9unNkC2jbr3MvEwjg_12_14"/>
      <w:bookmarkStart w:id="501" w:name="Tc_Nrk3PR5YmUSkQmhdMAyuVA_12_11"/>
      <w:bookmarkStart w:id="502" w:name="Tc_RVvtZuUJO0yaSOnn6WcstQ_12_8"/>
      <w:bookmarkStart w:id="503" w:name="Tc_yNWMvl2jCEyUhGckHzzLcg_12_6"/>
      <w:bookmarkStart w:id="504" w:name="Tc_IatznlvYjUm6qJUVwTzgZg_12_3"/>
      <w:bookmarkStart w:id="505" w:name="Tc_dF84wrjVokaGs65u1UeBEA_12_0"/>
      <w:bookmarkStart w:id="506" w:name="Tc_7LrPdYNjX0y9TjxzaQeI3A_11_23"/>
      <w:bookmarkStart w:id="507" w:name="Tc_bf8Ai7JH2UCW1CZ8wRi_Xg_11_20"/>
      <w:bookmarkStart w:id="508" w:name="Tc_yj5tlSJDCUul9l0PomcquQ_11_17"/>
      <w:bookmarkStart w:id="509" w:name="Tc__IHMor7NtUyU2KRCqKRRPg_11_14"/>
      <w:bookmarkStart w:id="510" w:name="Tc_qyfopBieikiaRsMcOFGYsw_11_0"/>
      <w:bookmarkStart w:id="511" w:name="Tc_R7vnGA0BdEGz-4avUlYuDg_10_23"/>
      <w:bookmarkStart w:id="512" w:name="Tc_lxJd8_LevUiv2tCx1_mEAg_10_20"/>
      <w:bookmarkStart w:id="513" w:name="Tc_KgtXuGcER06loRIAfEeaAQ_10_17"/>
      <w:bookmarkStart w:id="514" w:name="Tc_YbnJdtWZ9kmrHC6WzM8lSA_10_14"/>
      <w:bookmarkStart w:id="515" w:name="Tc_1Bwr1fhGSE2sm4wnQ0b5cA_10_11"/>
      <w:bookmarkStart w:id="516" w:name="Tc_c6-ksSyBCU6EyGHBvqCxoA_10_8"/>
      <w:bookmarkStart w:id="517" w:name="Tc_unyykRamgUCTqrqN5QIXXw_10_6"/>
      <w:bookmarkStart w:id="518" w:name="Tc_c0mY0qvDD0udtBW5VYc4Bg_10_3"/>
      <w:bookmarkStart w:id="519" w:name="Tc_5GWse_nMI0CD9v3imd9YTw_10_0"/>
      <w:bookmarkStart w:id="520" w:name="Tc_kbv7sDAw5kq60uJHhJxY0g_9_20"/>
      <w:bookmarkStart w:id="521" w:name="Tc_tiD6zDSlakaObl1bOx9GtQ_9_17"/>
      <w:bookmarkStart w:id="522" w:name="Tc_bf05LrUQrUm5DMNSKMBuqg_9_11"/>
      <w:bookmarkStart w:id="523" w:name="Tc__nxAZ-tC4kiSjPqlem4rvg_9_8"/>
      <w:bookmarkStart w:id="524" w:name="Tc_OUlEtlPRP0GDhlh9QyaIDQ_9_6"/>
      <w:bookmarkStart w:id="525" w:name="Tc_SMEK39s0JEec21V1Nw9H_w_9_3"/>
      <w:bookmarkStart w:id="526" w:name="Tc_rFF49xCVZU6mQBVFnVQ1lg_9_0"/>
      <w:bookmarkStart w:id="527" w:name="Tc__XMi9b3YJEe_RF-JC3gH5g_8_23"/>
      <w:bookmarkStart w:id="528" w:name="Tc_wDNq2PATC0OkrAgnWrAZLg_8_20"/>
      <w:bookmarkStart w:id="529" w:name="Tc_NWT5mxBi40CpZK-uaZk_NA_8_17"/>
      <w:bookmarkStart w:id="530" w:name="Tc_gpMY1BL1UEaupZjM9Ajodg_8_14"/>
      <w:bookmarkStart w:id="531" w:name="Tc_V-3xo0DYU0OKRgeQuLJUIQ_8_11"/>
      <w:bookmarkStart w:id="532" w:name="Tc_-L6XnkG5DUCBaKhWkIeR3g_8_8"/>
      <w:bookmarkStart w:id="533" w:name="Tc_8Br24ocbn0qIooVizEWXeQ_8_6"/>
      <w:bookmarkStart w:id="534" w:name="Tc_QN7rYCI1fU2Cc5rTJXRf5w_8_3"/>
      <w:bookmarkStart w:id="535" w:name="Tc_h_fI8NIHRkCTe77qWfRZMA_8_0"/>
      <w:bookmarkStart w:id="536" w:name="Tc_1mZL2-d-PEa_JB3AJJCSFA_7_20"/>
      <w:bookmarkStart w:id="537" w:name="Tc_4tEHWSqs1UaE0w8pOX2TuA_7_17"/>
      <w:bookmarkStart w:id="538" w:name="Tc_OB7eGlkDd0aBT_wJhpSk5w_7_11"/>
      <w:bookmarkStart w:id="539" w:name="Tc_cGEQl0d_7Eyw6TiaBDs78A_7_8"/>
      <w:bookmarkStart w:id="540" w:name="Tc_cJ8MlwdgNkO5sR68DdvzQQ_7_6"/>
      <w:bookmarkStart w:id="541" w:name="Tc_L5lp3PmTuUGqFSIMHqIeAA_7_0"/>
      <w:bookmarkStart w:id="542" w:name="Tc_TjGgslbpZkOr_CpsduRGBA_6_20"/>
      <w:bookmarkStart w:id="543" w:name="Tc_519x72x0pUiVD3Jk3-aCmA_6_17"/>
      <w:bookmarkStart w:id="544" w:name="Tc_CWnNq5_Re0qa6CW7uSG-ag_6_11"/>
      <w:bookmarkStart w:id="545" w:name="Tc_blPIu46FoEiWVunSkN9fLw_6_8"/>
      <w:bookmarkStart w:id="546" w:name="Tc_OkSE30-FgEyaDZVva4JErQ_6_0"/>
      <w:bookmarkStart w:id="547" w:name="Tc_dFwoHpylOUag3QvBIINZMg_5_22"/>
      <w:bookmarkStart w:id="548" w:name="Tc_3Pkc87EpzUacDtJmSwBvng_5_19"/>
      <w:bookmarkStart w:id="549" w:name="Tc_nF1TJaO9QE-WDptjnwIf1Q_5_16"/>
      <w:bookmarkStart w:id="550" w:name="Tc_ZTXzInlYkUibANOXgDYd_A_5_13"/>
      <w:bookmarkStart w:id="551" w:name="Tc_7U52hIjRXUan0_HAAhA38A_5_10"/>
      <w:bookmarkStart w:id="552" w:name="Tc_v3A67CM0nkqgCP8PzfVs7A_5_5"/>
      <w:bookmarkStart w:id="553" w:name="Tc_1X2p9-gfPk2sGVII9Yn8wQ_5_0"/>
      <w:bookmarkStart w:id="554" w:name="Tc_Q60CmwSeEUq7xCm_QimtyQ_4_22"/>
      <w:bookmarkStart w:id="555" w:name="Tc_913cRVrS-kW6rppVxMwOKA_4_19"/>
      <w:bookmarkStart w:id="556" w:name="Tc_mWkRWNWi40qkyyw4xgFa8Q_4_16"/>
      <w:bookmarkStart w:id="557" w:name="Tc_rzq4DItN8UGzxOBTdE_OaA_4_13"/>
      <w:bookmarkStart w:id="558" w:name="Tc_OpQ8hYlwtE2ecNivOsSuaw_4_10"/>
      <w:bookmarkStart w:id="559" w:name="Tc_quEHUbeWdE-jX6hm9_q8_g_4_8"/>
      <w:bookmarkStart w:id="560" w:name="Tc_f4cC0zWpk0WBH8y8BoDPag_4_5"/>
      <w:bookmarkStart w:id="561" w:name="Tc_DuLK7ESfOUex6JVwwbw7IA_4_3"/>
      <w:bookmarkStart w:id="562" w:name="Tc_8nASTkQ9Z0KahU_UPTUDOA_3_22"/>
      <w:bookmarkStart w:id="563" w:name="Tc_mdi8g-Fw_0GD6JncHPg45g_3_19"/>
      <w:bookmarkStart w:id="564" w:name="Tc_trb3LOMgm0GfUsuHnJ2RRA_3_16"/>
      <w:bookmarkStart w:id="565" w:name="Tc_5uifeeVBME6Kf9yIPHttqQ_3_13"/>
      <w:bookmarkStart w:id="566" w:name="Tc_iRyACmm9x06-VtCpwHIKHA_3_10"/>
      <w:bookmarkStart w:id="567" w:name="Tc_nBY1QOsD-0-dtc_tKXTe6A_3_8"/>
      <w:bookmarkStart w:id="568" w:name="Tc_a-j4Dk2w3U-UpLk4wFELMA_3_5"/>
      <w:bookmarkStart w:id="569" w:name="Tc_VTi098XDqUC9GqfJOXs1vQ_3_3"/>
      <w:bookmarkStart w:id="570" w:name="Tc_ETSYLbO4s0Sm776gg49cag_2_22"/>
      <w:bookmarkStart w:id="571" w:name="Tc_-mXrNTH3l0e0PgNuiei4oQ_2_19"/>
      <w:bookmarkStart w:id="572" w:name="Tc_IRkN9qFcDUmZwsRB7whobQ_2_16"/>
      <w:bookmarkStart w:id="573" w:name="Tc_DVA8rPwKCUG3-IKunJX9-g_2_13"/>
      <w:bookmarkStart w:id="574" w:name="Tc_HokEneRHWEej2Ly6gE6D0g_2_10"/>
      <w:bookmarkStart w:id="575" w:name="Tc_1jUNFNCFZ0eOFLz6S6d7UQ_2_8"/>
      <w:bookmarkStart w:id="576" w:name="Tc_NCmwyJgjmk2HToHnpVrScw_2_5"/>
      <w:bookmarkStart w:id="577" w:name="Tc_Ft1ryqxPoEmuqXTQb2ECSQ_2_3"/>
      <w:bookmarkStart w:id="578" w:name="Tc_sbgdFmIYOUyHrtyqeNlGMw_1_19"/>
      <w:bookmarkStart w:id="579" w:name="Tc_IrmBY5lrX0aTok0F6Lra7g_1_16"/>
      <w:bookmarkStart w:id="580" w:name="_c1822de3_fdd3_4e9d_9b46_c8810f77df1d"/>
      <w:bookmarkStart w:id="581" w:name="Tc_Udb2cnQ5EEmH0jzCkmFYIQ_33_22"/>
      <w:bookmarkStart w:id="582" w:name="Tc_glecJF-zTUes6M_GtOVmHw_33_19"/>
      <w:bookmarkStart w:id="583" w:name="Tc_7zfHlkf6PkaylG0XXekO_Q_33_16"/>
      <w:bookmarkStart w:id="584" w:name="Tc_z7_3CfKcYEOy5D7mXGFfAA_33_13"/>
      <w:bookmarkStart w:id="585" w:name="Tc_zhHEURJZLkisD0wTDZpQiw_33_10"/>
      <w:bookmarkStart w:id="586" w:name="Tc_Q-BG0xkQjUmXkrXxPMQ1Rg_33_5"/>
      <w:bookmarkStart w:id="587" w:name="Tc_D1v3Fx1tx0mvmJrcmeRJ_w_33_0"/>
      <w:bookmarkStart w:id="588" w:name="Tc_BZ2XYYX_DEqzfnVah3DxLA_32_20"/>
      <w:bookmarkStart w:id="589" w:name="Tc_7zgIQgM3E0GBbEFNRzsRsQ_32_14"/>
      <w:bookmarkStart w:id="590" w:name="Tc_B-IPyH3ILUOIMe7zh60ASQ_32_11"/>
      <w:bookmarkStart w:id="591" w:name="Tc_L8-QaajgqEmn_CBjICds9A_32_8"/>
      <w:bookmarkStart w:id="592" w:name="Tc_nruQ93n7v0C3jDCMW0c9LA_32_6"/>
      <w:bookmarkStart w:id="593" w:name="Tc_wKzPgdTfTU2zEm4yh9NCCA_32_3"/>
      <w:bookmarkStart w:id="594" w:name="Tc_bMtILqldZ0Wr1VnsZvBfgA_32_0"/>
      <w:bookmarkStart w:id="595" w:name="Tc_jOQV6fmOTUKQdT54MoAbsQ_31_17"/>
      <w:bookmarkStart w:id="596" w:name="Tc_HWKxGNcKDkquvPafy7TDxA_31_14"/>
      <w:bookmarkStart w:id="597" w:name="Tc_nbQ6DsTsnUS3Hu9_qF1dBA_31_11"/>
      <w:bookmarkStart w:id="598" w:name="Tc_dlSMs_aGrEiLcTmQk201bA_31_8"/>
      <w:bookmarkStart w:id="599" w:name="Tc_KH6iPeNm2kq3aEdxzQoQ9Q_31_6"/>
      <w:bookmarkStart w:id="600" w:name="Tc_fp4ighKGo0mBD82gPY8crQ_31_3"/>
      <w:bookmarkStart w:id="601" w:name="Tc_A1AhX9sunkOmwZuLsLDJKw_31_0"/>
      <w:bookmarkStart w:id="602" w:name="Tc_BMsMurjV4E-S62HVhxWArA_30_17"/>
      <w:bookmarkStart w:id="603" w:name="Tc_fzilCel60EK-HI00_2bWqg_30_14"/>
      <w:bookmarkStart w:id="604" w:name="Tc_rkaFw07pJkynsAVlk5v31w_30_11"/>
      <w:bookmarkStart w:id="605" w:name="Tc_rwhKn47zdkye9tJbuaD8wg_30_8"/>
      <w:bookmarkStart w:id="606" w:name="Tc_1M9pZ6cQ30ak1SWWfb60mw_30_6"/>
      <w:bookmarkStart w:id="607" w:name="Tc_YeR0ehtzPUiYJDirJKb-ag_30_3"/>
      <w:bookmarkStart w:id="608" w:name="Tc_DDJptqWHPEOKrVRNbLEA4g_30_0"/>
      <w:bookmarkStart w:id="609" w:name="Tc_Uykeuw96cEmvDs8wAnz3Kw_29_23"/>
      <w:bookmarkStart w:id="610" w:name="Tc_iUE6XVqSdkOO_BkumH-46g_29_20"/>
      <w:bookmarkStart w:id="611" w:name="Tc_e98WYKrakkeqzSd4S_o-Rg_29_17"/>
      <w:bookmarkStart w:id="612" w:name="Tc_SKZ9L-GG-E-nnQgmTP_1lg_29_14"/>
      <w:bookmarkStart w:id="613" w:name="Tc_KzLD02iz7kyG9NKHj9RvkA_29_0"/>
      <w:bookmarkStart w:id="614" w:name="Tc__YdDdB4hMU-30M6UBeWIlg_28_20"/>
      <w:bookmarkStart w:id="615" w:name="Tc_jk_0XvRtUEWidJV6SrRzNA_28_17"/>
      <w:bookmarkStart w:id="616" w:name="Tc_rxXFGaoTN0qKm2X1_ATTpw_28_11"/>
      <w:bookmarkStart w:id="617" w:name="Tc_asXVj89vdEe1WdjqRz8DcQ_28_8"/>
      <w:bookmarkStart w:id="618" w:name="Tc_KaPPUasMP06-V8B8HAnkHQ_28_6"/>
      <w:bookmarkStart w:id="619" w:name="Tc_bGaH0pHHSkCHfEgvuQxViw_28_3"/>
      <w:bookmarkStart w:id="620" w:name="Tc_q5v3abzkV0qVt2fN-Tb0ug_28_0"/>
      <w:bookmarkStart w:id="621" w:name="Tc_lqa1Mxxp2kO_XiVRC7c4Ow_27_20"/>
      <w:bookmarkStart w:id="622" w:name="Tc_qfJfFPPzE0G4ZvZJEc1uEA_27_17"/>
      <w:bookmarkStart w:id="623" w:name="Tc_8beqpoVrlkKz2vuJl53UAA_27_11"/>
      <w:bookmarkStart w:id="624" w:name="Tc_ohPOwIZlKUC6dL68QJxIig_27_8"/>
      <w:bookmarkStart w:id="625" w:name="Tc_B6Y19YltBkKxDjWFt10V_w_27_6"/>
      <w:bookmarkStart w:id="626" w:name="Tc_sp8-0SO1YkKD27iGtBxOAQ_27_0"/>
      <w:bookmarkStart w:id="627" w:name="Tc_5dY1e6hkRkyWpFJmRg9ZJQ_26_20"/>
      <w:bookmarkStart w:id="628" w:name="Tc_YGxwFIVGZUGvcNAmEvkjpQ_26_17"/>
      <w:bookmarkStart w:id="629" w:name="Tc_Q6GtK6gW8kuKDN7iIrj4Vg_26_11"/>
      <w:bookmarkStart w:id="630" w:name="Tc_KRAGx_wCpUiCccYfJb2qIg_26_8"/>
      <w:bookmarkStart w:id="631" w:name="Tc_uh-3xgtP2UGrZ-qQ4XRYlw_26_6"/>
      <w:bookmarkStart w:id="632" w:name="Tc_lwOq5Yx3s0G7JyWkZJiZCA_26_0"/>
      <w:bookmarkStart w:id="633" w:name="Tc_4CGWlIL3b0yN8Kuw0U8MrQ_25_20"/>
      <w:bookmarkStart w:id="634" w:name="Tc_dtGL_RtTm0iqgdfBFUZXtg_25_17"/>
      <w:bookmarkStart w:id="635" w:name="Tc_sMYtXxTxG0e5dDv6IwsH6w_25_11"/>
      <w:bookmarkStart w:id="636" w:name="Tc_0cVBHZjPo0yYnDi0HeF8fw_25_8"/>
      <w:bookmarkStart w:id="637" w:name="Tc_nq3--e0kZ0SbPzXm5W78cw_25_0"/>
      <w:bookmarkStart w:id="638" w:name="Tc_pE8wW3putUK4kinTbyNZYQ_24_0"/>
      <w:bookmarkStart w:id="639" w:name="Tc_Fn7hzzIZgE2FlhELNZEW7A_23_20"/>
      <w:bookmarkStart w:id="640" w:name="Tc_wPCdbi3_x0e05gSgeHcQgA_23_14"/>
      <w:bookmarkStart w:id="641" w:name="Tc_jEOnFVL49020y_ND2kGYTw_23_11"/>
      <w:bookmarkStart w:id="642" w:name="Tc_98tNaxgeDkSi0R4E8QRSJw_23_8"/>
      <w:bookmarkStart w:id="643" w:name="Tc_Cmfelt1gNEiOJnAvlXWN2g_23_6"/>
      <w:bookmarkStart w:id="644" w:name="Tc_UpD8K26SZ02U1VP9XdXN3w_23_3"/>
      <w:bookmarkStart w:id="645" w:name="Tc_vjVL0F3fNEO5sudweDmmPA_23_0"/>
      <w:bookmarkStart w:id="646" w:name="Tc_uS7z4n6Vm0CE5tSI1rJ1tw_22_17"/>
      <w:bookmarkStart w:id="647" w:name="Tc_IyNgGOxxFkmpjN8K6i3H8A_22_14"/>
      <w:bookmarkStart w:id="648" w:name="Tc_yzdVoxjiGkCSwjHjQ0aknw_22_11"/>
      <w:bookmarkStart w:id="649" w:name="Tc_f5FzfFnHGEaBXxq_jDzyGA_22_8"/>
      <w:bookmarkStart w:id="650" w:name="Tc_lkFYi3QJRUqVAe_kIQy5pQ_22_6"/>
      <w:bookmarkStart w:id="651" w:name="Tc_mQkOlwX3x0iBOV-MDjf-UA_22_3"/>
      <w:bookmarkStart w:id="652" w:name="Tc_e7CihApIlE-mIgcmKpZnXw_22_0"/>
      <w:bookmarkStart w:id="653" w:name="Tc_NHPyNn4XW0m2dVqZ4JECDA_21_17"/>
      <w:bookmarkStart w:id="654" w:name="Tc_780-SiIrqkWcs6wM52NjAg_21_14"/>
      <w:bookmarkStart w:id="655" w:name="Tc_NqWAi5SJTEmo2_b5C-0LHA_21_11"/>
      <w:bookmarkStart w:id="656" w:name="Tc_OrYNH92VmE-RhdOidrJ08Q_21_8"/>
      <w:bookmarkStart w:id="657" w:name="Tc_2b6NHA56uEOMziNRYUULLQ_21_6"/>
      <w:bookmarkStart w:id="658" w:name="Tc_zsVMrdP0k0-6ohqAHd23fg_21_3"/>
      <w:bookmarkStart w:id="659" w:name="Tc_eae348-ubE6vrZ6V4cd84A_21_0"/>
      <w:bookmarkStart w:id="660" w:name="Tc_qkJXO1Zd7ESZO3kH1nlxSA_20_20"/>
      <w:bookmarkStart w:id="661" w:name="Tc_Vi5X06okm0iAPy3NUAgZtg_20_17"/>
      <w:bookmarkStart w:id="662" w:name="Tc_iIe3fSDxd0qQAdFLt91wLQ_20_11"/>
      <w:bookmarkStart w:id="663" w:name="Tc_PJxMeJF8tEC_cOpwNlUa_A_20_8"/>
      <w:bookmarkStart w:id="664" w:name="Tc_cNjVb8pXrkuPnifsrGr3DQ_20_6"/>
      <w:bookmarkStart w:id="665" w:name="Tc_v_1rWt-ZL06Dy0_6P3NumA_20_3"/>
      <w:bookmarkStart w:id="666" w:name="Tc_xIPGaywtR0O2MtnN8ChVgg_20_0"/>
      <w:bookmarkStart w:id="667" w:name="Tc_rj4HqdgJFUWrlImcje8qYw_19_20"/>
      <w:bookmarkStart w:id="668" w:name="Tc_YihGmpZlmkOy5tYN82XF1w_19_17"/>
      <w:bookmarkStart w:id="669" w:name="Tc_GnRS_uMQxUm9ylEpUhp25g_19_11"/>
      <w:bookmarkStart w:id="670" w:name="Tc_vLeMLUbHS0OP31twqEdTkQ_19_8"/>
      <w:bookmarkStart w:id="671" w:name="Tc_-ri2HjwGYUiLBT0gaBZj5w_19_6"/>
      <w:bookmarkStart w:id="672" w:name="Tc_tZ4FG2SgyEmAQ8ukpWcEmQ_19_0"/>
      <w:bookmarkStart w:id="673" w:name="Tc_HdcTpJm_dEGdoN9nq0awMA_18_23"/>
      <w:bookmarkStart w:id="674" w:name="Tc_GvgoQ9hnlUmeM1RTiGpiSQ_18_20"/>
      <w:bookmarkStart w:id="675" w:name="Tc_4sn3M7ZU70iIjSTckp-lnQ_18_17"/>
      <w:bookmarkStart w:id="676" w:name="Tc_zNK9m3l5Jk-u5D337XhRjg_18_14"/>
      <w:bookmarkStart w:id="677" w:name="Tc_afU9C7bzWUCmLWwEzWKLyg_18_11"/>
      <w:bookmarkStart w:id="678" w:name="Tc_qkpRvKGCg0OZRUqKIZZnaA_18_8"/>
      <w:bookmarkStart w:id="679" w:name="Tc_jHViMdZdW0qwLAU_ayJ3Xw_18_6"/>
      <w:bookmarkStart w:id="680" w:name="Tc_vmbF425bvkODGBBIrHTI4A_18_0"/>
      <w:bookmarkStart w:id="681" w:name="Tc_iAoZUdOGSkOr2D0NtMyVDw_17_20"/>
      <w:bookmarkStart w:id="682" w:name="Tc_V9lHsqeIR0ezJLhF4vz47Q_17_17"/>
      <w:bookmarkStart w:id="683" w:name="Tc_f_vPQqTncE6XwG9tkTatDA_17_11"/>
      <w:bookmarkStart w:id="684" w:name="Tc_uHyd5kKSHk-mLrLLk8yvDQ_17_8"/>
      <w:bookmarkStart w:id="685" w:name="Tc_08FXeo4XcEySaGK8d_vPvA_17_6"/>
      <w:bookmarkStart w:id="686" w:name="Tc_u7sPBgh-rkOSSyfwZzzHnA_17_0"/>
      <w:bookmarkStart w:id="687" w:name="Tc_MzcrNGxf5UKvt6yp-6OI8Q_16_20"/>
      <w:bookmarkStart w:id="688" w:name="Tc_JGO7QUTOQEeZgR76SQJtQA_16_17"/>
      <w:bookmarkStart w:id="689" w:name="Tc_sUtflEzrREuiVIpimXodxw_16_11"/>
      <w:bookmarkStart w:id="690" w:name="Tc_fVpNv65CmkCgNOAEtbH1Cw_16_8"/>
      <w:bookmarkStart w:id="691" w:name="Tc_fLGmXbZlGEiTuKsN8hu76w_16_0"/>
      <w:bookmarkStart w:id="692" w:name="Tc_UYYZWq-cFEyVZZinnKN_3w_15_0"/>
      <w:bookmarkStart w:id="693" w:name="Tc_uogsU8VzY0O08fnBNhLyyw_14_20"/>
      <w:bookmarkStart w:id="694" w:name="Tc_ElkqhOmzk0GjBQrKSDEvAw_14_14"/>
      <w:bookmarkStart w:id="695" w:name="Tc_D0AEaXKyr0aV0ZfO_SwCyw_14_11"/>
      <w:bookmarkStart w:id="696" w:name="Tc_LzjZ9eL7Gkq8h5qZku5WkA_14_8"/>
      <w:bookmarkStart w:id="697" w:name="Tc_t2abu_CnTUSI3X2gZc3TdQ_14_6"/>
      <w:bookmarkStart w:id="698" w:name="Tc_M8gBhufvjUuisKUB6RFh4A_14_3"/>
      <w:bookmarkStart w:id="699" w:name="Tc_qFiNfUml80mKnGKz8xGlUQ_14_0"/>
      <w:bookmarkStart w:id="700" w:name="Tc_eCMsSjAoykmunImvIJkTTw_13_17"/>
      <w:bookmarkStart w:id="701" w:name="Tc_bduCfg7HC02RIhG7Sr7SIg_13_14"/>
      <w:bookmarkStart w:id="702" w:name="Tc_sN9oEDNXvkK043FETCMOPA_13_11"/>
      <w:bookmarkStart w:id="703" w:name="Tc_kBzxq7tHPkmvJMMI59S65w_13_8"/>
      <w:bookmarkStart w:id="704" w:name="Tc_-DAXNFAHPESJwmLRfyXqIQ_13_6"/>
      <w:bookmarkStart w:id="705" w:name="Tc_Vp1jCyIpLECHU4tJuAIKug_13_3"/>
      <w:bookmarkStart w:id="706" w:name="Tc_7108UHzagU6qv5G1Pm4HZw_13_0"/>
      <w:bookmarkStart w:id="707" w:name="Tc_mGZxW5ahIEyVMhPU5in_Gw_12_17"/>
      <w:bookmarkStart w:id="708" w:name="Tc_sPNuH9unNkC2jbr3MvEwjg_12_14"/>
      <w:bookmarkStart w:id="709" w:name="Tc_Nrk3PR5YmUSkQmhdMAyuVA_12_11"/>
      <w:bookmarkStart w:id="710" w:name="Tc_RVvtZuUJO0yaSOnn6WcstQ_12_8"/>
      <w:bookmarkStart w:id="711" w:name="Tc_yNWMvl2jCEyUhGckHzzLcg_12_6"/>
      <w:bookmarkStart w:id="712" w:name="Tc_IatznlvYjUm6qJUVwTzgZg_12_3"/>
      <w:bookmarkStart w:id="713" w:name="Tc_dF84wrjVokaGs65u1UeBEA_12_0"/>
      <w:bookmarkStart w:id="714" w:name="Tc_7LrPdYNjX0y9TjxzaQeI3A_11_23"/>
      <w:bookmarkStart w:id="715" w:name="Tc_bf8Ai7JH2UCW1CZ8wRi_Xg_11_20"/>
      <w:bookmarkStart w:id="716" w:name="Tc_yj5tlSJDCUul9l0PomcquQ_11_17"/>
      <w:bookmarkStart w:id="717" w:name="Tc__IHMor7NtUyU2KRCqKRRPg_11_14"/>
      <w:bookmarkStart w:id="718" w:name="Tc_qyfopBieikiaRsMcOFGYsw_11_0"/>
      <w:bookmarkStart w:id="719" w:name="Tc_R7vnGA0BdEGz-4avUlYuDg_10_23"/>
      <w:bookmarkStart w:id="720" w:name="Tc_lxJd8_LevUiv2tCx1_mEAg_10_20"/>
      <w:bookmarkStart w:id="721" w:name="Tc_KgtXuGcER06loRIAfEeaAQ_10_17"/>
      <w:bookmarkStart w:id="722" w:name="Tc_YbnJdtWZ9kmrHC6WzM8lSA_10_14"/>
      <w:bookmarkStart w:id="723" w:name="Tc_1Bwr1fhGSE2sm4wnQ0b5cA_10_11"/>
      <w:bookmarkStart w:id="724" w:name="Tc_c6-ksSyBCU6EyGHBvqCxoA_10_8"/>
      <w:bookmarkStart w:id="725" w:name="Tc_unyykRamgUCTqrqN5QIXXw_10_6"/>
      <w:bookmarkStart w:id="726" w:name="Tc_c0mY0qvDD0udtBW5VYc4Bg_10_3"/>
      <w:bookmarkStart w:id="727" w:name="Tc_5GWse_nMI0CD9v3imd9YTw_10_0"/>
      <w:bookmarkStart w:id="728" w:name="Tc_kbv7sDAw5kq60uJHhJxY0g_9_20"/>
      <w:bookmarkStart w:id="729" w:name="Tc_tiD6zDSlakaObl1bOx9GtQ_9_17"/>
      <w:bookmarkStart w:id="730" w:name="Tc_bf05LrUQrUm5DMNSKMBuqg_9_11"/>
      <w:bookmarkStart w:id="731" w:name="Tc__nxAZ-tC4kiSjPqlem4rvg_9_8"/>
      <w:bookmarkStart w:id="732" w:name="Tc_OUlEtlPRP0GDhlh9QyaIDQ_9_6"/>
      <w:bookmarkStart w:id="733" w:name="Tc_SMEK39s0JEec21V1Nw9H_w_9_3"/>
      <w:bookmarkStart w:id="734" w:name="Tc_rFF49xCVZU6mQBVFnVQ1lg_9_0"/>
      <w:bookmarkStart w:id="735" w:name="Tc__XMi9b3YJEe_RF-JC3gH5g_8_23"/>
      <w:bookmarkStart w:id="736" w:name="Tc_wDNq2PATC0OkrAgnWrAZLg_8_20"/>
      <w:bookmarkStart w:id="737" w:name="Tc_NWT5mxBi40CpZK-uaZk_NA_8_17"/>
      <w:bookmarkStart w:id="738" w:name="Tc_gpMY1BL1UEaupZjM9Ajodg_8_14"/>
      <w:bookmarkStart w:id="739" w:name="Tc_V-3xo0DYU0OKRgeQuLJUIQ_8_11"/>
      <w:bookmarkStart w:id="740" w:name="Tc_-L6XnkG5DUCBaKhWkIeR3g_8_8"/>
      <w:bookmarkStart w:id="741" w:name="Tc_8Br24ocbn0qIooVizEWXeQ_8_6"/>
      <w:bookmarkStart w:id="742" w:name="Tc_QN7rYCI1fU2Cc5rTJXRf5w_8_3"/>
      <w:bookmarkStart w:id="743" w:name="Tc_h_fI8NIHRkCTe77qWfRZMA_8_0"/>
      <w:bookmarkStart w:id="744" w:name="Tc_1mZL2-d-PEa_JB3AJJCSFA_7_20"/>
      <w:bookmarkStart w:id="745" w:name="Tc_4tEHWSqs1UaE0w8pOX2TuA_7_17"/>
      <w:bookmarkStart w:id="746" w:name="Tc_OB7eGlkDd0aBT_wJhpSk5w_7_11"/>
      <w:bookmarkStart w:id="747" w:name="Tc_cGEQl0d_7Eyw6TiaBDs78A_7_8"/>
      <w:bookmarkStart w:id="748" w:name="Tc_cJ8MlwdgNkO5sR68DdvzQQ_7_6"/>
      <w:bookmarkStart w:id="749" w:name="Tc_L5lp3PmTuUGqFSIMHqIeAA_7_0"/>
      <w:bookmarkStart w:id="750" w:name="Tc_TjGgslbpZkOr_CpsduRGBA_6_20"/>
      <w:bookmarkStart w:id="751" w:name="Tc_519x72x0pUiVD3Jk3-aCmA_6_17"/>
      <w:bookmarkStart w:id="752" w:name="Tc_CWnNq5_Re0qa6CW7uSG-ag_6_11"/>
      <w:bookmarkStart w:id="753" w:name="Tc_blPIu46FoEiWVunSkN9fLw_6_8"/>
      <w:bookmarkStart w:id="754" w:name="Tc_OkSE30-FgEyaDZVva4JErQ_6_0"/>
      <w:bookmarkStart w:id="755" w:name="Tc_dFwoHpylOUag3QvBIINZMg_5_22"/>
      <w:bookmarkStart w:id="756" w:name="Tc_3Pkc87EpzUacDtJmSwBvng_5_19"/>
      <w:bookmarkStart w:id="757" w:name="Tc_nF1TJaO9QE-WDptjnwIf1Q_5_16"/>
      <w:bookmarkStart w:id="758" w:name="Tc_ZTXzInlYkUibANOXgDYd_A_5_13"/>
      <w:bookmarkStart w:id="759" w:name="Tc_7U52hIjRXUan0_HAAhA38A_5_10"/>
      <w:bookmarkStart w:id="760" w:name="Tc_v3A67CM0nkqgCP8PzfVs7A_5_5"/>
      <w:bookmarkStart w:id="761" w:name="Tc_1X2p9-gfPk2sGVII9Yn8wQ_5_0"/>
      <w:bookmarkStart w:id="762" w:name="Tc_Q60CmwSeEUq7xCm_QimtyQ_4_22"/>
      <w:bookmarkStart w:id="763" w:name="Tc_913cRVrS-kW6rppVxMwOKA_4_19"/>
      <w:bookmarkStart w:id="764" w:name="Tc_mWkRWNWi40qkyyw4xgFa8Q_4_16"/>
      <w:bookmarkStart w:id="765" w:name="Tc_rzq4DItN8UGzxOBTdE_OaA_4_13"/>
      <w:bookmarkStart w:id="766" w:name="Tc_OpQ8hYlwtE2ecNivOsSuaw_4_10"/>
      <w:bookmarkStart w:id="767" w:name="Tc_quEHUbeWdE-jX6hm9_q8_g_4_8"/>
      <w:bookmarkStart w:id="768" w:name="Tc_f4cC0zWpk0WBH8y8BoDPag_4_5"/>
      <w:bookmarkStart w:id="769" w:name="Tc_DuLK7ESfOUex6JVwwbw7IA_4_3"/>
      <w:bookmarkStart w:id="770" w:name="Tc_8nASTkQ9Z0KahU_UPTUDOA_3_22"/>
      <w:bookmarkStart w:id="771" w:name="Tc_mdi8g-Fw_0GD6JncHPg45g_3_19"/>
      <w:bookmarkStart w:id="772" w:name="Tc_trb3LOMgm0GfUsuHnJ2RRA_3_16"/>
      <w:bookmarkStart w:id="773" w:name="Tc_5uifeeVBME6Kf9yIPHttqQ_3_13"/>
      <w:bookmarkStart w:id="774" w:name="Tc_iRyACmm9x06-VtCpwHIKHA_3_10"/>
      <w:bookmarkStart w:id="775" w:name="Tc_nBY1QOsD-0-dtc_tKXTe6A_3_8"/>
      <w:bookmarkStart w:id="776" w:name="Tc_a-j4Dk2w3U-UpLk4wFELMA_3_5"/>
      <w:bookmarkStart w:id="777" w:name="Tc_VTi098XDqUC9GqfJOXs1vQ_3_3"/>
      <w:bookmarkStart w:id="778" w:name="Tc_ETSYLbO4s0Sm776gg49cag_2_22"/>
      <w:bookmarkStart w:id="779" w:name="Tc_-mXrNTH3l0e0PgNuiei4oQ_2_19"/>
      <w:bookmarkStart w:id="780" w:name="Tc_IRkN9qFcDUmZwsRB7whobQ_2_16"/>
      <w:bookmarkStart w:id="781" w:name="Tc_DVA8rPwKCUG3-IKunJX9-g_2_13"/>
      <w:bookmarkStart w:id="782" w:name="Tc_HokEneRHWEej2Ly6gE6D0g_2_10"/>
      <w:bookmarkStart w:id="783" w:name="Tc_1jUNFNCFZ0eOFLz6S6d7UQ_2_8"/>
      <w:bookmarkStart w:id="784" w:name="Tc_NCmwyJgjmk2HToHnpVrScw_2_5"/>
      <w:bookmarkStart w:id="785" w:name="Tc_Ft1ryqxPoEmuqXTQb2ECSQ_2_3"/>
      <w:bookmarkStart w:id="786" w:name="Tc_sbgdFmIYOUyHrtyqeNlGMw_1_19"/>
      <w:bookmarkStart w:id="787" w:name="Tc_IrmBY5lrX0aTok0F6Lra7g_1_16"/>
      <w:bookmarkStart w:id="788" w:name="_c1822de3_fdd3_4e9d_9b46_c8810f77df1d"/>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tbl>
      <w:tblPr>
        <w:tblW w:w="10205" w:type="dxa"/>
        <w:jc w:val="left"/>
        <w:tblInd w:w="0" w:type="dxa"/>
        <w:tblLayout w:type="fixed"/>
        <w:tblCellMar>
          <w:top w:w="0" w:type="dxa"/>
          <w:left w:w="0" w:type="dxa"/>
          <w:bottom w:w="0" w:type="dxa"/>
          <w:right w:w="0" w:type="dxa"/>
        </w:tblCellMar>
      </w:tblPr>
      <w:tblGrid>
        <w:gridCol w:w="1953"/>
        <w:gridCol w:w="146"/>
        <w:gridCol w:w="109"/>
        <w:gridCol w:w="856"/>
        <w:gridCol w:w="206"/>
        <w:gridCol w:w="215"/>
        <w:gridCol w:w="416"/>
        <w:gridCol w:w="206"/>
        <w:gridCol w:w="856"/>
        <w:gridCol w:w="206"/>
        <w:gridCol w:w="215"/>
        <w:gridCol w:w="416"/>
        <w:gridCol w:w="109"/>
        <w:gridCol w:w="181"/>
        <w:gridCol w:w="586"/>
        <w:gridCol w:w="206"/>
        <w:gridCol w:w="224"/>
        <w:gridCol w:w="692"/>
        <w:gridCol w:w="206"/>
        <w:gridCol w:w="257"/>
        <w:gridCol w:w="794"/>
        <w:gridCol w:w="206"/>
        <w:gridCol w:w="197"/>
        <w:gridCol w:w="747"/>
      </w:tblGrid>
      <w:tr>
        <w:trPr/>
        <w:tc>
          <w:tcPr>
            <w:tcW w:w="1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0155" cy="175260"/>
                      <wp:effectExtent l="0" t="0" r="0" b="0"/>
                      <wp:wrapNone/>
                      <wp:docPr id="20" name="Frame20"/>
                      <a:graphic xmlns:a="http://schemas.openxmlformats.org/drawingml/2006/main">
                        <a:graphicData uri="http://schemas.microsoft.com/office/word/2010/wordprocessingShape">
                          <wps:wsp>
                            <wps:cNvSpPr txBox="1"/>
                            <wps:spPr>
                              <a:xfrm>
                                <a:off x="0" y="0"/>
                                <a:ext cx="1240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2710" cy="175260"/>
                      <wp:effectExtent l="0" t="0" r="0" b="0"/>
                      <wp:wrapNone/>
                      <wp:docPr id="21"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43560" cy="175260"/>
                      <wp:effectExtent l="0" t="0" r="0" b="0"/>
                      <wp:wrapNone/>
                      <wp:docPr id="23" name="Frame2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0810" cy="175260"/>
                      <wp:effectExtent l="0" t="0" r="0" b="0"/>
                      <wp:wrapNone/>
                      <wp:docPr id="24" name="Frame2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6525" cy="175260"/>
                      <wp:effectExtent l="0" t="0" r="0" b="0"/>
                      <wp:wrapNone/>
                      <wp:docPr id="25" name="Frame2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64160" cy="175260"/>
                      <wp:effectExtent l="0" t="0" r="0" b="0"/>
                      <wp:wrapNone/>
                      <wp:docPr id="26" name="Frame26"/>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0810" cy="175260"/>
                      <wp:effectExtent l="0" t="0" r="0" b="0"/>
                      <wp:wrapNone/>
                      <wp:docPr id="27" name="Frame2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43560" cy="175260"/>
                      <wp:effectExtent l="0" t="0" r="0" b="0"/>
                      <wp:wrapNone/>
                      <wp:docPr id="28" name="Frame2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0810" cy="175260"/>
                      <wp:effectExtent l="0" t="0" r="0" b="0"/>
                      <wp:wrapNone/>
                      <wp:docPr id="29" name="Frame2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6525" cy="175260"/>
                      <wp:effectExtent l="0" t="0" r="0" b="0"/>
                      <wp:wrapNone/>
                      <wp:docPr id="30" name="Frame3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64160" cy="175260"/>
                      <wp:effectExtent l="0" t="0" r="0" b="0"/>
                      <wp:wrapNone/>
                      <wp:docPr id="31" name="Frame31"/>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14935" cy="175260"/>
                      <wp:effectExtent l="0" t="0" r="0" b="0"/>
                      <wp:wrapNone/>
                      <wp:docPr id="33" name="Frame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72110" cy="175260"/>
                      <wp:effectExtent l="0" t="0" r="0" b="0"/>
                      <wp:wrapNone/>
                      <wp:docPr id="34" name="Frame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0810" cy="175260"/>
                      <wp:effectExtent l="0" t="0" r="0" b="0"/>
                      <wp:wrapNone/>
                      <wp:docPr id="35" name="Frame3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2240" cy="175260"/>
                      <wp:effectExtent l="0" t="0" r="0" b="0"/>
                      <wp:wrapNone/>
                      <wp:docPr id="36" name="Frame3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9420" cy="175260"/>
                      <wp:effectExtent l="0" t="0" r="0" b="0"/>
                      <wp:wrapNone/>
                      <wp:docPr id="37" name="Frame37"/>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810" cy="175260"/>
                      <wp:effectExtent l="0" t="0" r="0" b="0"/>
                      <wp:wrapNone/>
                      <wp:docPr id="38" name="Frame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63195" cy="175260"/>
                      <wp:effectExtent l="0" t="0" r="0" b="0"/>
                      <wp:wrapNone/>
                      <wp:docPr id="39" name="Frame39"/>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04190" cy="175260"/>
                      <wp:effectExtent l="0" t="0" r="0" b="0"/>
                      <wp:wrapNone/>
                      <wp:docPr id="40" name="Frame40"/>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0810" cy="175260"/>
                      <wp:effectExtent l="0" t="0" r="0" b="0"/>
                      <wp:wrapNone/>
                      <wp:docPr id="41" name="Frame4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5095" cy="175260"/>
                      <wp:effectExtent l="0" t="0" r="0" b="0"/>
                      <wp:wrapNone/>
                      <wp:docPr id="42" name="Frame42"/>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74345" cy="175260"/>
                      <wp:effectExtent l="0" t="0" r="0" b="0"/>
                      <wp:wrapNone/>
                      <wp:docPr id="43" name="Frame43"/>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r>
      <w:tr>
        <w:trPr/>
        <w:tc>
          <w:tcPr>
            <w:tcW w:w="195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20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20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 </w:t>
            </w:r>
          </w:p>
        </w:tc>
        <w:tc>
          <w:tcPr>
            <w:tcW w:w="206" w:type="dxa"/>
            <w:tcBorders/>
            <w:vAlign w:val="center"/>
          </w:tcPr>
          <w:p>
            <w:pPr>
              <w:pStyle w:val="TableContents"/>
              <w:bidi w:val="0"/>
              <w:spacing w:before="0" w:after="0"/>
              <w:ind w:left="0" w:right="0" w:hanging="0"/>
              <w:jc w:val="center"/>
              <w:rPr/>
            </w:pPr>
            <w:r>
              <w:rPr/>
              <w:t>  </w:t>
            </w:r>
          </w:p>
        </w:tc>
        <w:tc>
          <w:tcPr>
            <w:tcW w:w="94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95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20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 </w:t>
            </w:r>
          </w:p>
        </w:tc>
        <w:tc>
          <w:tcPr>
            <w:tcW w:w="206" w:type="dxa"/>
            <w:tcBorders/>
            <w:vAlign w:val="center"/>
          </w:tcPr>
          <w:p>
            <w:pPr>
              <w:pStyle w:val="TableContents"/>
              <w:bidi w:val="0"/>
              <w:spacing w:before="0" w:after="0"/>
              <w:ind w:left="0" w:right="0" w:hanging="0"/>
              <w:jc w:val="center"/>
              <w:rPr/>
            </w:pPr>
            <w:r>
              <w:rPr/>
              <w:t>​</w:t>
            </w:r>
          </w:p>
        </w:tc>
        <w:tc>
          <w:tcPr>
            <w:tcW w:w="94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95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Stock</w:t>
            </w:r>
          </w:p>
        </w:tc>
        <w:tc>
          <w:tcPr>
            <w:tcW w:w="20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20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20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206" w:type="dxa"/>
            <w:tcBorders/>
            <w:vAlign w:val="center"/>
          </w:tcPr>
          <w:p>
            <w:pPr>
              <w:pStyle w:val="TableContents"/>
              <w:bidi w:val="0"/>
              <w:spacing w:before="0" w:after="0"/>
              <w:ind w:left="0" w:right="0" w:hanging="0"/>
              <w:jc w:val="center"/>
              <w:rPr/>
            </w:pPr>
            <w:r>
              <w:rP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January 1, 2023</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50,014</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100,307</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244,820</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12,507</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(27,752)</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229,725</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592</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1,279</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1,280</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391</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(3,471)</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(3,471)</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Awards, net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10,938</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10,938</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in connection with ESPP</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Class B shares exchanged for Class A shares</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2,589</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(2,589)</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3,122</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3,122</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from available-for-sale investments,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(18,132)</w:t>
            </w:r>
          </w:p>
        </w:tc>
        <w:tc>
          <w:tcPr>
            <w:tcW w:w="20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(18,132)</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March 31, 2023</w:t>
            </w:r>
          </w:p>
        </w:tc>
        <w:tc>
          <w:tcPr>
            <w:tcW w:w="1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53,586</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97,718</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253,566</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(5,625)</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(24,617)</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223,475</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668</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669</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Awards, net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in connection with ESPP</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1,178</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1,178</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6,904</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6,904</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loss from available-for-sale investments, net of tax</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(6,896)</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(6,896)</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June 30, 2023</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54,054</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97,718</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262,095</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(12,521)</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(24,011)</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225,715</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744</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(3,717)</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(3,716)</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Awards, net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7,527</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7,527</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Class B shares exchanged for Class A shares</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879</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(879)</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(5,311)</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(5,311)</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from available-for-sale investments,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(3,399)</w:t>
            </w:r>
          </w:p>
        </w:tc>
        <w:tc>
          <w:tcPr>
            <w:tcW w:w="20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(3,399)</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September 30, 2023</w:t>
            </w:r>
          </w:p>
        </w:tc>
        <w:tc>
          <w:tcPr>
            <w:tcW w:w="1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55,825</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96,839</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265,251</w:t>
            </w:r>
          </w:p>
        </w:tc>
        <w:tc>
          <w:tcPr>
            <w:tcW w:w="20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(15,920)</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(29,312)</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4"/>
              </w:rPr>
            </w:pPr>
            <w:r>
              <w:rPr>
                <w:rFonts w:ascii="Times New Roman;Times;serif" w:hAnsi="Times New Roman;Times;serif"/>
                <w:sz w:val="14"/>
              </w:rPr>
              <w:t>220,172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636" w:type="dxa"/>
        <w:jc w:val="left"/>
        <w:tblInd w:w="0" w:type="dxa"/>
        <w:tblLayout w:type="fixed"/>
        <w:tblCellMar>
          <w:top w:w="0" w:type="dxa"/>
          <w:left w:w="0" w:type="dxa"/>
          <w:bottom w:w="0" w:type="dxa"/>
          <w:right w:w="0" w:type="dxa"/>
        </w:tblCellMar>
      </w:tblPr>
      <w:tblGrid>
        <w:gridCol w:w="7636"/>
      </w:tblGrid>
      <w:tr>
        <w:trPr/>
        <w:tc>
          <w:tcPr>
            <w:tcW w:w="7636" w:type="dxa"/>
            <w:tcBorders/>
            <w:vAlign w:val="center"/>
          </w:tcPr>
          <w:p>
            <w:pPr>
              <w:pStyle w:val="TableContents"/>
              <w:bidi w:val="0"/>
              <w:spacing w:before="0" w:after="0"/>
              <w:ind w:left="0" w:right="0" w:hanging="0"/>
              <w:jc w:val="left"/>
              <w:rPr/>
            </w:pPr>
            <w:r>
              <w:rPr/>
              <w:t>​</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Statements of Changes in Stockholders’ Equity</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nine months ended September 30, 2023 and 2022 (unaudited) continued</w:t>
            </w:r>
          </w:p>
        </w:tc>
      </w:tr>
      <w:tr>
        <w:trPr/>
        <w:tc>
          <w:tcPr>
            <w:tcW w:w="7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89" w:name="Tc_nvzviVkK2kqTHMjT8S2d3Q_27_22"/>
      <w:bookmarkStart w:id="790" w:name="Tc_J3NYNGlpmk6gYsVZXfzJYQ_27_19"/>
      <w:bookmarkStart w:id="791" w:name="Tc_Lmt_WNhaW0qteIqZf5cNJQ_27_16"/>
      <w:bookmarkStart w:id="792" w:name="Tc__-Mg8yXKLky-DR89Hk0iRQ_27_13"/>
      <w:bookmarkStart w:id="793" w:name="Tc_o_ozlY0pCESHM2DsGvkPEA_27_10"/>
      <w:bookmarkStart w:id="794" w:name="Tc_lHR1HSFTqEWVrIa7i2GKiQ_27_5"/>
      <w:bookmarkStart w:id="795" w:name="Tc_e9-CfBBi1UaNJP-orJ-nRg_27_0"/>
      <w:bookmarkStart w:id="796" w:name="Tc_uo6nD88k0kSPgkXkmszmxQ_26_20"/>
      <w:bookmarkStart w:id="797" w:name="Tc_C-k7XszQekSfjFBBIV7W3w_26_14"/>
      <w:bookmarkStart w:id="798" w:name="Tc_d4z58-mcBUqdYA3JR5BhTA_26_11"/>
      <w:bookmarkStart w:id="799" w:name="Tc_8GHV-Dkx4EaO2q0RPB-ofw_26_8"/>
      <w:bookmarkStart w:id="800" w:name="Tc_pz3COvFIJUCP4A3PcduXIQ_26_6"/>
      <w:bookmarkStart w:id="801" w:name="Tc_kddqGpxiIUizUrzTM2J6WA_26_3"/>
      <w:bookmarkStart w:id="802" w:name="Tc_bI-wVnV7EU-ezycqwqsrCw_26_0"/>
      <w:bookmarkStart w:id="803" w:name="Tc_jBtr7VP3F0qeR3FU5FY9MQ_25_17"/>
      <w:bookmarkStart w:id="804" w:name="Tc_U38xrpdjHE2Kx33Y0F40Bg_25_14"/>
      <w:bookmarkStart w:id="805" w:name="Tc_c-d2YWmM9kmFBQuDD85cpg_25_11"/>
      <w:bookmarkStart w:id="806" w:name="Tc_gFcdbXHRs0eBYclSYxLTiw_25_8"/>
      <w:bookmarkStart w:id="807" w:name="Tc_KH-K94yZBkG05yXlXUmIEw_25_6"/>
      <w:bookmarkStart w:id="808" w:name="Tc_iIlZ9187SUC6pxUoezglOg_25_3"/>
      <w:bookmarkStart w:id="809" w:name="Tc_xbQ9PFPGwkmutEEyqaqlbg_25_0"/>
      <w:bookmarkStart w:id="810" w:name="Tc_ucfsmS3GHku0tB0df6uDcg_24_17"/>
      <w:bookmarkStart w:id="811" w:name="Tc_i02IkEdr4kKnFmyw8GzCMw_24_14"/>
      <w:bookmarkStart w:id="812" w:name="Tc_6PAr8DnFnkWlQpb0YtnLcA_24_11"/>
      <w:bookmarkStart w:id="813" w:name="Tc_OiMsfef2Zk6BqD19WZleaQ_24_8"/>
      <w:bookmarkStart w:id="814" w:name="Tc_FPxdzkeVp0-uRTp76SSuYA_24_6"/>
      <w:bookmarkStart w:id="815" w:name="Tc_W4iuGjayv06yQp6KB6cbhA_24_3"/>
      <w:bookmarkStart w:id="816" w:name="Tc_Pa8oG-iAek-02PcaS3d6uQ_24_0"/>
      <w:bookmarkStart w:id="817" w:name="Tc_OUMiRkKRPEeoaluUL7tlYg_23_20"/>
      <w:bookmarkStart w:id="818" w:name="Tc_tBZ1DiQsTUiRV1nu-SwpAQ_23_17"/>
      <w:bookmarkStart w:id="819" w:name="Tc_9vu1njl9_UeDsXdKY5bKpA_23_11"/>
      <w:bookmarkStart w:id="820" w:name="Tc__kSnVt0t6EakFh-TQUmhCg_23_8"/>
      <w:bookmarkStart w:id="821" w:name="Tc_-ucT6teP90mEsEmqGyTnlg_23_6"/>
      <w:bookmarkStart w:id="822" w:name="Tc_VcxQOa0ajEilymezjOzkoA_23_3"/>
      <w:bookmarkStart w:id="823" w:name="Tc_KktEFEsiQ0Ksze3o1h_smw_23_0"/>
      <w:bookmarkStart w:id="824" w:name="Tc_j5N2UE_Ej0eU4E23WHLICg_22_20"/>
      <w:bookmarkStart w:id="825" w:name="Tc_YSZ84VW-fUKgOJ5pFuSheA_22_17"/>
      <w:bookmarkStart w:id="826" w:name="Tc_CNiyFqtCG0CWD9IHWhDvbg_22_11"/>
      <w:bookmarkStart w:id="827" w:name="Tc_3EOUNN8Re0CINZKQnnjaFg_22_8"/>
      <w:bookmarkStart w:id="828" w:name="Tc_AVjR33VR60Wl3_yfRbTFfw_22_6"/>
      <w:bookmarkStart w:id="829" w:name="Tc_mVm-ZGTlj0WLZbqptLdIfg_22_0"/>
      <w:bookmarkStart w:id="830" w:name="Tc_qc5tA4qMV0WKFEoAsSodnQ_21_20"/>
      <w:bookmarkStart w:id="831" w:name="Tc_0qEKOYolvkOLaDRvbo5-og_21_17"/>
      <w:bookmarkStart w:id="832" w:name="Tc_Wx1yxuLy9kKC4ojL7vUohQ_21_11"/>
      <w:bookmarkStart w:id="833" w:name="Tc_NfXfh-yXLkaSyG8cQ9szHg_21_8"/>
      <w:bookmarkStart w:id="834" w:name="Tc_WHHBfC8f4E6ttC9MeX5YfA_21_6"/>
      <w:bookmarkStart w:id="835" w:name="Tc_N4991bVJBkaJXhnfORzW4A_21_0"/>
      <w:bookmarkStart w:id="836" w:name="Tc_bG7hQRSEEkydhSEzLS_-sQ_20_20"/>
      <w:bookmarkStart w:id="837" w:name="Tc_M5QJEtdm90KLycFx1PXBAg_20_17"/>
      <w:bookmarkStart w:id="838" w:name="Tc_Iniby_zszEaPN8QYoCqDVw_20_11"/>
      <w:bookmarkStart w:id="839" w:name="Tc_EIMdAbOWm02UmBLDK05w1Q_20_8"/>
      <w:bookmarkStart w:id="840" w:name="Tc_LV5jLznE0UGY49mQvVsndQ_20_0"/>
      <w:bookmarkStart w:id="841" w:name="Tc_sF2vU2EpYES35orD6XNkcA_19_0"/>
      <w:bookmarkStart w:id="842" w:name="Tc_88anfNJqJEORqcDpNiuexw_18_20"/>
      <w:bookmarkStart w:id="843" w:name="Tc_jpBGRYDXj0ywOxr3PH_dvw_18_14"/>
      <w:bookmarkStart w:id="844" w:name="Tc_8M1u1c6DdEig0oimnWvs8A_18_11"/>
      <w:bookmarkStart w:id="845" w:name="Tc_7vrUuyA7gU6K_DxGFCILpg_18_8"/>
      <w:bookmarkStart w:id="846" w:name="Tc_tQBpms3wgkqslGs4ghxALQ_18_6"/>
      <w:bookmarkStart w:id="847" w:name="Tc_pkDU6Vc1JkuB23qNkehvfw_18_3"/>
      <w:bookmarkStart w:id="848" w:name="Tc_u7zo1y8WK0W12sbXhBE_9Q_18_0"/>
      <w:bookmarkStart w:id="849" w:name="Tc_Rvpt_bCWX0WAtTS7YiP_ig_17_17"/>
      <w:bookmarkStart w:id="850" w:name="Tc_qXCjyC_XYEeGjU1wfqw2jQ_17_14"/>
      <w:bookmarkStart w:id="851" w:name="Tc_IOuDk1xtyEyDD1sOztvViQ_17_11"/>
      <w:bookmarkStart w:id="852" w:name="Tc_Y49ftEeCRE-BAdX2gtxpjA_17_8"/>
      <w:bookmarkStart w:id="853" w:name="Tc_G54nA11J1EeTRlLcizLE-A_17_6"/>
      <w:bookmarkStart w:id="854" w:name="Tc_Ez-46KLMck6nJeCRqVjFPQ_17_3"/>
      <w:bookmarkStart w:id="855" w:name="Tc_n6FHWIA3EUuOIVPIu0Gtwg_17_0"/>
      <w:bookmarkStart w:id="856" w:name="Tc_BTr8w56zuUuxPeHCOAQtqQ_16_17"/>
      <w:bookmarkStart w:id="857" w:name="Tc__qtI9ISdEkKouziZsPnduw_16_14"/>
      <w:bookmarkStart w:id="858" w:name="Tc_no83AeOttESiYn18JvMzYA_16_11"/>
      <w:bookmarkStart w:id="859" w:name="Tc_t2cPgUS9G0eYpLRCptjBeg_16_8"/>
      <w:bookmarkStart w:id="860" w:name="Tc_9iQxs7ejd06avIpIQoRlTg_16_6"/>
      <w:bookmarkStart w:id="861" w:name="Tc_HXzXaIds1E2nhPbE9dfdSQ_16_3"/>
      <w:bookmarkStart w:id="862" w:name="Tc_YxfXUmO3jEuQlK0l_huJIw_16_0"/>
      <w:bookmarkStart w:id="863" w:name="Tc_9oOrwu8j9UCEyEhKikyxYw_15_23"/>
      <w:bookmarkStart w:id="864" w:name="Tc_je-NAurSy0ORyYhvip3NJQ_15_20"/>
      <w:bookmarkStart w:id="865" w:name="Tc_uuiHI2p1dEmSuOOXkL97Cw_15_17"/>
      <w:bookmarkStart w:id="866" w:name="Tc_t-13U8rFbk6n8zG1dZw2ig_15_14"/>
      <w:bookmarkStart w:id="867" w:name="Tc_TkfzjzmDiE2OVujqA5KZSw_15_0"/>
      <w:bookmarkStart w:id="868" w:name="Tc_9c7X7dF-7UygyfHCKvwhCQ_14_20"/>
      <w:bookmarkStart w:id="869" w:name="Tc_TcmNeDdoS0CNN_xPMAtjHw_14_17"/>
      <w:bookmarkStart w:id="870" w:name="Tc_lT4QpinCIEmq6ywYZZ8gyQ_14_11"/>
      <w:bookmarkStart w:id="871" w:name="Tc_mWUlrVCdy0Kk0udheWHKZQ_14_8"/>
      <w:bookmarkStart w:id="872" w:name="Tc_1mNI60WYHkuUPighPD92SA_14_6"/>
      <w:bookmarkStart w:id="873" w:name="Tc_kYqnl16YEkmC0xilfKzfvQ_14_0"/>
      <w:bookmarkStart w:id="874" w:name="Tc_ozleoWeNNk-bHd3n9ZVIcw_13_20"/>
      <w:bookmarkStart w:id="875" w:name="Tc_NUB2cX6wCU-cpLZuHILnOw_13_17"/>
      <w:bookmarkStart w:id="876" w:name="Tc_Y55sVN3udkKavVt0IVaC7A_13_11"/>
      <w:bookmarkStart w:id="877" w:name="Tc_gez0ZlfPS0yXALVXx6dzaQ_13_8"/>
      <w:bookmarkStart w:id="878" w:name="Tc_8iPhE6WIc06Uo59BgxsQFg_13_6"/>
      <w:bookmarkStart w:id="879" w:name="Tc_nfPY3Ai-l0C4EwXLER0JZw_13_0"/>
      <w:bookmarkStart w:id="880" w:name="Tc_Rms35hxhDkWm5zTrj1Vq9Q_12_23"/>
      <w:bookmarkStart w:id="881" w:name="Tc_W1LeZF1j-kuuvjfKiTaGhQ_12_20"/>
      <w:bookmarkStart w:id="882" w:name="Tc_Qa9re39Ot0eVrv7ZT_7HIA_12_17"/>
      <w:bookmarkStart w:id="883" w:name="Tc_5b6r0P_aWkShYVqJOdLtng_12_14"/>
      <w:bookmarkStart w:id="884" w:name="Tc_O1lWNHzMO0aKWB3GrIV_qQ_12_11"/>
      <w:bookmarkStart w:id="885" w:name="Tc_tZ_y8IZqKUKc6PSbOUkdEQ_12_8"/>
      <w:bookmarkStart w:id="886" w:name="Tc_LhtqeY_K2UyMPhrx9kn_RA_12_6"/>
      <w:bookmarkStart w:id="887" w:name="Tc_KvYFHTHJ9UOXyuRf7qPdWA_12_0"/>
      <w:bookmarkStart w:id="888" w:name="Tc__Iq4qSknwk-HOqrB8zXdjA_11_20"/>
      <w:bookmarkStart w:id="889" w:name="Tc_R_chJHDBmEqYaFGeYKdAlg_11_17"/>
      <w:bookmarkStart w:id="890" w:name="Tc_r1b3-mEnJUaOyNVEmZEkYA_11_11"/>
      <w:bookmarkStart w:id="891" w:name="Tc_hm-NjunWn0KbBD6m9nS-Ew_11_8"/>
      <w:bookmarkStart w:id="892" w:name="Tc_13Fulf891ECOo-V6vnCaFg_11_6"/>
      <w:bookmarkStart w:id="893" w:name="Tc_P2cuQLM12EepgphCtwHRxg_11_0"/>
      <w:bookmarkStart w:id="894" w:name="Tc_dJqFCPTr1EuQRY3bnw6ulw_10_0"/>
      <w:bookmarkStart w:id="895" w:name="Tc_pJL1W73fIUe2QicZbNxUOA_9_20"/>
      <w:bookmarkStart w:id="896" w:name="Tc_rXTsBCLKOUiiT47R31yCqA_9_14"/>
      <w:bookmarkStart w:id="897" w:name="Tc_57mB5sxKnk2Rhl9wZRvEiw_9_11"/>
      <w:bookmarkStart w:id="898" w:name="Tc_fKzQ7jAorkSesS7ddKNItg_9_8"/>
      <w:bookmarkStart w:id="899" w:name="Tc_0oloCZPxnUyJRePs3rLLAg_9_6"/>
      <w:bookmarkStart w:id="900" w:name="Tc_3zu5nKqesEGkZ3gSHYgLIg_9_3"/>
      <w:bookmarkStart w:id="901" w:name="Tc_y29LjMQ1l0eDQaZ-ZS_lzw_9_0"/>
      <w:bookmarkStart w:id="902" w:name="Tc_AsqLmHcN5U6-jJzAb1so5A_8_17"/>
      <w:bookmarkStart w:id="903" w:name="Tc_92_WuYV9qEmDr8T1DQVkMg_8_14"/>
      <w:bookmarkStart w:id="904" w:name="Tc_3_APefK9_katydRPFwZ_6w_8_11"/>
      <w:bookmarkStart w:id="905" w:name="Tc_4hOHuUHAf062oXTxG8BrFw_8_8"/>
      <w:bookmarkStart w:id="906" w:name="Tc_frzzYSuIiEK1ggaVT5tnIQ_8_6"/>
      <w:bookmarkStart w:id="907" w:name="Tc_MJKDIecOike5EkU_MbD9Gg_8_3"/>
      <w:bookmarkStart w:id="908" w:name="Tc_NmF40s8LEEG3-6eUV0EDTQ_8_0"/>
      <w:bookmarkStart w:id="909" w:name="Tc_pZc2-XR6OUux9j0rrPoAHw_7_20"/>
      <w:bookmarkStart w:id="910" w:name="Tc__nVDhPjNGk6PeNLBI3Q34A_7_17"/>
      <w:bookmarkStart w:id="911" w:name="Tc_VMm7oEcb_E6jXf75snGtOA_7_11"/>
      <w:bookmarkStart w:id="912" w:name="Tc_lZkm_BZ4n02XfkROqTb0og_7_8"/>
      <w:bookmarkStart w:id="913" w:name="Tc_TMKXqUYVSE-GLm-YdMgJVw_7_6"/>
      <w:bookmarkStart w:id="914" w:name="Tc_hlhFq6DV3E2xU1ScutDprw_7_3"/>
      <w:bookmarkStart w:id="915" w:name="Tc_YineznWwAkKeZL0dyuWSsA_7_0"/>
      <w:bookmarkStart w:id="916" w:name="Tc_kVwMiWpp00SH1IIy3rcG9A_6_20"/>
      <w:bookmarkStart w:id="917" w:name="Tc_v1yVxH8n4UigrzJrR-PxOw_6_17"/>
      <w:bookmarkStart w:id="918" w:name="Tc_ddeuPWVyG0-nDr7eJtl75A_6_11"/>
      <w:bookmarkStart w:id="919" w:name="Tc_K2QTLn-nfEWwTqOEfGjP4Q_6_8"/>
      <w:bookmarkStart w:id="920" w:name="Tc_9yPjmPiCFkCGvMJ42uOe6w_6_6"/>
      <w:bookmarkStart w:id="921" w:name="Tc_XWvOPNDW7keu9672HclAOQ_6_0"/>
      <w:bookmarkStart w:id="922" w:name="Tc_sM7DCFOHqEewO5QokgpOyg_5_20"/>
      <w:bookmarkStart w:id="923" w:name="Tc_EGGICozNhkyzJrSYPQ6dHg_5_17"/>
      <w:bookmarkStart w:id="924" w:name="Tc_Pgy1kuqC7UiD8R3oq-kN9A_5_11"/>
      <w:bookmarkStart w:id="925" w:name="Tc_TjD7jCnMzUS6lMgA12GieA_5_8"/>
      <w:bookmarkStart w:id="926" w:name="Tc_fL5mzxey5USLDPeZI9Lsng_5_6"/>
      <w:bookmarkStart w:id="927" w:name="Tc_VAiidA6mpEmTvdqsEG5XlQ_5_0"/>
      <w:bookmarkStart w:id="928" w:name="Tc_Kiivs5eN0k2lxlDvKa6gNQ_4_22"/>
      <w:bookmarkStart w:id="929" w:name="Tc_2V5-TRleikerIGrsqG4Y5g_4_19"/>
      <w:bookmarkStart w:id="930" w:name="Tc_vtfNkc6SxUOl6xkEq0Kp0w_4_16"/>
      <w:bookmarkStart w:id="931" w:name="Tc_NgvyU9RWj0KwatDXSI_XZA_4_13"/>
      <w:bookmarkStart w:id="932" w:name="Tc_aFGTGKGRqUGuJsLKryhJ5Q_4_10"/>
      <w:bookmarkStart w:id="933" w:name="Tc_6_m3TI_9uUKKUHHYIeLpfQ_4_5"/>
      <w:bookmarkStart w:id="934" w:name="Tc_Deska8SVw0m0bOLQqr42eg_4_0"/>
      <w:bookmarkStart w:id="935" w:name="Tc_LCKxXmqTAkaM9EFxcOfPXQ_3_22"/>
      <w:bookmarkStart w:id="936" w:name="Tc_VaAbpAhBB0K0X_LyfbWx8A_3_19"/>
      <w:bookmarkStart w:id="937" w:name="Tc__EzzYz7q4UWkPyJ2xmvctQ_3_16"/>
      <w:bookmarkStart w:id="938" w:name="Tc_jkx4Mq0DVUe7bBoo-Ps8FQ_3_13"/>
      <w:bookmarkStart w:id="939" w:name="Tc_aBsGznbLsk6I4NVxEvvR7A_3_10"/>
      <w:bookmarkStart w:id="940" w:name="Tc_eb8pVgi0D0ysU3rNIf831A_3_8"/>
      <w:bookmarkStart w:id="941" w:name="Tc_Voct0rosdEmgdWTrRMqM1g_3_5"/>
      <w:bookmarkStart w:id="942" w:name="Tc_vGmlsWc5rEKqy5TZ9vxi-w_3_3"/>
      <w:bookmarkStart w:id="943" w:name="Tc_1JFqLP4gZkaJRA0Xu80YSw_2_22"/>
      <w:bookmarkStart w:id="944" w:name="Tc_aKAaXBLT1kCaEQhFaxx2Yg_2_19"/>
      <w:bookmarkStart w:id="945" w:name="Tc_fdQvCXngBUqdM25JTWUDVw_2_16"/>
      <w:bookmarkStart w:id="946" w:name="Tc_CztawS3iaUC33EPD5ZeTQQ_2_13"/>
      <w:bookmarkStart w:id="947" w:name="Tc_MsraWDz4S026-saKCaIIcQ_2_10"/>
      <w:bookmarkStart w:id="948" w:name="Tc_JROonRZTHk2xma_I6E0aEw_2_8"/>
      <w:bookmarkStart w:id="949" w:name="Tc_THzeN1zWPEKHuyK1tzJFHw_2_5"/>
      <w:bookmarkStart w:id="950" w:name="Tc_eELiJS76QU6lfA_Xibpk7A_2_3"/>
      <w:bookmarkStart w:id="951" w:name="Tc_PBhsFlSraEWZ2xQPQ00Zog_1_22"/>
      <w:bookmarkStart w:id="952" w:name="Tc_brVoLN05akmhjwOtXPtAEA_1_19"/>
      <w:bookmarkStart w:id="953" w:name="Tc_BjKIiiHf10aTJ44DWpcIXw_1_13"/>
      <w:bookmarkStart w:id="954" w:name="Tc_ogcw0N1rgky91hUoYiFhNQ_1_10"/>
      <w:bookmarkStart w:id="955" w:name="Tc_MBnPANECHE6h2V-tti2YJA_1_8"/>
      <w:bookmarkStart w:id="956" w:name="Tc_gqiROnCyOkmd5ZrDnLGsIg_1_5"/>
      <w:bookmarkStart w:id="957" w:name="Tc_02X0uTDMuE2mIPPsbO9xFg_1_3"/>
      <w:bookmarkStart w:id="958" w:name="_55c69e74_36a7_4854_9b74_47b7c6ce3867"/>
      <w:bookmarkStart w:id="959" w:name="Tc_nvzviVkK2kqTHMjT8S2d3Q_27_22"/>
      <w:bookmarkStart w:id="960" w:name="Tc_J3NYNGlpmk6gYsVZXfzJYQ_27_19"/>
      <w:bookmarkStart w:id="961" w:name="Tc_Lmt_WNhaW0qteIqZf5cNJQ_27_16"/>
      <w:bookmarkStart w:id="962" w:name="Tc__-Mg8yXKLky-DR89Hk0iRQ_27_13"/>
      <w:bookmarkStart w:id="963" w:name="Tc_o_ozlY0pCESHM2DsGvkPEA_27_10"/>
      <w:bookmarkStart w:id="964" w:name="Tc_lHR1HSFTqEWVrIa7i2GKiQ_27_5"/>
      <w:bookmarkStart w:id="965" w:name="Tc_e9-CfBBi1UaNJP-orJ-nRg_27_0"/>
      <w:bookmarkStart w:id="966" w:name="Tc_uo6nD88k0kSPgkXkmszmxQ_26_20"/>
      <w:bookmarkStart w:id="967" w:name="Tc_C-k7XszQekSfjFBBIV7W3w_26_14"/>
      <w:bookmarkStart w:id="968" w:name="Tc_d4z58-mcBUqdYA3JR5BhTA_26_11"/>
      <w:bookmarkStart w:id="969" w:name="Tc_8GHV-Dkx4EaO2q0RPB-ofw_26_8"/>
      <w:bookmarkStart w:id="970" w:name="Tc_pz3COvFIJUCP4A3PcduXIQ_26_6"/>
      <w:bookmarkStart w:id="971" w:name="Tc_kddqGpxiIUizUrzTM2J6WA_26_3"/>
      <w:bookmarkStart w:id="972" w:name="Tc_bI-wVnV7EU-ezycqwqsrCw_26_0"/>
      <w:bookmarkStart w:id="973" w:name="Tc_jBtr7VP3F0qeR3FU5FY9MQ_25_17"/>
      <w:bookmarkStart w:id="974" w:name="Tc_U38xrpdjHE2Kx33Y0F40Bg_25_14"/>
      <w:bookmarkStart w:id="975" w:name="Tc_c-d2YWmM9kmFBQuDD85cpg_25_11"/>
      <w:bookmarkStart w:id="976" w:name="Tc_gFcdbXHRs0eBYclSYxLTiw_25_8"/>
      <w:bookmarkStart w:id="977" w:name="Tc_KH-K94yZBkG05yXlXUmIEw_25_6"/>
      <w:bookmarkStart w:id="978" w:name="Tc_iIlZ9187SUC6pxUoezglOg_25_3"/>
      <w:bookmarkStart w:id="979" w:name="Tc_xbQ9PFPGwkmutEEyqaqlbg_25_0"/>
      <w:bookmarkStart w:id="980" w:name="Tc_ucfsmS3GHku0tB0df6uDcg_24_17"/>
      <w:bookmarkStart w:id="981" w:name="Tc_i02IkEdr4kKnFmyw8GzCMw_24_14"/>
      <w:bookmarkStart w:id="982" w:name="Tc_6PAr8DnFnkWlQpb0YtnLcA_24_11"/>
      <w:bookmarkStart w:id="983" w:name="Tc_OiMsfef2Zk6BqD19WZleaQ_24_8"/>
      <w:bookmarkStart w:id="984" w:name="Tc_FPxdzkeVp0-uRTp76SSuYA_24_6"/>
      <w:bookmarkStart w:id="985" w:name="Tc_W4iuGjayv06yQp6KB6cbhA_24_3"/>
      <w:bookmarkStart w:id="986" w:name="Tc_Pa8oG-iAek-02PcaS3d6uQ_24_0"/>
      <w:bookmarkStart w:id="987" w:name="Tc_OUMiRkKRPEeoaluUL7tlYg_23_20"/>
      <w:bookmarkStart w:id="988" w:name="Tc_tBZ1DiQsTUiRV1nu-SwpAQ_23_17"/>
      <w:bookmarkStart w:id="989" w:name="Tc_9vu1njl9_UeDsXdKY5bKpA_23_11"/>
      <w:bookmarkStart w:id="990" w:name="Tc__kSnVt0t6EakFh-TQUmhCg_23_8"/>
      <w:bookmarkStart w:id="991" w:name="Tc_-ucT6teP90mEsEmqGyTnlg_23_6"/>
      <w:bookmarkStart w:id="992" w:name="Tc_VcxQOa0ajEilymezjOzkoA_23_3"/>
      <w:bookmarkStart w:id="993" w:name="Tc_KktEFEsiQ0Ksze3o1h_smw_23_0"/>
      <w:bookmarkStart w:id="994" w:name="Tc_j5N2UE_Ej0eU4E23WHLICg_22_20"/>
      <w:bookmarkStart w:id="995" w:name="Tc_YSZ84VW-fUKgOJ5pFuSheA_22_17"/>
      <w:bookmarkStart w:id="996" w:name="Tc_CNiyFqtCG0CWD9IHWhDvbg_22_11"/>
      <w:bookmarkStart w:id="997" w:name="Tc_3EOUNN8Re0CINZKQnnjaFg_22_8"/>
      <w:bookmarkStart w:id="998" w:name="Tc_AVjR33VR60Wl3_yfRbTFfw_22_6"/>
      <w:bookmarkStart w:id="999" w:name="Tc_mVm-ZGTlj0WLZbqptLdIfg_22_0"/>
      <w:bookmarkStart w:id="1000" w:name="Tc_qc5tA4qMV0WKFEoAsSodnQ_21_20"/>
      <w:bookmarkStart w:id="1001" w:name="Tc_0qEKOYolvkOLaDRvbo5-og_21_17"/>
      <w:bookmarkStart w:id="1002" w:name="Tc_Wx1yxuLy9kKC4ojL7vUohQ_21_11"/>
      <w:bookmarkStart w:id="1003" w:name="Tc_NfXfh-yXLkaSyG8cQ9szHg_21_8"/>
      <w:bookmarkStart w:id="1004" w:name="Tc_WHHBfC8f4E6ttC9MeX5YfA_21_6"/>
      <w:bookmarkStart w:id="1005" w:name="Tc_N4991bVJBkaJXhnfORzW4A_21_0"/>
      <w:bookmarkStart w:id="1006" w:name="Tc_bG7hQRSEEkydhSEzLS_-sQ_20_20"/>
      <w:bookmarkStart w:id="1007" w:name="Tc_M5QJEtdm90KLycFx1PXBAg_20_17"/>
      <w:bookmarkStart w:id="1008" w:name="Tc_Iniby_zszEaPN8QYoCqDVw_20_11"/>
      <w:bookmarkStart w:id="1009" w:name="Tc_EIMdAbOWm02UmBLDK05w1Q_20_8"/>
      <w:bookmarkStart w:id="1010" w:name="Tc_LV5jLznE0UGY49mQvVsndQ_20_0"/>
      <w:bookmarkStart w:id="1011" w:name="Tc_sF2vU2EpYES35orD6XNkcA_19_0"/>
      <w:bookmarkStart w:id="1012" w:name="Tc_88anfNJqJEORqcDpNiuexw_18_20"/>
      <w:bookmarkStart w:id="1013" w:name="Tc_jpBGRYDXj0ywOxr3PH_dvw_18_14"/>
      <w:bookmarkStart w:id="1014" w:name="Tc_8M1u1c6DdEig0oimnWvs8A_18_11"/>
      <w:bookmarkStart w:id="1015" w:name="Tc_7vrUuyA7gU6K_DxGFCILpg_18_8"/>
      <w:bookmarkStart w:id="1016" w:name="Tc_tQBpms3wgkqslGs4ghxALQ_18_6"/>
      <w:bookmarkStart w:id="1017" w:name="Tc_pkDU6Vc1JkuB23qNkehvfw_18_3"/>
      <w:bookmarkStart w:id="1018" w:name="Tc_u7zo1y8WK0W12sbXhBE_9Q_18_0"/>
      <w:bookmarkStart w:id="1019" w:name="Tc_Rvpt_bCWX0WAtTS7YiP_ig_17_17"/>
      <w:bookmarkStart w:id="1020" w:name="Tc_qXCjyC_XYEeGjU1wfqw2jQ_17_14"/>
      <w:bookmarkStart w:id="1021" w:name="Tc_IOuDk1xtyEyDD1sOztvViQ_17_11"/>
      <w:bookmarkStart w:id="1022" w:name="Tc_Y49ftEeCRE-BAdX2gtxpjA_17_8"/>
      <w:bookmarkStart w:id="1023" w:name="Tc_G54nA11J1EeTRlLcizLE-A_17_6"/>
      <w:bookmarkStart w:id="1024" w:name="Tc_Ez-46KLMck6nJeCRqVjFPQ_17_3"/>
      <w:bookmarkStart w:id="1025" w:name="Tc_n6FHWIA3EUuOIVPIu0Gtwg_17_0"/>
      <w:bookmarkStart w:id="1026" w:name="Tc_BTr8w56zuUuxPeHCOAQtqQ_16_17"/>
      <w:bookmarkStart w:id="1027" w:name="Tc__qtI9ISdEkKouziZsPnduw_16_14"/>
      <w:bookmarkStart w:id="1028" w:name="Tc_no83AeOttESiYn18JvMzYA_16_11"/>
      <w:bookmarkStart w:id="1029" w:name="Tc_t2cPgUS9G0eYpLRCptjBeg_16_8"/>
      <w:bookmarkStart w:id="1030" w:name="Tc_9iQxs7ejd06avIpIQoRlTg_16_6"/>
      <w:bookmarkStart w:id="1031" w:name="Tc_HXzXaIds1E2nhPbE9dfdSQ_16_3"/>
      <w:bookmarkStart w:id="1032" w:name="Tc_YxfXUmO3jEuQlK0l_huJIw_16_0"/>
      <w:bookmarkStart w:id="1033" w:name="Tc_9oOrwu8j9UCEyEhKikyxYw_15_23"/>
      <w:bookmarkStart w:id="1034" w:name="Tc_je-NAurSy0ORyYhvip3NJQ_15_20"/>
      <w:bookmarkStart w:id="1035" w:name="Tc_uuiHI2p1dEmSuOOXkL97Cw_15_17"/>
      <w:bookmarkStart w:id="1036" w:name="Tc_t-13U8rFbk6n8zG1dZw2ig_15_14"/>
      <w:bookmarkStart w:id="1037" w:name="Tc_TkfzjzmDiE2OVujqA5KZSw_15_0"/>
      <w:bookmarkStart w:id="1038" w:name="Tc_9c7X7dF-7UygyfHCKvwhCQ_14_20"/>
      <w:bookmarkStart w:id="1039" w:name="Tc_TcmNeDdoS0CNN_xPMAtjHw_14_17"/>
      <w:bookmarkStart w:id="1040" w:name="Tc_lT4QpinCIEmq6ywYZZ8gyQ_14_11"/>
      <w:bookmarkStart w:id="1041" w:name="Tc_mWUlrVCdy0Kk0udheWHKZQ_14_8"/>
      <w:bookmarkStart w:id="1042" w:name="Tc_1mNI60WYHkuUPighPD92SA_14_6"/>
      <w:bookmarkStart w:id="1043" w:name="Tc_kYqnl16YEkmC0xilfKzfvQ_14_0"/>
      <w:bookmarkStart w:id="1044" w:name="Tc_ozleoWeNNk-bHd3n9ZVIcw_13_20"/>
      <w:bookmarkStart w:id="1045" w:name="Tc_NUB2cX6wCU-cpLZuHILnOw_13_17"/>
      <w:bookmarkStart w:id="1046" w:name="Tc_Y55sVN3udkKavVt0IVaC7A_13_11"/>
      <w:bookmarkStart w:id="1047" w:name="Tc_gez0ZlfPS0yXALVXx6dzaQ_13_8"/>
      <w:bookmarkStart w:id="1048" w:name="Tc_8iPhE6WIc06Uo59BgxsQFg_13_6"/>
      <w:bookmarkStart w:id="1049" w:name="Tc_nfPY3Ai-l0C4EwXLER0JZw_13_0"/>
      <w:bookmarkStart w:id="1050" w:name="Tc_Rms35hxhDkWm5zTrj1Vq9Q_12_23"/>
      <w:bookmarkStart w:id="1051" w:name="Tc_W1LeZF1j-kuuvjfKiTaGhQ_12_20"/>
      <w:bookmarkStart w:id="1052" w:name="Tc_Qa9re39Ot0eVrv7ZT_7HIA_12_17"/>
      <w:bookmarkStart w:id="1053" w:name="Tc_5b6r0P_aWkShYVqJOdLtng_12_14"/>
      <w:bookmarkStart w:id="1054" w:name="Tc_O1lWNHzMO0aKWB3GrIV_qQ_12_11"/>
      <w:bookmarkStart w:id="1055" w:name="Tc_tZ_y8IZqKUKc6PSbOUkdEQ_12_8"/>
      <w:bookmarkStart w:id="1056" w:name="Tc_LhtqeY_K2UyMPhrx9kn_RA_12_6"/>
      <w:bookmarkStart w:id="1057" w:name="Tc_KvYFHTHJ9UOXyuRf7qPdWA_12_0"/>
      <w:bookmarkStart w:id="1058" w:name="Tc__Iq4qSknwk-HOqrB8zXdjA_11_20"/>
      <w:bookmarkStart w:id="1059" w:name="Tc_R_chJHDBmEqYaFGeYKdAlg_11_17"/>
      <w:bookmarkStart w:id="1060" w:name="Tc_r1b3-mEnJUaOyNVEmZEkYA_11_11"/>
      <w:bookmarkStart w:id="1061" w:name="Tc_hm-NjunWn0KbBD6m9nS-Ew_11_8"/>
      <w:bookmarkStart w:id="1062" w:name="Tc_13Fulf891ECOo-V6vnCaFg_11_6"/>
      <w:bookmarkStart w:id="1063" w:name="Tc_P2cuQLM12EepgphCtwHRxg_11_0"/>
      <w:bookmarkStart w:id="1064" w:name="Tc_dJqFCPTr1EuQRY3bnw6ulw_10_0"/>
      <w:bookmarkStart w:id="1065" w:name="Tc_pJL1W73fIUe2QicZbNxUOA_9_20"/>
      <w:bookmarkStart w:id="1066" w:name="Tc_rXTsBCLKOUiiT47R31yCqA_9_14"/>
      <w:bookmarkStart w:id="1067" w:name="Tc_57mB5sxKnk2Rhl9wZRvEiw_9_11"/>
      <w:bookmarkStart w:id="1068" w:name="Tc_fKzQ7jAorkSesS7ddKNItg_9_8"/>
      <w:bookmarkStart w:id="1069" w:name="Tc_0oloCZPxnUyJRePs3rLLAg_9_6"/>
      <w:bookmarkStart w:id="1070" w:name="Tc_3zu5nKqesEGkZ3gSHYgLIg_9_3"/>
      <w:bookmarkStart w:id="1071" w:name="Tc_y29LjMQ1l0eDQaZ-ZS_lzw_9_0"/>
      <w:bookmarkStart w:id="1072" w:name="Tc_AsqLmHcN5U6-jJzAb1so5A_8_17"/>
      <w:bookmarkStart w:id="1073" w:name="Tc_92_WuYV9qEmDr8T1DQVkMg_8_14"/>
      <w:bookmarkStart w:id="1074" w:name="Tc_3_APefK9_katydRPFwZ_6w_8_11"/>
      <w:bookmarkStart w:id="1075" w:name="Tc_4hOHuUHAf062oXTxG8BrFw_8_8"/>
      <w:bookmarkStart w:id="1076" w:name="Tc_frzzYSuIiEK1ggaVT5tnIQ_8_6"/>
      <w:bookmarkStart w:id="1077" w:name="Tc_MJKDIecOike5EkU_MbD9Gg_8_3"/>
      <w:bookmarkStart w:id="1078" w:name="Tc_NmF40s8LEEG3-6eUV0EDTQ_8_0"/>
      <w:bookmarkStart w:id="1079" w:name="Tc_pZc2-XR6OUux9j0rrPoAHw_7_20"/>
      <w:bookmarkStart w:id="1080" w:name="Tc__nVDhPjNGk6PeNLBI3Q34A_7_17"/>
      <w:bookmarkStart w:id="1081" w:name="Tc_VMm7oEcb_E6jXf75snGtOA_7_11"/>
      <w:bookmarkStart w:id="1082" w:name="Tc_lZkm_BZ4n02XfkROqTb0og_7_8"/>
      <w:bookmarkStart w:id="1083" w:name="Tc_TMKXqUYVSE-GLm-YdMgJVw_7_6"/>
      <w:bookmarkStart w:id="1084" w:name="Tc_hlhFq6DV3E2xU1ScutDprw_7_3"/>
      <w:bookmarkStart w:id="1085" w:name="Tc_YineznWwAkKeZL0dyuWSsA_7_0"/>
      <w:bookmarkStart w:id="1086" w:name="Tc_kVwMiWpp00SH1IIy3rcG9A_6_20"/>
      <w:bookmarkStart w:id="1087" w:name="Tc_v1yVxH8n4UigrzJrR-PxOw_6_17"/>
      <w:bookmarkStart w:id="1088" w:name="Tc_ddeuPWVyG0-nDr7eJtl75A_6_11"/>
      <w:bookmarkStart w:id="1089" w:name="Tc_K2QTLn-nfEWwTqOEfGjP4Q_6_8"/>
      <w:bookmarkStart w:id="1090" w:name="Tc_9yPjmPiCFkCGvMJ42uOe6w_6_6"/>
      <w:bookmarkStart w:id="1091" w:name="Tc_XWvOPNDW7keu9672HclAOQ_6_0"/>
      <w:bookmarkStart w:id="1092" w:name="Tc_sM7DCFOHqEewO5QokgpOyg_5_20"/>
      <w:bookmarkStart w:id="1093" w:name="Tc_EGGICozNhkyzJrSYPQ6dHg_5_17"/>
      <w:bookmarkStart w:id="1094" w:name="Tc_Pgy1kuqC7UiD8R3oq-kN9A_5_11"/>
      <w:bookmarkStart w:id="1095" w:name="Tc_TjD7jCnMzUS6lMgA12GieA_5_8"/>
      <w:bookmarkStart w:id="1096" w:name="Tc_fL5mzxey5USLDPeZI9Lsng_5_6"/>
      <w:bookmarkStart w:id="1097" w:name="Tc_VAiidA6mpEmTvdqsEG5XlQ_5_0"/>
      <w:bookmarkStart w:id="1098" w:name="Tc_Kiivs5eN0k2lxlDvKa6gNQ_4_22"/>
      <w:bookmarkStart w:id="1099" w:name="Tc_2V5-TRleikerIGrsqG4Y5g_4_19"/>
      <w:bookmarkStart w:id="1100" w:name="Tc_vtfNkc6SxUOl6xkEq0Kp0w_4_16"/>
      <w:bookmarkStart w:id="1101" w:name="Tc_NgvyU9RWj0KwatDXSI_XZA_4_13"/>
      <w:bookmarkStart w:id="1102" w:name="Tc_aFGTGKGRqUGuJsLKryhJ5Q_4_10"/>
      <w:bookmarkStart w:id="1103" w:name="Tc_6_m3TI_9uUKKUHHYIeLpfQ_4_5"/>
      <w:bookmarkStart w:id="1104" w:name="Tc_Deska8SVw0m0bOLQqr42eg_4_0"/>
      <w:bookmarkStart w:id="1105" w:name="Tc_LCKxXmqTAkaM9EFxcOfPXQ_3_22"/>
      <w:bookmarkStart w:id="1106" w:name="Tc_VaAbpAhBB0K0X_LyfbWx8A_3_19"/>
      <w:bookmarkStart w:id="1107" w:name="Tc__EzzYz7q4UWkPyJ2xmvctQ_3_16"/>
      <w:bookmarkStart w:id="1108" w:name="Tc_jkx4Mq0DVUe7bBoo-Ps8FQ_3_13"/>
      <w:bookmarkStart w:id="1109" w:name="Tc_aBsGznbLsk6I4NVxEvvR7A_3_10"/>
      <w:bookmarkStart w:id="1110" w:name="Tc_eb8pVgi0D0ysU3rNIf831A_3_8"/>
      <w:bookmarkStart w:id="1111" w:name="Tc_Voct0rosdEmgdWTrRMqM1g_3_5"/>
      <w:bookmarkStart w:id="1112" w:name="Tc_vGmlsWc5rEKqy5TZ9vxi-w_3_3"/>
      <w:bookmarkStart w:id="1113" w:name="Tc_1JFqLP4gZkaJRA0Xu80YSw_2_22"/>
      <w:bookmarkStart w:id="1114" w:name="Tc_aKAaXBLT1kCaEQhFaxx2Yg_2_19"/>
      <w:bookmarkStart w:id="1115" w:name="Tc_fdQvCXngBUqdM25JTWUDVw_2_16"/>
      <w:bookmarkStart w:id="1116" w:name="Tc_CztawS3iaUC33EPD5ZeTQQ_2_13"/>
      <w:bookmarkStart w:id="1117" w:name="Tc_MsraWDz4S026-saKCaIIcQ_2_10"/>
      <w:bookmarkStart w:id="1118" w:name="Tc_JROonRZTHk2xma_I6E0aEw_2_8"/>
      <w:bookmarkStart w:id="1119" w:name="Tc_THzeN1zWPEKHuyK1tzJFHw_2_5"/>
      <w:bookmarkStart w:id="1120" w:name="Tc_eELiJS76QU6lfA_Xibpk7A_2_3"/>
      <w:bookmarkStart w:id="1121" w:name="Tc_PBhsFlSraEWZ2xQPQ00Zog_1_22"/>
      <w:bookmarkStart w:id="1122" w:name="Tc_brVoLN05akmhjwOtXPtAEA_1_19"/>
      <w:bookmarkStart w:id="1123" w:name="Tc_BjKIiiHf10aTJ44DWpcIXw_1_13"/>
      <w:bookmarkStart w:id="1124" w:name="Tc_ogcw0N1rgky91hUoYiFhNQ_1_10"/>
      <w:bookmarkStart w:id="1125" w:name="Tc_MBnPANECHE6h2V-tti2YJA_1_8"/>
      <w:bookmarkStart w:id="1126" w:name="Tc_gqiROnCyOkmd5ZrDnLGsIg_1_5"/>
      <w:bookmarkStart w:id="1127" w:name="Tc_02X0uTDMuE2mIPPsbO9xFg_1_3"/>
      <w:bookmarkStart w:id="1128" w:name="_55c69e74_36a7_4854_9b74_47b7c6ce3867"/>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p>
    <w:tbl>
      <w:tblPr>
        <w:tblW w:w="10205" w:type="dxa"/>
        <w:jc w:val="left"/>
        <w:tblInd w:w="0" w:type="dxa"/>
        <w:tblLayout w:type="fixed"/>
        <w:tblCellMar>
          <w:top w:w="0" w:type="dxa"/>
          <w:left w:w="0" w:type="dxa"/>
          <w:bottom w:w="0" w:type="dxa"/>
          <w:right w:w="0" w:type="dxa"/>
        </w:tblCellMar>
      </w:tblPr>
      <w:tblGrid>
        <w:gridCol w:w="2012"/>
        <w:gridCol w:w="206"/>
        <w:gridCol w:w="206"/>
        <w:gridCol w:w="856"/>
        <w:gridCol w:w="206"/>
        <w:gridCol w:w="215"/>
        <w:gridCol w:w="416"/>
        <w:gridCol w:w="206"/>
        <w:gridCol w:w="856"/>
        <w:gridCol w:w="206"/>
        <w:gridCol w:w="215"/>
        <w:gridCol w:w="416"/>
        <w:gridCol w:w="109"/>
        <w:gridCol w:w="181"/>
        <w:gridCol w:w="586"/>
        <w:gridCol w:w="206"/>
        <w:gridCol w:w="181"/>
        <w:gridCol w:w="516"/>
        <w:gridCol w:w="206"/>
        <w:gridCol w:w="258"/>
        <w:gridCol w:w="793"/>
        <w:gridCol w:w="206"/>
        <w:gridCol w:w="198"/>
        <w:gridCol w:w="749"/>
      </w:tblGrid>
      <w:tr>
        <w:trPr/>
        <w:tc>
          <w:tcPr>
            <w:tcW w:w="2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77620" cy="175260"/>
                      <wp:effectExtent l="0" t="0" r="0" b="0"/>
                      <wp:wrapNone/>
                      <wp:docPr id="44" name="Frame44"/>
                      <a:graphic xmlns:a="http://schemas.openxmlformats.org/drawingml/2006/main">
                        <a:graphicData uri="http://schemas.microsoft.com/office/word/2010/wordprocessingShape">
                          <wps:wsp>
                            <wps:cNvSpPr txBox="1"/>
                            <wps:spPr>
                              <a:xfrm>
                                <a:off x="0" y="0"/>
                                <a:ext cx="1277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0810" cy="175260"/>
                      <wp:effectExtent l="0" t="0" r="0" b="0"/>
                      <wp:wrapNone/>
                      <wp:docPr id="45" name="Frame4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0810" cy="175260"/>
                      <wp:effectExtent l="0" t="0" r="0" b="0"/>
                      <wp:wrapNone/>
                      <wp:docPr id="46" name="Frame4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43560" cy="175260"/>
                      <wp:effectExtent l="0" t="0" r="0" b="0"/>
                      <wp:wrapNone/>
                      <wp:docPr id="47" name="Frame4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0810" cy="175260"/>
                      <wp:effectExtent l="0" t="0" r="0" b="0"/>
                      <wp:wrapNone/>
                      <wp:docPr id="48" name="Frame4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6525" cy="175260"/>
                      <wp:effectExtent l="0" t="0" r="0" b="0"/>
                      <wp:wrapNone/>
                      <wp:docPr id="49" name="Frame4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64160" cy="175260"/>
                      <wp:effectExtent l="0" t="0" r="0" b="0"/>
                      <wp:wrapNone/>
                      <wp:docPr id="50" name="Frame50"/>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0810" cy="175260"/>
                      <wp:effectExtent l="0" t="0" r="0" b="0"/>
                      <wp:wrapNone/>
                      <wp:docPr id="51" name="Frame5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43560" cy="175260"/>
                      <wp:effectExtent l="0" t="0" r="0" b="0"/>
                      <wp:wrapNone/>
                      <wp:docPr id="52" name="Frame5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0810" cy="175260"/>
                      <wp:effectExtent l="0" t="0" r="0" b="0"/>
                      <wp:wrapNone/>
                      <wp:docPr id="53" name="Frame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6525" cy="175260"/>
                      <wp:effectExtent l="0" t="0" r="0" b="0"/>
                      <wp:wrapNone/>
                      <wp:docPr id="54" name="Frame5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64160" cy="175260"/>
                      <wp:effectExtent l="0" t="0" r="0" b="0"/>
                      <wp:wrapNone/>
                      <wp:docPr id="55" name="Frame55"/>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14935" cy="175260"/>
                      <wp:effectExtent l="0" t="0" r="0" b="0"/>
                      <wp:wrapNone/>
                      <wp:docPr id="57" name="Frame5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72110" cy="175260"/>
                      <wp:effectExtent l="0" t="0" r="0" b="0"/>
                      <wp:wrapNone/>
                      <wp:docPr id="58" name="Frame5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0810" cy="175260"/>
                      <wp:effectExtent l="0" t="0" r="0" b="0"/>
                      <wp:wrapNone/>
                      <wp:docPr id="59" name="Frame5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4935" cy="175260"/>
                      <wp:effectExtent l="0" t="0" r="0" b="0"/>
                      <wp:wrapNone/>
                      <wp:docPr id="60" name="Frame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27660" cy="175260"/>
                      <wp:effectExtent l="0" t="0" r="0" b="0"/>
                      <wp:wrapNone/>
                      <wp:docPr id="61" name="Frame61"/>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0810" cy="175260"/>
                      <wp:effectExtent l="0" t="0" r="0" b="0"/>
                      <wp:wrapNone/>
                      <wp:docPr id="62" name="Frame6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3830" cy="175260"/>
                      <wp:effectExtent l="0" t="0" r="0" b="0"/>
                      <wp:wrapNone/>
                      <wp:docPr id="63" name="Frame6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03555" cy="175260"/>
                      <wp:effectExtent l="0" t="0" r="0" b="0"/>
                      <wp:wrapNone/>
                      <wp:docPr id="64" name="Frame6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0810" cy="175260"/>
                      <wp:effectExtent l="0" t="0" r="0" b="0"/>
                      <wp:wrapNone/>
                      <wp:docPr id="65" name="Frame6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5730" cy="175260"/>
                      <wp:effectExtent l="0" t="0" r="0" b="0"/>
                      <wp:wrapNone/>
                      <wp:docPr id="66" name="Frame66"/>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75615" cy="175260"/>
                      <wp:effectExtent l="0" t="0" r="0" b="0"/>
                      <wp:wrapNone/>
                      <wp:docPr id="67" name="Frame67"/>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206" w:type="dxa"/>
            <w:tcBorders/>
            <w:vAlign w:val="center"/>
          </w:tcPr>
          <w:p>
            <w:pPr>
              <w:pStyle w:val="TableContents"/>
              <w:bidi w:val="0"/>
              <w:spacing w:before="0" w:after="0"/>
              <w:ind w:left="0" w:right="0" w:hanging="0"/>
              <w:jc w:val="center"/>
              <w:rPr/>
            </w:pPr>
            <w:r>
              <w:rPr/>
              <w:t>  </w:t>
            </w:r>
          </w:p>
        </w:tc>
        <w:tc>
          <w:tcPr>
            <w:tcW w:w="697"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 </w:t>
            </w:r>
          </w:p>
        </w:tc>
        <w:tc>
          <w:tcPr>
            <w:tcW w:w="20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01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206" w:type="dxa"/>
            <w:tcBorders/>
            <w:vAlign w:val="center"/>
          </w:tcPr>
          <w:p>
            <w:pPr>
              <w:pStyle w:val="TableContents"/>
              <w:bidi w:val="0"/>
              <w:spacing w:before="0" w:after="0"/>
              <w:ind w:left="0" w:right="0" w:hanging="0"/>
              <w:jc w:val="center"/>
              <w:rPr/>
            </w:pPr>
            <w:r>
              <w:rPr/>
              <w:t>​</w:t>
            </w:r>
          </w:p>
        </w:tc>
        <w:tc>
          <w:tcPr>
            <w:tcW w:w="6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 </w:t>
            </w:r>
          </w:p>
        </w:tc>
        <w:tc>
          <w:tcPr>
            <w:tcW w:w="20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01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Stock</w:t>
            </w:r>
          </w:p>
        </w:tc>
        <w:tc>
          <w:tcPr>
            <w:tcW w:w="20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206" w:type="dxa"/>
            <w:tcBorders/>
            <w:vAlign w:val="center"/>
          </w:tcPr>
          <w:p>
            <w:pPr>
              <w:pStyle w:val="TableContents"/>
              <w:bidi w:val="0"/>
              <w:spacing w:before="0" w:after="0"/>
              <w:ind w:left="0" w:right="0" w:hanging="0"/>
              <w:jc w:val="center"/>
              <w:rPr/>
            </w:pPr>
            <w:r>
              <w:rPr/>
              <w:t>  </w:t>
            </w:r>
          </w:p>
        </w:tc>
        <w:tc>
          <w:tcPr>
            <w:tcW w:w="6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20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20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January 1, 2022</w:t>
            </w:r>
          </w:p>
        </w:tc>
        <w:tc>
          <w:tcPr>
            <w:tcW w:w="206"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42,286</w:t>
            </w:r>
          </w:p>
        </w:tc>
        <w:tc>
          <w:tcPr>
            <w:tcW w:w="206"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20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106,807</w:t>
            </w:r>
          </w:p>
        </w:tc>
        <w:tc>
          <w:tcPr>
            <w:tcW w:w="206"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222,621</w:t>
            </w:r>
          </w:p>
        </w:tc>
        <w:tc>
          <w:tcPr>
            <w:tcW w:w="20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24,811</w:t>
            </w:r>
          </w:p>
        </w:tc>
        <w:tc>
          <w:tcPr>
            <w:tcW w:w="206"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(17,497)</w:t>
            </w:r>
          </w:p>
        </w:tc>
        <w:tc>
          <w:tcPr>
            <w:tcW w:w="206" w:type="dxa"/>
            <w:tcBorders/>
            <w:shd w:fill="CCEEFF" w:val="clear"/>
            <w:vAlign w:val="center"/>
          </w:tcPr>
          <w:p>
            <w:pPr>
              <w:pStyle w:val="TableContents"/>
              <w:bidi w:val="0"/>
              <w:spacing w:before="0" w:after="0"/>
              <w:ind w:left="0" w:right="0" w:hanging="0"/>
              <w:jc w:val="center"/>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230,084</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4,867</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4,867</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(2,049)</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(2,049)</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c>
          <w:tcPr>
            <w:tcW w:w="20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March 31, 2022</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42,561</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20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106,807</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227,751</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24,477</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(19,546)</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232,831</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Awards, net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4,166</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4,166</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in connection with ESPP</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967</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967</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Class B shares exchanged for Class A shares</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5,500</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(5,500)</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(11,777)</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(11,777)</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from available for sale investments, net of tax</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0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(5,520)</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(5,520)</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June 30, 2022</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48,316</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20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101,307</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232,850</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18,957</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(31,321)</w:t>
            </w:r>
          </w:p>
        </w:tc>
        <w:tc>
          <w:tcPr>
            <w:tcW w:w="20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220,635</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387</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Awards, net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5,196</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5,196</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(10,670)</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(10,670)</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loss from available for sale investments, net of tax</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20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r>
      <w:tr>
        <w:trPr/>
        <w:tc>
          <w:tcPr>
            <w:tcW w:w="20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(1,141)</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(1,141)</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September 30, 2022</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48,673</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206" w:type="dxa"/>
            <w:tcBorders/>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101,307</w:t>
            </w:r>
          </w:p>
        </w:tc>
        <w:tc>
          <w:tcPr>
            <w:tcW w:w="206" w:type="dxa"/>
            <w:tcBorders/>
            <w:vAlign w:val="center"/>
          </w:tcPr>
          <w:p>
            <w:pPr>
              <w:pStyle w:val="TableContents"/>
              <w:bidi w:val="0"/>
              <w:spacing w:before="0" w:after="0"/>
              <w:ind w:left="0" w:right="0" w:hanging="0"/>
              <w:jc w:val="righ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238,093</w:t>
            </w:r>
          </w:p>
        </w:tc>
        <w:tc>
          <w:tcPr>
            <w:tcW w:w="20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17,816</w:t>
            </w:r>
          </w:p>
        </w:tc>
        <w:tc>
          <w:tcPr>
            <w:tcW w:w="20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(42,019)</w:t>
            </w:r>
          </w:p>
        </w:tc>
        <w:tc>
          <w:tcPr>
            <w:tcW w:w="20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9"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4"/>
              </w:rPr>
            </w:pPr>
            <w:r>
              <w:rPr>
                <w:rFonts w:ascii="Times New Roman;Times;serif" w:hAnsi="Times New Roman;Times;serif"/>
                <w:sz w:val="14"/>
              </w:rPr>
              <w:t>214,040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69">
                <wp:simplePos x="0" y="0"/>
                <wp:positionH relativeFrom="column">
                  <wp:align>right</wp:align>
                </wp:positionH>
                <wp:positionV relativeFrom="line">
                  <wp:posOffset>635</wp:posOffset>
                </wp:positionV>
                <wp:extent cx="6480175" cy="923925"/>
                <wp:effectExtent l="0" t="0" r="0" b="0"/>
                <wp:wrapSquare wrapText="left"/>
                <wp:docPr id="68" name="Frame68"/>
                <a:graphic xmlns:a="http://schemas.openxmlformats.org/drawingml/2006/main">
                  <a:graphicData uri="http://schemas.microsoft.com/office/word/2010/wordprocessingShape">
                    <wps:wsp>
                      <wps:cNvSpPr txBox="1"/>
                      <wps:spPr>
                        <a:xfrm>
                          <a:off x="0" y="0"/>
                          <a:ext cx="6480175" cy="923925"/>
                        </a:xfrm>
                        <a:prstGeom prst="rect"/>
                        <a:solidFill>
                          <a:srgbClr val="FFFFFF"/>
                        </a:solidFill>
                      </wps:spPr>
                      <wps:txbx>
                        <w:txbxContent>
                          <w:p>
                            <w:pPr>
                              <w:pStyle w:val="Normal"/>
                              <w:bidi w:val="0"/>
                              <w:spacing w:before="0" w:after="0"/>
                              <w:jc w:val="left"/>
                              <w:rPr>
                                <w:sz w:val="4"/>
                                <w:szCs w:val="4"/>
                              </w:rPr>
                            </w:pPr>
                            <w:r>
                              <w:rPr>
                                <w:sz w:val="4"/>
                                <w:szCs w:val="4"/>
                              </w:rPr>
                            </w:r>
                            <w:bookmarkStart w:id="1129" w:name="CondensedConsolidatedStatementsofCashFlo"/>
                            <w:bookmarkStart w:id="1130" w:name="CondensedConsolidatedStatementsofCashFlo"/>
                            <w:bookmarkEnd w:id="1130"/>
                          </w:p>
                          <w:tbl>
                            <w:tblPr>
                              <w:tblW w:w="4531" w:type="dxa"/>
                              <w:jc w:val="left"/>
                              <w:tblInd w:w="0" w:type="dxa"/>
                              <w:tblLayout w:type="fixed"/>
                              <w:tblCellMar>
                                <w:top w:w="0" w:type="dxa"/>
                                <w:left w:w="0" w:type="dxa"/>
                                <w:bottom w:w="0" w:type="dxa"/>
                                <w:right w:w="0" w:type="dxa"/>
                              </w:tblCellMar>
                            </w:tblPr>
                            <w:tblGrid>
                              <w:gridCol w:w="4531"/>
                            </w:tblGrid>
                            <w:tr>
                              <w:trPr/>
                              <w:tc>
                                <w:tcPr>
                                  <w:tcW w:w="4531" w:type="dxa"/>
                                  <w:tcBorders/>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Vertex, Inc. and Subsidiaries</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Condensed Consolidated Statements of Cash Flows</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nine months ended September 30, 2023 and 2022</w:t>
                                  </w:r>
                                </w:p>
                              </w:tc>
                            </w:tr>
                            <w:tr>
                              <w:trPr/>
                              <w:tc>
                                <w:tcPr>
                                  <w:tcW w:w="45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(Amounts in thousands)</w:t>
                                  </w:r>
                                </w:p>
                              </w:tc>
                            </w:tr>
                          </w:tbl>
                          <w:p>
                            <w:pPr>
                              <w:pStyle w:val="TextBody"/>
                              <w:bidi w:val="0"/>
                              <w:spacing w:before="0" w:after="283"/>
                              <w:jc w:val="left"/>
                              <w:rPr/>
                            </w:pPr>
                            <w:r>
                              <w:rPr/>
                            </w:r>
                            <w:bookmarkStart w:id="1131" w:name="_e00ee527_243e_4090_bae0_6b5a08d0d093"/>
                            <w:bookmarkStart w:id="1132" w:name="_e00ee527_243e_4090_bae0_6b5a08d0d093"/>
                            <w:bookmarkEnd w:id="113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5pt;mso-wrap-distance-left:0pt;mso-wrap-distance-right:0pt;mso-wrap-distance-top:0pt;mso-wrap-distance-bottom:0pt;margin-top:0pt;mso-position-vertical:top;mso-position-vertical-relative:text;margin-left:0pt;mso-position-horizontal:right;mso-position-horizontal-relative:text">
                <v:textbox>
                  <w:txbxContent>
                    <w:p>
                      <w:pPr>
                        <w:pStyle w:val="Normal"/>
                        <w:bidi w:val="0"/>
                        <w:spacing w:before="0" w:after="0"/>
                        <w:jc w:val="left"/>
                        <w:rPr>
                          <w:sz w:val="4"/>
                          <w:szCs w:val="4"/>
                        </w:rPr>
                      </w:pPr>
                      <w:r>
                        <w:rPr>
                          <w:sz w:val="4"/>
                          <w:szCs w:val="4"/>
                        </w:rPr>
                      </w:r>
                      <w:bookmarkStart w:id="1133" w:name="CondensedConsolidatedStatementsofCashFlo"/>
                      <w:bookmarkStart w:id="1134" w:name="CondensedConsolidatedStatementsofCashFlo"/>
                      <w:bookmarkEnd w:id="1134"/>
                    </w:p>
                    <w:tbl>
                      <w:tblPr>
                        <w:tblW w:w="4531" w:type="dxa"/>
                        <w:jc w:val="left"/>
                        <w:tblInd w:w="0" w:type="dxa"/>
                        <w:tblLayout w:type="fixed"/>
                        <w:tblCellMar>
                          <w:top w:w="0" w:type="dxa"/>
                          <w:left w:w="0" w:type="dxa"/>
                          <w:bottom w:w="0" w:type="dxa"/>
                          <w:right w:w="0" w:type="dxa"/>
                        </w:tblCellMar>
                      </w:tblPr>
                      <w:tblGrid>
                        <w:gridCol w:w="4531"/>
                      </w:tblGrid>
                      <w:tr>
                        <w:trPr/>
                        <w:tc>
                          <w:tcPr>
                            <w:tcW w:w="4531" w:type="dxa"/>
                            <w:tcBorders/>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Vertex, Inc. and Subsidiaries</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Condensed Consolidated Statements of Cash Flows</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nine months ended September 30, 2023 and 2022</w:t>
                            </w:r>
                          </w:p>
                        </w:tc>
                      </w:tr>
                      <w:tr>
                        <w:trPr/>
                        <w:tc>
                          <w:tcPr>
                            <w:tcW w:w="45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(Amounts in thousands)</w:t>
                            </w:r>
                          </w:p>
                        </w:tc>
                      </w:tr>
                    </w:tbl>
                    <w:p>
                      <w:pPr>
                        <w:pStyle w:val="TextBody"/>
                        <w:bidi w:val="0"/>
                        <w:spacing w:before="0" w:after="283"/>
                        <w:jc w:val="left"/>
                        <w:rPr/>
                      </w:pPr>
                      <w:r>
                        <w:rPr/>
                      </w:r>
                      <w:bookmarkStart w:id="1135" w:name="_e00ee527_243e_4090_bae0_6b5a08d0d093"/>
                      <w:bookmarkStart w:id="1136" w:name="_e00ee527_243e_4090_bae0_6b5a08d0d093"/>
                      <w:bookmarkEnd w:id="1136"/>
                    </w:p>
                  </w:txbxContent>
                </v:textbox>
                <w10:wrap type="square" side="left"/>
              </v:rect>
            </w:pict>
          </mc:Fallback>
        </mc:AlternateContent>
      </w:r>
    </w:p>
    <w:p>
      <w:pPr>
        <w:pStyle w:val="Normal"/>
        <w:bidi w:val="0"/>
        <w:spacing w:before="0" w:after="0"/>
        <w:jc w:val="left"/>
        <w:rPr>
          <w:sz w:val="4"/>
          <w:szCs w:val="4"/>
        </w:rPr>
      </w:pPr>
      <w:r>
        <w:rPr>
          <w:sz w:val="4"/>
          <w:szCs w:val="4"/>
        </w:rPr>
      </w:r>
      <w:bookmarkStart w:id="1137" w:name="Tc_VtjtUI9YVUGqs2VxJVvqlw_55_4"/>
      <w:bookmarkStart w:id="1138" w:name="Tc_2DerI1edYked-FR0Mr2O8A_55_1"/>
      <w:bookmarkStart w:id="1139" w:name="Tc_9CGEFq9I30iIToc97jTHNQ_55_0"/>
      <w:bookmarkStart w:id="1140" w:name="Tc_sB2g-z3VdkepDWA_CRc6NA_54_0"/>
      <w:bookmarkStart w:id="1141" w:name="Tc_JeK6RJIsHUSH3Mp5PGASXw_53_4"/>
      <w:bookmarkStart w:id="1142" w:name="Tc_85KoskNeUUmTnKbjbFrxdw_53_1"/>
      <w:bookmarkStart w:id="1143" w:name="Tc_oNIKgxKQjU6CbS8Jcg3-ww_53_0"/>
      <w:bookmarkStart w:id="1144" w:name="Tc_nHz2xFICkECwKp3PhAF-1A_52_0"/>
      <w:bookmarkStart w:id="1145" w:name="Tc_Ydk4LiVysESqE0Wh8cCqbQ_51_4"/>
      <w:bookmarkStart w:id="1146" w:name="Tc_DG6-rLJWsEWuUmL_PrRSXA_51_1"/>
      <w:bookmarkStart w:id="1147" w:name="Tc_Mzh_eL-rqkeMtTZTpWCXAg_51_0"/>
      <w:bookmarkStart w:id="1148" w:name="Tc_RGxjMWFbUUGZBlKTZJeFNQ_50_0"/>
      <w:bookmarkStart w:id="1149" w:name="Tc_j1C8YR8Z-UamOGL-s-LYOg_49_0"/>
      <w:bookmarkStart w:id="1150" w:name="Tc_7ddpYhcd-ki3_o8VRAa7Uw_48_0"/>
      <w:bookmarkStart w:id="1151" w:name="Tc_wyou5vDTrEqYkf4Ber0dNA_47_0"/>
      <w:bookmarkStart w:id="1152" w:name="Tc_-tngMaW70UimKsExVTUm6g_46_0"/>
      <w:bookmarkStart w:id="1153" w:name="Tc_-q6ayIEWeEaVnTyGxHh8vA_45_0"/>
      <w:bookmarkStart w:id="1154" w:name="Tc__LvT6V_EfUG1eYawjBZ7kg_44_0"/>
      <w:bookmarkStart w:id="1155" w:name="Tc_OGm26y6-ekW0zToqIBH5yA_43_2"/>
      <w:bookmarkStart w:id="1156" w:name="Tc_o5m90muZU02F3VYYD7li5g_43_0"/>
      <w:bookmarkStart w:id="1157" w:name="Tc_eJUtATWZkkSvYDpx8WBDnA_42_0"/>
      <w:bookmarkStart w:id="1158" w:name="Tc_eVqhFNwzx0ieSlQjx-nj0Q_41_0"/>
      <w:bookmarkStart w:id="1159" w:name="Tc_LrFX8SPFEUWYqtFWan8KAQ_40_0"/>
      <w:bookmarkStart w:id="1160" w:name="Tc_vHFifvUtOk-y2yJDOnIclA_39_2"/>
      <w:bookmarkStart w:id="1161" w:name="Tc_yE5NAvI-90KapmKAHd-58Q_39_0"/>
      <w:bookmarkStart w:id="1162" w:name="Tc_b1JJrQlGHUaUM1oJypfUVA_38_0"/>
      <w:bookmarkStart w:id="1163" w:name="Tc_fsA3fxncV0q23CtC1eeXRw_37_2"/>
      <w:bookmarkStart w:id="1164" w:name="Tc_jZJdqvRIH06V7LXCwhdyOA_37_0"/>
      <w:bookmarkStart w:id="1165" w:name="Tc_N9hlTZFItEGX9EYOUzEI2g_36_0"/>
      <w:bookmarkStart w:id="1166" w:name="Tc_qjK3zUBBCkKkryzmB3SisA_35_0"/>
      <w:bookmarkStart w:id="1167" w:name="Tc_xyJecyQW3USYEy5wb6XdrQ_34_0"/>
      <w:bookmarkStart w:id="1168" w:name="Tc_5ULPe7IWZkybe4725gRU0g_33_5"/>
      <w:bookmarkStart w:id="1169" w:name="Tc_eLlN86fBLki20D6CRZmyXg_33_0"/>
      <w:bookmarkStart w:id="1170" w:name="Tc_Z2WgA8yZ6k2fgEV4mW0akw_32_0"/>
      <w:bookmarkStart w:id="1171" w:name="Tc_kUF5C2T2ZUGHVr_afXSWmg_31_0"/>
      <w:bookmarkStart w:id="1172" w:name="Tc_pQ7DjO6RbUeS_qzguWH51Q_30_0"/>
      <w:bookmarkStart w:id="1173" w:name="Tc_9mKN8t0Z9Eipb64OVbiWHQ_29_2"/>
      <w:bookmarkStart w:id="1174" w:name="Tc_R1EXOzPFcUOJQn8T96MPzg_29_0"/>
      <w:bookmarkStart w:id="1175" w:name="Tc_HEv8YdVOg0eb60T2QhRzbw_28_0"/>
      <w:bookmarkStart w:id="1176" w:name="Tc_k-qgp3I5AUiY-pTqWJ58fQ_27_0"/>
      <w:bookmarkStart w:id="1177" w:name="Tc_E7IZwiPvk0qjBsELOk1mZQ_26_0"/>
      <w:bookmarkStart w:id="1178" w:name="Tc_kkRxqWcUbkmDEk-fKja7fg_25_0"/>
      <w:bookmarkStart w:id="1179" w:name="Tc_L0BAuCNyRkK47QgPqi_hOg_24_0"/>
      <w:bookmarkStart w:id="1180" w:name="Tc_qawAhhZ4IEWvYjri4N7EZQ_23_0"/>
      <w:bookmarkStart w:id="1181" w:name="Tc_9EuQ3KWqX0SdMqfU0RvFoA_22_0"/>
      <w:bookmarkStart w:id="1182" w:name="Tc_3mTWw1nT1ky4woSjAr_liA_21_0"/>
      <w:bookmarkStart w:id="1183" w:name="Tc_AWuS5OfJdkKbalqSznd9VQ_20_0"/>
      <w:bookmarkStart w:id="1184" w:name="Tc_2gtkOgsdhUufwmkyxHqftA_19_0"/>
      <w:bookmarkStart w:id="1185" w:name="Tc_4cmIXI1MLk-FF-zRUvOtiQ_18_0"/>
      <w:bookmarkStart w:id="1186" w:name="Tc_Ksv7i3h6oUuXbFGCktoB8g_17_0"/>
      <w:bookmarkStart w:id="1187" w:name="Tc_6X6utrjqOUqz9nOMi2jxnw_16_0"/>
      <w:bookmarkStart w:id="1188" w:name="Tc_qvOS6MsDD0aXd8T6STIfjQ_15_0"/>
      <w:bookmarkStart w:id="1189" w:name="Tc_y4TIOE-fo0usITbyn2kXYQ_14_0"/>
      <w:bookmarkStart w:id="1190" w:name="Tc_sO1R_ZwpbUa4oYz8hCtmPw_13_0"/>
      <w:bookmarkStart w:id="1191" w:name="Tc_URGKX4vOB0iXkjYmohudzA_12_2"/>
      <w:bookmarkStart w:id="1192" w:name="Tc_vn3CH717Rk-zs8FgKrMrCA_12_0"/>
      <w:bookmarkStart w:id="1193" w:name="Tc_rDHUHAU5Q0W-YzLToJLAMg_11_0"/>
      <w:bookmarkStart w:id="1194" w:name="Tc_oi_0CyN6jUmbFv1Nd-WOgA_10_0"/>
      <w:bookmarkStart w:id="1195" w:name="Tc_IISStm_GakCLjMSu-GG8lA_9_0"/>
      <w:bookmarkStart w:id="1196" w:name="Tc_XwMJRabyj0aunBxaugu1iw_8_5"/>
      <w:bookmarkStart w:id="1197" w:name="Tc_fdQP8JASn0GJnGV7Jp1m4w_8_0"/>
      <w:bookmarkStart w:id="1198" w:name="Tc_DDgQY7OJV0y2CtDAQbWEVw_7_0"/>
      <w:bookmarkStart w:id="1199" w:name="Tc_7yP6U8CICEaTuV2VT257sQ_6_0"/>
      <w:bookmarkStart w:id="1200" w:name="Tc_L2JexWINg0a84DhnK1OG_w_5_4"/>
      <w:bookmarkStart w:id="1201" w:name="Tc__g_7MFbvWUK53NruyMiSHw_5_1"/>
      <w:bookmarkStart w:id="1202" w:name="Tc_lGdfb9UWUE2bOb26chZBOQ_5_0"/>
      <w:bookmarkStart w:id="1203" w:name="Tc_TE19crZ17UuwU8kaQXifQQ_4_0"/>
      <w:bookmarkStart w:id="1204" w:name="Tc_Mly4LKdfp0K5PgDpq4TKag_3_1"/>
      <w:bookmarkStart w:id="1205" w:name="Tc_3cQq0dQ_-0CjD0O51Ak6yQ_2_5"/>
      <w:bookmarkStart w:id="1206" w:name="Tc_ioy5Z5IQrkO7xA8ph-p8-g_2_1"/>
      <w:bookmarkStart w:id="1207" w:name="Tc_PPPm7JXbwkK3jKPpLoZIYw_1_1"/>
      <w:bookmarkStart w:id="1208" w:name="_d23708cc_07e8_43bc_9d98_00249e25ce80"/>
      <w:bookmarkStart w:id="1209" w:name="Tc_VtjtUI9YVUGqs2VxJVvqlw_55_4"/>
      <w:bookmarkStart w:id="1210" w:name="Tc_2DerI1edYked-FR0Mr2O8A_55_1"/>
      <w:bookmarkStart w:id="1211" w:name="Tc_9CGEFq9I30iIToc97jTHNQ_55_0"/>
      <w:bookmarkStart w:id="1212" w:name="Tc_sB2g-z3VdkepDWA_CRc6NA_54_0"/>
      <w:bookmarkStart w:id="1213" w:name="Tc_JeK6RJIsHUSH3Mp5PGASXw_53_4"/>
      <w:bookmarkStart w:id="1214" w:name="Tc_85KoskNeUUmTnKbjbFrxdw_53_1"/>
      <w:bookmarkStart w:id="1215" w:name="Tc_oNIKgxKQjU6CbS8Jcg3-ww_53_0"/>
      <w:bookmarkStart w:id="1216" w:name="Tc_nHz2xFICkECwKp3PhAF-1A_52_0"/>
      <w:bookmarkStart w:id="1217" w:name="Tc_Ydk4LiVysESqE0Wh8cCqbQ_51_4"/>
      <w:bookmarkStart w:id="1218" w:name="Tc_DG6-rLJWsEWuUmL_PrRSXA_51_1"/>
      <w:bookmarkStart w:id="1219" w:name="Tc_Mzh_eL-rqkeMtTZTpWCXAg_51_0"/>
      <w:bookmarkStart w:id="1220" w:name="Tc_RGxjMWFbUUGZBlKTZJeFNQ_50_0"/>
      <w:bookmarkStart w:id="1221" w:name="Tc_j1C8YR8Z-UamOGL-s-LYOg_49_0"/>
      <w:bookmarkStart w:id="1222" w:name="Tc_7ddpYhcd-ki3_o8VRAa7Uw_48_0"/>
      <w:bookmarkStart w:id="1223" w:name="Tc_wyou5vDTrEqYkf4Ber0dNA_47_0"/>
      <w:bookmarkStart w:id="1224" w:name="Tc_-tngMaW70UimKsExVTUm6g_46_0"/>
      <w:bookmarkStart w:id="1225" w:name="Tc_-q6ayIEWeEaVnTyGxHh8vA_45_0"/>
      <w:bookmarkStart w:id="1226" w:name="Tc__LvT6V_EfUG1eYawjBZ7kg_44_0"/>
      <w:bookmarkStart w:id="1227" w:name="Tc_OGm26y6-ekW0zToqIBH5yA_43_2"/>
      <w:bookmarkStart w:id="1228" w:name="Tc_o5m90muZU02F3VYYD7li5g_43_0"/>
      <w:bookmarkStart w:id="1229" w:name="Tc_eJUtATWZkkSvYDpx8WBDnA_42_0"/>
      <w:bookmarkStart w:id="1230" w:name="Tc_eVqhFNwzx0ieSlQjx-nj0Q_41_0"/>
      <w:bookmarkStart w:id="1231" w:name="Tc_LrFX8SPFEUWYqtFWan8KAQ_40_0"/>
      <w:bookmarkStart w:id="1232" w:name="Tc_vHFifvUtOk-y2yJDOnIclA_39_2"/>
      <w:bookmarkStart w:id="1233" w:name="Tc_yE5NAvI-90KapmKAHd-58Q_39_0"/>
      <w:bookmarkStart w:id="1234" w:name="Tc_b1JJrQlGHUaUM1oJypfUVA_38_0"/>
      <w:bookmarkStart w:id="1235" w:name="Tc_fsA3fxncV0q23CtC1eeXRw_37_2"/>
      <w:bookmarkStart w:id="1236" w:name="Tc_jZJdqvRIH06V7LXCwhdyOA_37_0"/>
      <w:bookmarkStart w:id="1237" w:name="Tc_N9hlTZFItEGX9EYOUzEI2g_36_0"/>
      <w:bookmarkStart w:id="1238" w:name="Tc_qjK3zUBBCkKkryzmB3SisA_35_0"/>
      <w:bookmarkStart w:id="1239" w:name="Tc_xyJecyQW3USYEy5wb6XdrQ_34_0"/>
      <w:bookmarkStart w:id="1240" w:name="Tc_5ULPe7IWZkybe4725gRU0g_33_5"/>
      <w:bookmarkStart w:id="1241" w:name="Tc_eLlN86fBLki20D6CRZmyXg_33_0"/>
      <w:bookmarkStart w:id="1242" w:name="Tc_Z2WgA8yZ6k2fgEV4mW0akw_32_0"/>
      <w:bookmarkStart w:id="1243" w:name="Tc_kUF5C2T2ZUGHVr_afXSWmg_31_0"/>
      <w:bookmarkStart w:id="1244" w:name="Tc_pQ7DjO6RbUeS_qzguWH51Q_30_0"/>
      <w:bookmarkStart w:id="1245" w:name="Tc_9mKN8t0Z9Eipb64OVbiWHQ_29_2"/>
      <w:bookmarkStart w:id="1246" w:name="Tc_R1EXOzPFcUOJQn8T96MPzg_29_0"/>
      <w:bookmarkStart w:id="1247" w:name="Tc_HEv8YdVOg0eb60T2QhRzbw_28_0"/>
      <w:bookmarkStart w:id="1248" w:name="Tc_k-qgp3I5AUiY-pTqWJ58fQ_27_0"/>
      <w:bookmarkStart w:id="1249" w:name="Tc_E7IZwiPvk0qjBsELOk1mZQ_26_0"/>
      <w:bookmarkStart w:id="1250" w:name="Tc_kkRxqWcUbkmDEk-fKja7fg_25_0"/>
      <w:bookmarkStart w:id="1251" w:name="Tc_L0BAuCNyRkK47QgPqi_hOg_24_0"/>
      <w:bookmarkStart w:id="1252" w:name="Tc_qawAhhZ4IEWvYjri4N7EZQ_23_0"/>
      <w:bookmarkStart w:id="1253" w:name="Tc_9EuQ3KWqX0SdMqfU0RvFoA_22_0"/>
      <w:bookmarkStart w:id="1254" w:name="Tc_3mTWw1nT1ky4woSjAr_liA_21_0"/>
      <w:bookmarkStart w:id="1255" w:name="Tc_AWuS5OfJdkKbalqSznd9VQ_20_0"/>
      <w:bookmarkStart w:id="1256" w:name="Tc_2gtkOgsdhUufwmkyxHqftA_19_0"/>
      <w:bookmarkStart w:id="1257" w:name="Tc_4cmIXI1MLk-FF-zRUvOtiQ_18_0"/>
      <w:bookmarkStart w:id="1258" w:name="Tc_Ksv7i3h6oUuXbFGCktoB8g_17_0"/>
      <w:bookmarkStart w:id="1259" w:name="Tc_6X6utrjqOUqz9nOMi2jxnw_16_0"/>
      <w:bookmarkStart w:id="1260" w:name="Tc_qvOS6MsDD0aXd8T6STIfjQ_15_0"/>
      <w:bookmarkStart w:id="1261" w:name="Tc_y4TIOE-fo0usITbyn2kXYQ_14_0"/>
      <w:bookmarkStart w:id="1262" w:name="Tc_sO1R_ZwpbUa4oYz8hCtmPw_13_0"/>
      <w:bookmarkStart w:id="1263" w:name="Tc_URGKX4vOB0iXkjYmohudzA_12_2"/>
      <w:bookmarkStart w:id="1264" w:name="Tc_vn3CH717Rk-zs8FgKrMrCA_12_0"/>
      <w:bookmarkStart w:id="1265" w:name="Tc_rDHUHAU5Q0W-YzLToJLAMg_11_0"/>
      <w:bookmarkStart w:id="1266" w:name="Tc_oi_0CyN6jUmbFv1Nd-WOgA_10_0"/>
      <w:bookmarkStart w:id="1267" w:name="Tc_IISStm_GakCLjMSu-GG8lA_9_0"/>
      <w:bookmarkStart w:id="1268" w:name="Tc_XwMJRabyj0aunBxaugu1iw_8_5"/>
      <w:bookmarkStart w:id="1269" w:name="Tc_fdQP8JASn0GJnGV7Jp1m4w_8_0"/>
      <w:bookmarkStart w:id="1270" w:name="Tc_DDgQY7OJV0y2CtDAQbWEVw_7_0"/>
      <w:bookmarkStart w:id="1271" w:name="Tc_7yP6U8CICEaTuV2VT257sQ_6_0"/>
      <w:bookmarkStart w:id="1272" w:name="Tc_L2JexWINg0a84DhnK1OG_w_5_4"/>
      <w:bookmarkStart w:id="1273" w:name="Tc__g_7MFbvWUK53NruyMiSHw_5_1"/>
      <w:bookmarkStart w:id="1274" w:name="Tc_lGdfb9UWUE2bOb26chZBOQ_5_0"/>
      <w:bookmarkStart w:id="1275" w:name="Tc_TE19crZ17UuwU8kaQXifQQ_4_0"/>
      <w:bookmarkStart w:id="1276" w:name="Tc_Mly4LKdfp0K5PgDpq4TKag_3_1"/>
      <w:bookmarkStart w:id="1277" w:name="Tc_3cQq0dQ_-0CjD0O51Ak6yQ_2_5"/>
      <w:bookmarkStart w:id="1278" w:name="Tc_ioy5Z5IQrkO7xA8ph-p8-g_2_1"/>
      <w:bookmarkStart w:id="1279" w:name="Tc_PPPm7JXbwkK3jKPpLoZIYw_1_1"/>
      <w:bookmarkStart w:id="1280" w:name="_d23708cc_07e8_43bc_9d98_00249e25ce80"/>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p>
    <w:tbl>
      <w:tblPr>
        <w:tblW w:w="10205" w:type="dxa"/>
        <w:jc w:val="left"/>
        <w:tblInd w:w="0" w:type="dxa"/>
        <w:tblLayout w:type="fixed"/>
        <w:tblCellMar>
          <w:top w:w="0" w:type="dxa"/>
          <w:left w:w="0" w:type="dxa"/>
          <w:bottom w:w="0" w:type="dxa"/>
          <w:right w:w="0" w:type="dxa"/>
        </w:tblCellMar>
      </w:tblPr>
      <w:tblGrid>
        <w:gridCol w:w="7342"/>
        <w:gridCol w:w="255"/>
        <w:gridCol w:w="936"/>
        <w:gridCol w:w="425"/>
        <w:gridCol w:w="255"/>
        <w:gridCol w:w="992"/>
      </w:tblGrid>
      <w:tr>
        <w:trPr/>
        <w:tc>
          <w:tcPr>
            <w:tcW w:w="7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662170" cy="175260"/>
                      <wp:effectExtent l="0" t="0" r="0" b="0"/>
                      <wp:wrapNone/>
                      <wp:docPr id="69" name="Frame69"/>
                      <a:graphic xmlns:a="http://schemas.openxmlformats.org/drawingml/2006/main">
                        <a:graphicData uri="http://schemas.microsoft.com/office/word/2010/wordprocessingShape">
                          <wps:wsp>
                            <wps:cNvSpPr txBox="1"/>
                            <wps:spPr>
                              <a:xfrm>
                                <a:off x="0" y="0"/>
                                <a:ext cx="4662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61925" cy="175260"/>
                      <wp:effectExtent l="0" t="0" r="0" b="0"/>
                      <wp:wrapNone/>
                      <wp:docPr id="70" name="Frame7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4360" cy="175260"/>
                      <wp:effectExtent l="0" t="0" r="0" b="0"/>
                      <wp:wrapNone/>
                      <wp:docPr id="71" name="Frame71"/>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69875" cy="175260"/>
                      <wp:effectExtent l="0" t="0" r="0" b="0"/>
                      <wp:wrapNone/>
                      <wp:docPr id="72" name="Frame72"/>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61925" cy="175260"/>
                      <wp:effectExtent l="0" t="0" r="0" b="0"/>
                      <wp:wrapNone/>
                      <wp:docPr id="73" name="Frame7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29920" cy="175260"/>
                      <wp:effectExtent l="0" t="0" r="0" b="0"/>
                      <wp:wrapNone/>
                      <wp:docPr id="74" name="Frame74"/>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42" w:type="dxa"/>
            <w:tcBorders/>
            <w:vAlign w:val="center"/>
          </w:tcPr>
          <w:p>
            <w:pPr>
              <w:pStyle w:val="TableContents"/>
              <w:bidi w:val="0"/>
              <w:spacing w:before="0" w:after="1"/>
              <w:ind w:left="0" w:right="0" w:hanging="0"/>
              <w:jc w:val="left"/>
              <w:rPr/>
            </w:pPr>
            <w:r>
              <w:rPr/>
              <w:t>​</w:t>
            </w:r>
          </w:p>
        </w:tc>
        <w:tc>
          <w:tcPr>
            <w:tcW w:w="28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7342" w:type="dxa"/>
            <w:tcBorders/>
            <w:vAlign w:val="center"/>
          </w:tcPr>
          <w:p>
            <w:pPr>
              <w:pStyle w:val="TableContents"/>
              <w:bidi w:val="0"/>
              <w:spacing w:before="0" w:after="1"/>
              <w:ind w:left="0" w:right="0" w:hanging="0"/>
              <w:jc w:val="left"/>
              <w:rPr/>
            </w:pPr>
            <w:r>
              <w:rPr/>
              <w:t>​</w:t>
            </w:r>
          </w:p>
        </w:tc>
        <w:tc>
          <w:tcPr>
            <w:tcW w:w="11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25" w:type="dxa"/>
            <w:tcBorders/>
            <w:vAlign w:val="center"/>
          </w:tcPr>
          <w:p>
            <w:pPr>
              <w:pStyle w:val="TableContents"/>
              <w:bidi w:val="0"/>
              <w:spacing w:before="0" w:after="1"/>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5"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7342" w:type="dxa"/>
            <w:tcBorders/>
            <w:vAlign w:val="center"/>
          </w:tcPr>
          <w:p>
            <w:pPr>
              <w:pStyle w:val="TableContents"/>
              <w:bidi w:val="0"/>
              <w:spacing w:before="0" w:after="1"/>
              <w:ind w:left="0" w:right="0" w:hanging="0"/>
              <w:jc w:val="left"/>
              <w:rPr/>
            </w:pPr>
            <w:r>
              <w:rPr/>
              <w:t>​</w:t>
            </w:r>
          </w:p>
        </w:tc>
        <w:tc>
          <w:tcPr>
            <w:tcW w:w="2863"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7342"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flows from operating activities:</w:t>
            </w:r>
          </w:p>
        </w:tc>
        <w:tc>
          <w:tcPr>
            <w:tcW w:w="255"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pPr>
            <w:r>
              <w:rPr/>
              <w:t>  </w:t>
            </w:r>
          </w:p>
        </w:tc>
        <w:tc>
          <w:tcPr>
            <w:tcW w:w="425"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992" w:type="dxa"/>
            <w:tcBorders/>
            <w:shd w:fill="CCEEFF" w:val="clear"/>
            <w:vAlign w:val="center"/>
          </w:tcPr>
          <w:p>
            <w:pPr>
              <w:pStyle w:val="TableContents"/>
              <w:bidi w:val="0"/>
              <w:spacing w:before="0" w:after="1"/>
              <w:ind w:left="0" w:right="0" w:hanging="0"/>
              <w:jc w:val="left"/>
              <w:rPr/>
            </w:pPr>
            <w:r>
              <w:rPr/>
              <w:t>​</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(28,427)</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(6,995)</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provided by operating activities:</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pPr>
            <w:r>
              <w:rPr/>
              <w:t>  </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52,597</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45,328</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w:t>
            </w:r>
          </w:p>
        </w:tc>
        <w:tc>
          <w:tcPr>
            <w:tcW w:w="255"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1,550</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92" w:type="dxa"/>
            <w:tcBorders/>
            <w:shd w:fill="CCEEFF" w:val="clear"/>
            <w:vAlign w:val="center"/>
          </w:tcPr>
          <w:p>
            <w:pPr>
              <w:pStyle w:val="TableContents"/>
              <w:bidi w:val="0"/>
              <w:spacing w:before="0" w:after="1"/>
              <w:ind w:left="0" w:right="0" w:hanging="0"/>
              <w:jc w:val="right"/>
              <w:rPr/>
            </w:pPr>
            <w:r>
              <w:rPr/>
              <w:t>—</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subscription cancellations and non-renewals</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1,407</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deferred financing costs</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contingent consideration liability</w:t>
            </w:r>
          </w:p>
        </w:tc>
        <w:tc>
          <w:tcPr>
            <w:tcW w:w="255"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1,349</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2,000</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Write-off of deferred financing costs</w:t>
            </w:r>
          </w:p>
        </w:tc>
        <w:tc>
          <w:tcPr>
            <w:tcW w:w="255"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26,228</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14,383</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 (benefit)</w:t>
            </w:r>
          </w:p>
        </w:tc>
        <w:tc>
          <w:tcPr>
            <w:tcW w:w="255"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(10,034)</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operating lease costs</w:t>
            </w:r>
          </w:p>
        </w:tc>
        <w:tc>
          <w:tcPr>
            <w:tcW w:w="255"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1,855</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2,448</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pPr>
            <w:r>
              <w:rPr/>
              <w:t>  </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(30,760)</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(17,578)</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(2,465)</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commissions</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(1,632)</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(1,202)</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10,049</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9,865</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6,113</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and deferred compensation</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2,487</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(12,445)</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(8,977)</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5,250</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255"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(2,863)</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(2,837)</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1,438</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(9,776)</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26,696</w:t>
            </w:r>
          </w:p>
        </w:tc>
        <w:tc>
          <w:tcPr>
            <w:tcW w:w="425"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23,599</w:t>
            </w:r>
          </w:p>
        </w:tc>
      </w:tr>
      <w:tr>
        <w:trPr/>
        <w:tc>
          <w:tcPr>
            <w:tcW w:w="7342"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flows from investing activities:</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pPr>
            <w:r>
              <w:rPr/>
              <w:t>  </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pPr>
            <w:r>
              <w:rPr/>
              <w:t>  </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business, net of cash acquired</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(474)</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additions</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(35,357)</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(33,546)</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Capitalized software additions</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(14,083)</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(10,288)</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investment securities, available-for-sale</w:t>
            </w:r>
          </w:p>
        </w:tc>
        <w:tc>
          <w:tcPr>
            <w:tcW w:w="255"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(12,864)</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(6,127)</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sales and maturities of investment securities, available-for-sale</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16,040</w:t>
            </w:r>
          </w:p>
        </w:tc>
        <w:tc>
          <w:tcPr>
            <w:tcW w:w="425"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(46,264)</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(50,435)</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  </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pPr>
            <w:r>
              <w:rPr/>
              <w:t>  </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customer funds obligations</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16,996</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(2,603)</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term loan</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Principal payments on long-term debt</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(1,563)</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(625)</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for deferred financing costs</w:t>
            </w:r>
          </w:p>
        </w:tc>
        <w:tc>
          <w:tcPr>
            <w:tcW w:w="255"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(983)</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purchases of stock under ESPP</w:t>
            </w:r>
          </w:p>
        </w:tc>
        <w:tc>
          <w:tcPr>
            <w:tcW w:w="255"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1,178</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967</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for taxes related to net share settlement of stock-based awards</w:t>
            </w:r>
          </w:p>
        </w:tc>
        <w:tc>
          <w:tcPr>
            <w:tcW w:w="255"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(9,210)</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(1,012)</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exercise of stock options</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3,097</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1,288</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Distributions under Tax Sharing Agreement</w:t>
            </w:r>
          </w:p>
        </w:tc>
        <w:tc>
          <w:tcPr>
            <w:tcW w:w="255"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pPr>
            <w:r>
              <w:rPr/>
              <w:t>—</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(536)</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for purchase commitment and contingent consideration liabilities</w:t>
            </w:r>
          </w:p>
        </w:tc>
        <w:tc>
          <w:tcPr>
            <w:tcW w:w="255"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(6,424)</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of finance lease liabilities</w:t>
            </w:r>
          </w:p>
        </w:tc>
        <w:tc>
          <w:tcPr>
            <w:tcW w:w="255"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for deferred purchase commitments</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(20,000)</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provided by financing activities</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(6,003)</w:t>
            </w:r>
          </w:p>
        </w:tc>
        <w:tc>
          <w:tcPr>
            <w:tcW w:w="425"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25,977</w:t>
            </w:r>
          </w:p>
        </w:tc>
      </w:tr>
      <w:tr>
        <w:trPr/>
        <w:tc>
          <w:tcPr>
            <w:tcW w:w="7342"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(1,137)</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decrease in cash, cash equivalents and restricted cash</w:t>
            </w:r>
          </w:p>
        </w:tc>
        <w:tc>
          <w:tcPr>
            <w:tcW w:w="255"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(25,626)</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(1,996)</w:t>
            </w:r>
          </w:p>
        </w:tc>
      </w:tr>
      <w:tr>
        <w:trPr/>
        <w:tc>
          <w:tcPr>
            <w:tcW w:w="7342"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cash equivalents and restricted cash, beginning of period</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106,748</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98,206</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end of period</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81,122</w:t>
            </w:r>
          </w:p>
        </w:tc>
        <w:tc>
          <w:tcPr>
            <w:tcW w:w="425"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96,210</w:t>
            </w:r>
          </w:p>
        </w:tc>
      </w:tr>
      <w:tr>
        <w:trPr/>
        <w:tc>
          <w:tcPr>
            <w:tcW w:w="7342"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Reconciliation of cash, cash equivalents and restricted cash to the Condensed Consolidated Balance Sheets, end of period:</w:t>
            </w:r>
          </w:p>
        </w:tc>
        <w:tc>
          <w:tcPr>
            <w:tcW w:w="255"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pPr>
            <w:r>
              <w:rPr/>
              <w:t>  </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92" w:type="dxa"/>
            <w:tcBorders/>
            <w:shd w:fill="CCEEFF" w:val="clear"/>
            <w:vAlign w:val="center"/>
          </w:tcPr>
          <w:p>
            <w:pPr>
              <w:pStyle w:val="TableContents"/>
              <w:bidi w:val="0"/>
              <w:spacing w:before="0" w:after="1"/>
              <w:ind w:left="0" w:right="0" w:hanging="0"/>
              <w:jc w:val="right"/>
              <w:rPr/>
            </w:pPr>
            <w:r>
              <w:rPr/>
              <w:t>  </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49,499</w:t>
            </w:r>
          </w:p>
        </w:tc>
        <w:tc>
          <w:tcPr>
            <w:tcW w:w="42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72,370</w:t>
            </w:r>
          </w:p>
        </w:tc>
      </w:tr>
      <w:tr>
        <w:trPr/>
        <w:tc>
          <w:tcPr>
            <w:tcW w:w="7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cash—funds held for customers</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31,623</w:t>
            </w:r>
          </w:p>
        </w:tc>
        <w:tc>
          <w:tcPr>
            <w:tcW w:w="425"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23,840</w:t>
            </w:r>
          </w:p>
        </w:tc>
      </w:tr>
      <w:tr>
        <w:trPr/>
        <w:tc>
          <w:tcPr>
            <w:tcW w:w="73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 end of period</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81,122</w:t>
            </w:r>
          </w:p>
        </w:tc>
        <w:tc>
          <w:tcPr>
            <w:tcW w:w="425"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96,210</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16"/>
        </w:rPr>
      </w:pPr>
      <w:r>
        <w:rPr>
          <w:rFonts w:ascii="Times New Roman;Times;serif" w:hAnsi="Times New Roman;Times;serif"/>
          <w:sz w:val="18"/>
        </w:rPr>
        <w:t>The accompanying notes are an integral part</w:t>
      </w:r>
      <w:r>
        <w:rPr>
          <w:rFonts w:ascii="Times New Roman;Times;serif" w:hAnsi="Times New Roman;Times;serif"/>
          <w:sz w:val="16"/>
        </w:rPr>
        <w:t xml:space="preserve"> </w:t>
      </w:r>
      <w:r>
        <w:rPr>
          <w:rFonts w:ascii="Times New Roman;Times;serif" w:hAnsi="Times New Roman;Times;serif"/>
          <w:sz w:val="18"/>
        </w:rPr>
        <w:t>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600" w:after="283"/>
        <w:jc w:val="left"/>
        <w:rPr>
          <w:sz w:val="4"/>
          <w:szCs w:val="4"/>
        </w:rPr>
      </w:pPr>
      <w:r>
        <w:rPr>
          <w:sz w:val="4"/>
          <w:szCs w:val="4"/>
        </w:rPr>
      </w:r>
      <w:bookmarkStart w:id="1281" w:name="_1df8ff92_0c1f_4baf_ba47_8037f0f4b297"/>
      <w:bookmarkStart w:id="1282" w:name="_187b08a8_d3b1_4645_8a37_43bbc609a8ef"/>
      <w:bookmarkStart w:id="1283" w:name="_19231002_bb03_433a_a4f2_6f003e7a0cff"/>
      <w:bookmarkStart w:id="1284" w:name="_1df8ff92_0c1f_4baf_ba47_8037f0f4b297"/>
      <w:bookmarkStart w:id="1285" w:name="_187b08a8_d3b1_4645_8a37_43bbc609a8ef"/>
      <w:bookmarkStart w:id="1286" w:name="_19231002_bb03_433a_a4f2_6f003e7a0cff"/>
      <w:bookmarkEnd w:id="1284"/>
      <w:bookmarkEnd w:id="1285"/>
      <w:bookmarkEnd w:id="1286"/>
    </w:p>
    <w:tbl>
      <w:tblPr>
        <w:tblW w:w="5776" w:type="dxa"/>
        <w:jc w:val="left"/>
        <w:tblInd w:w="0" w:type="dxa"/>
        <w:tblLayout w:type="fixed"/>
        <w:tblCellMar>
          <w:top w:w="0" w:type="dxa"/>
          <w:left w:w="0" w:type="dxa"/>
          <w:bottom w:w="0" w:type="dxa"/>
          <w:right w:w="0" w:type="dxa"/>
        </w:tblCellMar>
      </w:tblPr>
      <w:tblGrid>
        <w:gridCol w:w="5776"/>
      </w:tblGrid>
      <w:tr>
        <w:trPr/>
        <w:tc>
          <w:tcPr>
            <w:tcW w:w="5776" w:type="dxa"/>
            <w:tcBorders/>
            <w:vAlign w:val="center"/>
          </w:tcPr>
          <w:p>
            <w:pPr>
              <w:pStyle w:val="TableContents"/>
              <w:bidi w:val="0"/>
              <w:spacing w:before="0" w:after="0"/>
              <w:ind w:left="0" w:right="0" w:hanging="0"/>
              <w:jc w:val="lef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w:t>
            </w:r>
          </w:p>
        </w:tc>
      </w:tr>
      <w:tr>
        <w:trPr/>
        <w:tc>
          <w:tcPr>
            <w:tcW w:w="5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 except per share data)</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87" w:name="_Hlk78445138"/>
      <w:bookmarkStart w:id="1288" w:name="_Hlk78445093"/>
      <w:bookmarkStart w:id="1289" w:name="a1SUMMARYOFSIGNIFICANTACCOUNTINGPOLICIES"/>
      <w:bookmarkEnd w:id="1287"/>
      <w:bookmarkEnd w:id="1288"/>
      <w:bookmarkEnd w:id="1289"/>
      <w:r>
        <w:rPr>
          <w:rFonts w:ascii="Times New Roman;Times;serif" w:hAnsi="Times New Roman;Times;serif"/>
          <w:b/>
          <w:sz w:val="20"/>
        </w:rPr>
        <w:t>1.    SUMMARY OF SIGNIFICANT ACCOUNTING POLICIES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Nature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Inc. (“Vertex”) and its consolidated subsidiaries and variable interest entities (“VIE”)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Basis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are prepared in accordance with accounting principles generally accepted in the U.S. (“U.S. GAAP”) and include the accounts of the Company. All intercompany transactions have been eliminated in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a 80% controlling equity interest in Systax Sistemas Fiscais LTDA (“Systax”), a provider of Brazilian transaction tax content and software. Systax was determined to be a VIE and the accounts are included in the condensed consolidated condensed financial statements. Vertex does not have full decision-making authority over Systax; however, Vertex is the entity that most significantly participates in the variability of the fair value of Systax’s net assets and is considered the entity most closely associated to Systax. As such, Vertex is deemed the primary beneficiary of Systax and consolidates Systax into its condensed consolidated financial statements.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Unaudited Interim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2022 included in the Company’s Annual Report on Form 10-K for the year ended December 31, 2022 (the “2022 Annual Report”) filed with the SEC on March 10, 2023. The condensed consolidated balance sheet as of December 31, 2022 has been derived from audited financial statements included in the 2022 Annual Report. The accompanying interim condensed consolidated balance sheet as of September 30, 2023, the interim condensed consolidated statements of comprehensive loss and changes in stockholders’ equity for the three and nine months ended September 30, 2023 and 2022,  and the interim condensed consolidated statements of cash flows for the nine months ended September 30, 2023 and 2022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nine months ended September 30, 2023 are not necessarily indicative of the results expected for the full year ending December 31, 2023.</w:t>
      </w:r>
    </w:p>
    <w:p>
      <w:pPr>
        <w:pStyle w:val="TextBody"/>
        <w:bidi w:val="0"/>
        <w:spacing w:before="0" w:after="0"/>
        <w:ind w:left="380" w:right="0" w:hanging="0"/>
        <w:jc w:val="both"/>
        <w:rPr>
          <w:rFonts w:ascii="Times New Roman;Times;serif" w:hAnsi="Times New Roman;Times;serif"/>
          <w:b/>
          <w:sz w:val="20"/>
        </w:rPr>
      </w:pPr>
      <w:r>
        <w:rPr>
          <w:rFonts w:ascii="Times New Roman;Times;serif" w:hAnsi="Times New Roman;Times;serif"/>
          <w:b/>
          <w:sz w:val="20"/>
        </w:rPr>
        <w:t>Revision of Previously Issued Financial Statements</w:t>
      </w:r>
    </w:p>
    <w:p>
      <w:pPr>
        <w:pStyle w:val="TextBody"/>
        <w:bidi w:val="0"/>
        <w:spacing w:before="0" w:after="0"/>
        <w:ind w:left="38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prior period amounts on the condensed consolidated balance sheets and condensed consolidated statements of cash flows, reflected in the tables below, have been revised to correct for certain immaterial errors, as described below.</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second quarter of 2023, management identified certain immaterial errors impacting previously issued financial statements beginning as of December 31, 2021, and subsequent annual and quarterly reporting periods through March 31, 2023. Specifically, management identified an error in financial statement presentation required to be corrected to correctly reflect Cloud Computing Arrangement (“CCA”) software implementation costs in accordance with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bookmarkStart w:id="1290" w:name="_e6570de7_1244_4700_8b7f_93fa9750fff2"/>
        <w:bookmarkStart w:id="1291" w:name="_f15c2bbe_27ea_4280_9264_f446346d37a5"/>
        <w:bookmarkStart w:id="1292" w:name="_cd911ff2_8085_4fbe_8f72_7fded4fe3b0c"/>
        <w:bookmarkEnd w:id="1290"/>
        <w:bookmarkEnd w:id="1291"/>
        <w:bookmarkEnd w:id="1292"/>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293" w:name="Tc_8vpWa6nglU6H2N5yC9dz4g_41_0"/>
      <w:bookmarkStart w:id="1294" w:name="Tc_u2BA7DYKd0iQLcqlt9Abow_40_0"/>
      <w:bookmarkStart w:id="1295" w:name="Tc_oP5O0ySAyEiUeSou801PKA_39_0"/>
      <w:bookmarkStart w:id="1296" w:name="Tc_u9X8GP0cpEazPOH-v_vY0g_37_0"/>
      <w:bookmarkStart w:id="1297" w:name="Tc_P9HDqZW-eECxqQ5aSqFRrA_36_7"/>
      <w:bookmarkStart w:id="1298" w:name="Tc_k07Tn039gUSe-61AnGw2Jw_36_4"/>
      <w:bookmarkStart w:id="1299" w:name="Tc_s1q4rNRRR0eoyLsWPRYkbg_36_1"/>
      <w:bookmarkStart w:id="1300" w:name="Tc_LI9g4fQC9UiHsN_G2cvNEA_36_0"/>
      <w:bookmarkStart w:id="1301" w:name="Tc_eWXhlU9CgUKriduYEQDOXw_35_0"/>
      <w:bookmarkStart w:id="1302" w:name="Tc_JOT-4miSJ0ayNjr7SJ-roQ_34_8"/>
      <w:bookmarkStart w:id="1303" w:name="Tc_e3d1IsVGL0ynPCC8Ai_Hwg_34_5"/>
      <w:bookmarkStart w:id="1304" w:name="Tc_4qCTm_WaxkOZ1a1WT5lalw_34_2"/>
      <w:bookmarkStart w:id="1305" w:name="Tc_MY_oWqm6zkKjK2xYBJsDQA_33_2"/>
      <w:bookmarkStart w:id="1306" w:name="Tc_Cj_a1h2wFUGCypRjWkHqJg_31_0"/>
      <w:bookmarkStart w:id="1307" w:name="Tc_7BOX6UYeTki1rjWmpqGC7w_28_0"/>
      <w:bookmarkStart w:id="1308" w:name="Tc_qffR7l5bgU-Y4ZeMyNmA-A_27_0"/>
      <w:bookmarkStart w:id="1309" w:name="Tc_wglxu8qn90ad8r-CeuT0FA_26_0"/>
      <w:bookmarkStart w:id="1310" w:name="Tc_ErbABj6xy06XWaMnhxaw8w_25_7"/>
      <w:bookmarkStart w:id="1311" w:name="Tc_VTTDR_R2qUejWIum5yfxHg_25_4"/>
      <w:bookmarkStart w:id="1312" w:name="Tc_smYGr8ItWkaiPef8PDxUqQ_25_1"/>
      <w:bookmarkStart w:id="1313" w:name="Tc_Ve9TANqAZU6ngvWsdw500A_25_0"/>
      <w:bookmarkStart w:id="1314" w:name="Tc_-3r5cN36-0-L-VWGtm0bew_24_0"/>
      <w:bookmarkStart w:id="1315" w:name="Tc_AettACiwhkOWSm-f3azsUQ_22_0"/>
      <w:bookmarkStart w:id="1316" w:name="Tc_wozPQa3wvEC5tPsM6zZKiA_21_0"/>
      <w:bookmarkStart w:id="1317" w:name="Tc_TVB88Y-n7k6oXf45DFbnjw_20_0"/>
      <w:bookmarkStart w:id="1318" w:name="Tc_NqbRwn2AIEG-BaYaCtqSHw_19_7"/>
      <w:bookmarkStart w:id="1319" w:name="Tc_j6lR2x5tsk-qCmlMdGDroA_19_4"/>
      <w:bookmarkStart w:id="1320" w:name="Tc_D6jhUdXqGUqsHpJe-1PtRA_19_1"/>
      <w:bookmarkStart w:id="1321" w:name="Tc_3RQS6Ne_XkK_n5SHicCu4Q_19_0"/>
      <w:bookmarkStart w:id="1322" w:name="Tc_2DKiCUFBO065F0abT43DNQ_18_0"/>
      <w:bookmarkStart w:id="1323" w:name="Tc_n4NjF41yqk-akEYyIWfxpQ_16_0"/>
      <w:bookmarkStart w:id="1324" w:name="Tc_ZWYz3x2XsUKaL18Zq2oFNw_15_7"/>
      <w:bookmarkStart w:id="1325" w:name="Tc_FVTDphjTF0-H34CtZUoHGw_15_4"/>
      <w:bookmarkStart w:id="1326" w:name="Tc_dPWC87cgPke6mVdh6ewx1w_15_1"/>
      <w:bookmarkStart w:id="1327" w:name="Tc_OfT3Mbr_U0-Is-yZsaKMgA_15_0"/>
      <w:bookmarkStart w:id="1328" w:name="Tc_BFHUaPhQxEuRGy6rytL0Lg_14_0"/>
      <w:bookmarkStart w:id="1329" w:name="Tc_ZHqklPpRbEyPJAVPD_uNVQ_12_0"/>
      <w:bookmarkStart w:id="1330" w:name="Tc_JxFFM79_MEeA7WWId6y8Dg_11_7"/>
      <w:bookmarkStart w:id="1331" w:name="Tc_0r5LxMs2DUu7GJQhaEHNzQ_11_4"/>
      <w:bookmarkStart w:id="1332" w:name="Tc_LftLtE4sqUmQ6Wtjm7P6AA_11_1"/>
      <w:bookmarkStart w:id="1333" w:name="Tc_w9aDtpHYE0qgvvpwiOCsAQ_11_0"/>
      <w:bookmarkStart w:id="1334" w:name="Tc_shMmn0JLv0ClGo5gynUbEA_10_0"/>
      <w:bookmarkStart w:id="1335" w:name="Tc_NWe9jRMGC0iHm2IDLPwLSQ_8_0"/>
      <w:bookmarkStart w:id="1336" w:name="Tc_D_PT3DuVX0C95DgGRqaYBA_7_7"/>
      <w:bookmarkStart w:id="1337" w:name="Tc_5rnnPj--s0apg3rMVrh3NA_7_4"/>
      <w:bookmarkStart w:id="1338" w:name="Tc_b-cLrZpPAkWU1qM38oBKqA_7_1"/>
      <w:bookmarkStart w:id="1339" w:name="Tc_G2rbzYawEUq5miznGtmvGg_7_0"/>
      <w:bookmarkStart w:id="1340" w:name="Tc_4S9YdbWELkShLvrxbsdq7Q_6_0"/>
      <w:bookmarkStart w:id="1341" w:name="Tc_LrhZWWGF6Uuhut65mnNXag_4_0"/>
      <w:bookmarkStart w:id="1342" w:name="Tc_qbUX8IAhKkmEOhq8-6p6oQ_3_7"/>
      <w:bookmarkStart w:id="1343" w:name="Tc_3iaOIG3hJEOti92qaM7vYg_3_4"/>
      <w:bookmarkStart w:id="1344" w:name="Tc_zbExGe-8KkOFSf9KS9UZew_3_1"/>
      <w:bookmarkStart w:id="1345" w:name="Tc_YuNny3g-sUiPqxjsUs8lVA_3_0"/>
      <w:bookmarkStart w:id="1346" w:name="Tc_GUAdGXwi5UWXQGmELRM3XQ_2_8"/>
      <w:bookmarkStart w:id="1347" w:name="Tc_CL5BI6ribk2LnRcIO_a4UQ_2_5"/>
      <w:bookmarkStart w:id="1348" w:name="Tc_ez5NhTz4CUai0Q879xYQpQ_2_2"/>
      <w:bookmarkStart w:id="1349" w:name="Tc_v8p4oy2y4ECewdEx5JIlSw_2_0"/>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r>
        <w:rPr>
          <w:rFonts w:ascii="Times New Roman;Times;serif" w:hAnsi="Times New Roman;Times;serif"/>
          <w:sz w:val="20"/>
        </w:rPr>
        <w:t xml:space="preserve">Accounting Standards Codification (“ASC”) 350-40, </w:t>
      </w:r>
      <w:r>
        <w:rPr>
          <w:rFonts w:ascii="Times New Roman;Times;serif" w:hAnsi="Times New Roman;Times;serif"/>
          <w:i/>
          <w:sz w:val="20"/>
        </w:rPr>
        <w:t>Goodwill and Other, Internal-Use Software</w:t>
      </w:r>
      <w:r>
        <w:rPr>
          <w:rFonts w:ascii="Times New Roman;Times;serif" w:hAnsi="Times New Roman;Times;serif"/>
          <w:sz w:val="20"/>
        </w:rPr>
        <w:t xml:space="preserve"> (“ASC 350-40”). Management determined that these software implementation costs were subject to the internal-use software guidance under ASC 350-40 and appropriately capitalized these implementation costs in accordance with this guidance. Although the costs were correctly capitalized, they were incorrectly presented as property and equipment in the consolidated balance sheets, and as property and equipment additions in the consolidated statements of cash flows.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assessed the materiality of this presentation on prior period consolidated financial statements in accordance with the SEC Staff Accounting Bulletin No. 99, “Materiality,” codified in ASC Topic 250, Accounting Changes and Error Corrections (“ASC 250”). Based on this assessment, management concluded that the error correction is not material to any previously presented interim or annual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effect on the consolidated balance sheets is as follows:</w:t>
      </w:r>
    </w:p>
    <w:p>
      <w:pPr>
        <w:pStyle w:val="TextBody"/>
        <w:bidi w:val="0"/>
        <w:spacing w:before="0" w:after="0"/>
        <w:ind w:left="0" w:right="0" w:hanging="0"/>
        <w:jc w:val="left"/>
        <w:rPr/>
      </w:pPr>
      <w:r>
        <w:rPr/>
        <w:t>​</w:t>
      </w:r>
    </w:p>
    <w:tbl>
      <w:tblPr>
        <w:tblW w:w="8670" w:type="dxa"/>
        <w:jc w:val="left"/>
        <w:tblInd w:w="0" w:type="dxa"/>
        <w:tblLayout w:type="fixed"/>
        <w:tblCellMar>
          <w:top w:w="0" w:type="dxa"/>
          <w:left w:w="0" w:type="dxa"/>
          <w:bottom w:w="0" w:type="dxa"/>
          <w:right w:w="0" w:type="dxa"/>
        </w:tblCellMar>
      </w:tblPr>
      <w:tblGrid>
        <w:gridCol w:w="4771"/>
        <w:gridCol w:w="211"/>
        <w:gridCol w:w="1141"/>
        <w:gridCol w:w="109"/>
        <w:gridCol w:w="211"/>
        <w:gridCol w:w="841"/>
        <w:gridCol w:w="109"/>
        <w:gridCol w:w="211"/>
        <w:gridCol w:w="1066"/>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029585" cy="175260"/>
                      <wp:effectExtent l="0" t="0" r="0" b="0"/>
                      <wp:wrapNone/>
                      <wp:docPr id="75" name="Frame75"/>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24535" cy="175260"/>
                      <wp:effectExtent l="0" t="0" r="0" b="0"/>
                      <wp:wrapNone/>
                      <wp:docPr id="77" name="Frame7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34035" cy="175260"/>
                      <wp:effectExtent l="0" t="0" r="0" b="0"/>
                      <wp:wrapNone/>
                      <wp:docPr id="80" name="Frame8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76910" cy="175260"/>
                      <wp:effectExtent l="0" t="0" r="0" b="0"/>
                      <wp:wrapNone/>
                      <wp:docPr id="83" name="Frame8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2021</w:t>
            </w:r>
          </w:p>
        </w:tc>
        <w:tc>
          <w:tcPr>
            <w:tcW w:w="211"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Reported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Revision</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Revised</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of accumulated depreciation</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96,710</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3,580</w:t>
            </w:r>
          </w:p>
        </w:tc>
      </w:tr>
      <w:tr>
        <w:trPr/>
        <w:tc>
          <w:tcPr>
            <w:tcW w:w="47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March 31, 2022 (unaudited)</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of accumulated depreciation</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97,586</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7,800</w:t>
            </w:r>
          </w:p>
        </w:tc>
      </w:tr>
      <w:tr>
        <w:trPr/>
        <w:tc>
          <w:tcPr>
            <w:tcW w:w="47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2022 (unaudited)</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of accumulated depreciation</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98,858</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10,260</w:t>
            </w:r>
          </w:p>
        </w:tc>
      </w:tr>
      <w:tr>
        <w:trPr/>
        <w:tc>
          <w:tcPr>
            <w:tcW w:w="47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center"/>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September 30, 2022 (unaudited)</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of accumulated depreciation</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98,016</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13,529</w:t>
            </w:r>
          </w:p>
        </w:tc>
      </w:tr>
      <w:tr>
        <w:trPr/>
        <w:tc>
          <w:tcPr>
            <w:tcW w:w="47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center"/>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22,340</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243,146</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of accumulated depreciation</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101,090</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15,333</w:t>
            </w:r>
          </w:p>
        </w:tc>
      </w:tr>
      <w:tr>
        <w:trPr/>
        <w:tc>
          <w:tcPr>
            <w:tcW w:w="47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March 31, 2023 (unaudited)</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26,124</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235,023</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of accumulated depreciation</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99,502</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16,975</w:t>
            </w:r>
          </w:p>
        </w:tc>
      </w:tr>
      <w:tr>
        <w:trPr/>
        <w:tc>
          <w:tcPr>
            <w:tcW w:w="47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771"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8670" w:type="dxa"/>
            <w:gridSpan w:val="9"/>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effect on the consolidated statements of cash flows are as follows:</w:t>
            </w:r>
          </w:p>
        </w:tc>
      </w:tr>
      <w:tr>
        <w:trPr/>
        <w:tc>
          <w:tcPr>
            <w:tcW w:w="47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771"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center"/>
              <w:rPr/>
            </w:pPr>
            <w:r>
              <w:rPr/>
              <w:t>​</w:t>
            </w:r>
          </w:p>
        </w:tc>
        <w:tc>
          <w:tcPr>
            <w:tcW w:w="368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Twelve months ended December 31, 2021</w:t>
            </w:r>
          </w:p>
        </w:tc>
      </w:tr>
      <w:tr>
        <w:trPr/>
        <w:tc>
          <w:tcPr>
            <w:tcW w:w="477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Reported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Revision</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Revised</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center"/>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in operating assets and liabilities</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90,289</w:t>
            </w:r>
          </w:p>
        </w:tc>
      </w:tr>
      <w:tr>
        <w:trPr/>
        <w:tc>
          <w:tcPr>
            <w:tcW w:w="47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(33,386)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(31,706)</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(294,778)</w:t>
            </w:r>
          </w:p>
        </w:tc>
      </w:tr>
      <w:tr>
        <w:trPr/>
        <w:tc>
          <w:tcPr>
            <w:tcW w:w="47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50" w:name="Tc_68I5EZmjV0u7FeQAyM4VAA_94_0"/>
      <w:bookmarkStart w:id="1351" w:name="Tc_Mbnuq-CWmEie50eFBAkq9Q_93_0"/>
      <w:bookmarkStart w:id="1352" w:name="Tc_wI2wFcr5iEGnbQaPIOiyVA_92_0"/>
      <w:bookmarkStart w:id="1353" w:name="Tc_CBTfdQn7Ck2o3KNAXSpAkg_90_0"/>
      <w:bookmarkStart w:id="1354" w:name="Tc_y2y5yQGNj0GwvcCkPmKzug_89_0"/>
      <w:bookmarkStart w:id="1355" w:name="Tc_WZcxdojBH0upthqkwNpBeA_88_7"/>
      <w:bookmarkStart w:id="1356" w:name="Tc_r2CRCU0_zEar8b3ym9fbEw_88_4"/>
      <w:bookmarkStart w:id="1357" w:name="Tc_Yen3h9M7sUu45Z76Nm-TUg_88_1"/>
      <w:bookmarkStart w:id="1358" w:name="Tc_A_-PJm5F_0WBkg3tsVRGQQ_88_0"/>
      <w:bookmarkStart w:id="1359" w:name="Tc_iUhetUn-MUqlhO9P6LmUQg_87_0"/>
      <w:bookmarkStart w:id="1360" w:name="Tc_da8NM4Yezk2F98haRLhUIA_86_8"/>
      <w:bookmarkStart w:id="1361" w:name="Tc_a6XWAaVU-UuMhX9FNbTWoQ_86_5"/>
      <w:bookmarkStart w:id="1362" w:name="Tc_uNapl7rZd029o8o0gI2J5Q_86_2"/>
      <w:bookmarkStart w:id="1363" w:name="Tc_LQyfkVssF0GLKdzjYW4TFw_86_0"/>
      <w:bookmarkStart w:id="1364" w:name="Tc_G28MGVvZUEeVRuk7Ek--Hw_85_2"/>
      <w:bookmarkStart w:id="1365" w:name="Tc_OTskA2_K5EWoUZ8vjY7XXA_83_0"/>
      <w:bookmarkStart w:id="1366" w:name="Tc_1_Jyg3jLNEKXBhRSTappHQ_82_0"/>
      <w:bookmarkStart w:id="1367" w:name="Tc_3qAWv_r62EO5NKJlliUlSw_81_0"/>
      <w:bookmarkStart w:id="1368" w:name="Tc_3HaZ6puAxE2Se-Pzm4k4hw_79_0"/>
      <w:bookmarkStart w:id="1369" w:name="Tc_MfnlMy74JkGmWYdOGBVbAA_78_0"/>
      <w:bookmarkStart w:id="1370" w:name="Tc_eKWl-2OIzUSBLC9TC8xMvg_77_7"/>
      <w:bookmarkStart w:id="1371" w:name="Tc_wuLT1QwT9ECLIkc1GLGxXQ_77_4"/>
      <w:bookmarkStart w:id="1372" w:name="Tc_ahck9apnOEi4CPza8rQrGQ_77_1"/>
      <w:bookmarkStart w:id="1373" w:name="Tc_6D3UnotUVEu8ePeLT1-UrQ_77_0"/>
      <w:bookmarkStart w:id="1374" w:name="Tc_xriOkz_H0k6ORS96q5Ph3Q_76_0"/>
      <w:bookmarkStart w:id="1375" w:name="Tc_Wk1ZmMHKCUGLO3vimSD3wQ_75_8"/>
      <w:bookmarkStart w:id="1376" w:name="Tc_sHTikJhcbkuAX1jpz11qNw_75_5"/>
      <w:bookmarkStart w:id="1377" w:name="Tc_xeMkAqO0_UKpxWoRXROpIg_75_2"/>
      <w:bookmarkStart w:id="1378" w:name="Tc_HcWvHkTU7EmaH2-EE7vDeg_74_2"/>
      <w:bookmarkStart w:id="1379" w:name="Tc_IsZ_2bSMtEmr_NCuC4bwxQ_72_0"/>
      <w:bookmarkStart w:id="1380" w:name="Tc_vZ0p9oEQWEu4NQuG7dEtlw_71_0"/>
      <w:bookmarkStart w:id="1381" w:name="Tc_nIgK25hGrE6VHkoUPz_-hw_70_0"/>
      <w:bookmarkStart w:id="1382" w:name="Tc_ubU5p6QOJUmrYiQlDrZ-CQ_68_0"/>
      <w:bookmarkStart w:id="1383" w:name="Tc_CgukYo_HjUaPJKse0c9T9A_67_7"/>
      <w:bookmarkStart w:id="1384" w:name="Tc_8za2_C4B00mxzU-Ce1jvFw_67_4"/>
      <w:bookmarkStart w:id="1385" w:name="Tc_QJZOVRowb0CoeIrKXJewQA_67_1"/>
      <w:bookmarkStart w:id="1386" w:name="Tc_cvlmBoLVFEKrQPws89MC1A_67_0"/>
      <w:bookmarkStart w:id="1387" w:name="Tc_cytyXhNO0kCnVd-KXOKxgA_66_0"/>
      <w:bookmarkStart w:id="1388" w:name="Tc_CA0hB5lnl0SxQ-P2yfdWgg_65_8"/>
      <w:bookmarkStart w:id="1389" w:name="Tc_sjxbZICqcUGYbstoelMCTQ_65_5"/>
      <w:bookmarkStart w:id="1390" w:name="Tc_h_w-pRoQPEa35zpiHYK6EQ_65_2"/>
      <w:bookmarkStart w:id="1391" w:name="Tc_FKssMtS3YUOKFjZqeBxxNg_65_0"/>
      <w:bookmarkStart w:id="1392" w:name="Tc_VbQmKdgO_0OqQEHLRO7ZXw_64_2"/>
      <w:bookmarkStart w:id="1393" w:name="Tc_9dGl4whJfUCA0wyN5ZCYiw_62_0"/>
      <w:bookmarkStart w:id="1394" w:name="Tc_9aiI-CFCSUOevKht3DYx8w_61_0"/>
      <w:bookmarkStart w:id="1395" w:name="Tc_E4dkwSKp8026kJOqMqx_5A_60_0"/>
      <w:bookmarkStart w:id="1396" w:name="Tc_S848QZwc0UiIQg8zfHtsmA_58_0"/>
      <w:bookmarkStart w:id="1397" w:name="Tc_iLdvMgUQGE6p1Ni22Bw2SA_57_7"/>
      <w:bookmarkStart w:id="1398" w:name="Tc_jByWD34WG0OxoW-zZIVPbQ_57_4"/>
      <w:bookmarkStart w:id="1399" w:name="Tc_puKQMC-0r0GnJYqui3DkNg_57_1"/>
      <w:bookmarkStart w:id="1400" w:name="Tc_ZAjbbh2qSU-UbgHD5-A5yw_57_0"/>
      <w:bookmarkStart w:id="1401" w:name="Tc_AbxhLJA5HUeupMNjiYclsw_56_0"/>
      <w:bookmarkStart w:id="1402" w:name="Tc_WDqzQswtQE-RfTXxTMQjZQ_55_8"/>
      <w:bookmarkStart w:id="1403" w:name="Tc_fCm8OrlsJkqUVTELq4oYpA_55_5"/>
      <w:bookmarkStart w:id="1404" w:name="Tc_tVw6HRG1tEmvLAWdSQFE7Q_55_2"/>
      <w:bookmarkStart w:id="1405" w:name="Tc_gYeH7vbdn0qkKhRiC-kS9Q_55_0"/>
      <w:bookmarkStart w:id="1406" w:name="Tc_CvJtuBzGAkCN9_sVkp16Fw_54_2"/>
      <w:bookmarkStart w:id="1407" w:name="Tc_eD3QCHgk4Ui4WUDma0vVEQ_52_0"/>
      <w:bookmarkStart w:id="1408" w:name="Tc_n190v3epek-XzskGVVXaMg_51_0"/>
      <w:bookmarkStart w:id="1409" w:name="Tc__rt6_iY_QkaUxNQ9WQLRsA_50_0"/>
      <w:bookmarkStart w:id="1410" w:name="Tc_9Y4xWZa-tUyadmQm0hmECA_48_0"/>
      <w:bookmarkStart w:id="1411" w:name="Tc_AhD6isrv6UGxqhnqxTS8HA_47_7"/>
      <w:bookmarkStart w:id="1412" w:name="Tc_fQ2mop-UYkihPsWVTAqmVA_47_4"/>
      <w:bookmarkStart w:id="1413" w:name="Tc_1uimxYSCHke4cYiSnegwUg_47_1"/>
      <w:bookmarkStart w:id="1414" w:name="Tc_YdWj5WZgpEShkTKOucQciA_47_0"/>
      <w:bookmarkStart w:id="1415" w:name="Tc_F0ZcqTNdtk213mic18hQZA_46_0"/>
      <w:bookmarkStart w:id="1416" w:name="Tc_BJAvTYe7C0qKFnFWSdgdaQ_45_8"/>
      <w:bookmarkStart w:id="1417" w:name="Tc_rVjKgffUsEeCnDCyy9vAcA_45_5"/>
      <w:bookmarkStart w:id="1418" w:name="Tc_kjXLDefmDUSNTcp3gvXq_Q_45_2"/>
      <w:bookmarkStart w:id="1419" w:name="Tc_YIN8PbFo10yYfmhaUyCk8A_45_0"/>
      <w:bookmarkStart w:id="1420" w:name="Tc_ZbxxR6NW7E6dPTvLGMSgPw_44_2"/>
      <w:bookmarkStart w:id="1421" w:name="Tc_68I5EZmjV0u7FeQAyM4VAA_94_0"/>
      <w:bookmarkStart w:id="1422" w:name="Tc_Mbnuq-CWmEie50eFBAkq9Q_93_0"/>
      <w:bookmarkStart w:id="1423" w:name="Tc_wI2wFcr5iEGnbQaPIOiyVA_92_0"/>
      <w:bookmarkStart w:id="1424" w:name="Tc_CBTfdQn7Ck2o3KNAXSpAkg_90_0"/>
      <w:bookmarkStart w:id="1425" w:name="Tc_y2y5yQGNj0GwvcCkPmKzug_89_0"/>
      <w:bookmarkStart w:id="1426" w:name="Tc_WZcxdojBH0upthqkwNpBeA_88_7"/>
      <w:bookmarkStart w:id="1427" w:name="Tc_r2CRCU0_zEar8b3ym9fbEw_88_4"/>
      <w:bookmarkStart w:id="1428" w:name="Tc_Yen3h9M7sUu45Z76Nm-TUg_88_1"/>
      <w:bookmarkStart w:id="1429" w:name="Tc_A_-PJm5F_0WBkg3tsVRGQQ_88_0"/>
      <w:bookmarkStart w:id="1430" w:name="Tc_iUhetUn-MUqlhO9P6LmUQg_87_0"/>
      <w:bookmarkStart w:id="1431" w:name="Tc_da8NM4Yezk2F98haRLhUIA_86_8"/>
      <w:bookmarkStart w:id="1432" w:name="Tc_a6XWAaVU-UuMhX9FNbTWoQ_86_5"/>
      <w:bookmarkStart w:id="1433" w:name="Tc_uNapl7rZd029o8o0gI2J5Q_86_2"/>
      <w:bookmarkStart w:id="1434" w:name="Tc_LQyfkVssF0GLKdzjYW4TFw_86_0"/>
      <w:bookmarkStart w:id="1435" w:name="Tc_G28MGVvZUEeVRuk7Ek--Hw_85_2"/>
      <w:bookmarkStart w:id="1436" w:name="Tc_OTskA2_K5EWoUZ8vjY7XXA_83_0"/>
      <w:bookmarkStart w:id="1437" w:name="Tc_1_Jyg3jLNEKXBhRSTappHQ_82_0"/>
      <w:bookmarkStart w:id="1438" w:name="Tc_3qAWv_r62EO5NKJlliUlSw_81_0"/>
      <w:bookmarkStart w:id="1439" w:name="Tc_3HaZ6puAxE2Se-Pzm4k4hw_79_0"/>
      <w:bookmarkStart w:id="1440" w:name="Tc_MfnlMy74JkGmWYdOGBVbAA_78_0"/>
      <w:bookmarkStart w:id="1441" w:name="Tc_eKWl-2OIzUSBLC9TC8xMvg_77_7"/>
      <w:bookmarkStart w:id="1442" w:name="Tc_wuLT1QwT9ECLIkc1GLGxXQ_77_4"/>
      <w:bookmarkStart w:id="1443" w:name="Tc_ahck9apnOEi4CPza8rQrGQ_77_1"/>
      <w:bookmarkStart w:id="1444" w:name="Tc_6D3UnotUVEu8ePeLT1-UrQ_77_0"/>
      <w:bookmarkStart w:id="1445" w:name="Tc_xriOkz_H0k6ORS96q5Ph3Q_76_0"/>
      <w:bookmarkStart w:id="1446" w:name="Tc_Wk1ZmMHKCUGLO3vimSD3wQ_75_8"/>
      <w:bookmarkStart w:id="1447" w:name="Tc_sHTikJhcbkuAX1jpz11qNw_75_5"/>
      <w:bookmarkStart w:id="1448" w:name="Tc_xeMkAqO0_UKpxWoRXROpIg_75_2"/>
      <w:bookmarkStart w:id="1449" w:name="Tc_HcWvHkTU7EmaH2-EE7vDeg_74_2"/>
      <w:bookmarkStart w:id="1450" w:name="Tc_IsZ_2bSMtEmr_NCuC4bwxQ_72_0"/>
      <w:bookmarkStart w:id="1451" w:name="Tc_vZ0p9oEQWEu4NQuG7dEtlw_71_0"/>
      <w:bookmarkStart w:id="1452" w:name="Tc_nIgK25hGrE6VHkoUPz_-hw_70_0"/>
      <w:bookmarkStart w:id="1453" w:name="Tc_ubU5p6QOJUmrYiQlDrZ-CQ_68_0"/>
      <w:bookmarkStart w:id="1454" w:name="Tc_CgukYo_HjUaPJKse0c9T9A_67_7"/>
      <w:bookmarkStart w:id="1455" w:name="Tc_8za2_C4B00mxzU-Ce1jvFw_67_4"/>
      <w:bookmarkStart w:id="1456" w:name="Tc_QJZOVRowb0CoeIrKXJewQA_67_1"/>
      <w:bookmarkStart w:id="1457" w:name="Tc_cvlmBoLVFEKrQPws89MC1A_67_0"/>
      <w:bookmarkStart w:id="1458" w:name="Tc_cytyXhNO0kCnVd-KXOKxgA_66_0"/>
      <w:bookmarkStart w:id="1459" w:name="Tc_CA0hB5lnl0SxQ-P2yfdWgg_65_8"/>
      <w:bookmarkStart w:id="1460" w:name="Tc_sjxbZICqcUGYbstoelMCTQ_65_5"/>
      <w:bookmarkStart w:id="1461" w:name="Tc_h_w-pRoQPEa35zpiHYK6EQ_65_2"/>
      <w:bookmarkStart w:id="1462" w:name="Tc_FKssMtS3YUOKFjZqeBxxNg_65_0"/>
      <w:bookmarkStart w:id="1463" w:name="Tc_VbQmKdgO_0OqQEHLRO7ZXw_64_2"/>
      <w:bookmarkStart w:id="1464" w:name="Tc_9dGl4whJfUCA0wyN5ZCYiw_62_0"/>
      <w:bookmarkStart w:id="1465" w:name="Tc_9aiI-CFCSUOevKht3DYx8w_61_0"/>
      <w:bookmarkStart w:id="1466" w:name="Tc_E4dkwSKp8026kJOqMqx_5A_60_0"/>
      <w:bookmarkStart w:id="1467" w:name="Tc_S848QZwc0UiIQg8zfHtsmA_58_0"/>
      <w:bookmarkStart w:id="1468" w:name="Tc_iLdvMgUQGE6p1Ni22Bw2SA_57_7"/>
      <w:bookmarkStart w:id="1469" w:name="Tc_jByWD34WG0OxoW-zZIVPbQ_57_4"/>
      <w:bookmarkStart w:id="1470" w:name="Tc_puKQMC-0r0GnJYqui3DkNg_57_1"/>
      <w:bookmarkStart w:id="1471" w:name="Tc_ZAjbbh2qSU-UbgHD5-A5yw_57_0"/>
      <w:bookmarkStart w:id="1472" w:name="Tc_AbxhLJA5HUeupMNjiYclsw_56_0"/>
      <w:bookmarkStart w:id="1473" w:name="Tc_WDqzQswtQE-RfTXxTMQjZQ_55_8"/>
      <w:bookmarkStart w:id="1474" w:name="Tc_fCm8OrlsJkqUVTELq4oYpA_55_5"/>
      <w:bookmarkStart w:id="1475" w:name="Tc_tVw6HRG1tEmvLAWdSQFE7Q_55_2"/>
      <w:bookmarkStart w:id="1476" w:name="Tc_gYeH7vbdn0qkKhRiC-kS9Q_55_0"/>
      <w:bookmarkStart w:id="1477" w:name="Tc_CvJtuBzGAkCN9_sVkp16Fw_54_2"/>
      <w:bookmarkStart w:id="1478" w:name="Tc_eD3QCHgk4Ui4WUDma0vVEQ_52_0"/>
      <w:bookmarkStart w:id="1479" w:name="Tc_n190v3epek-XzskGVVXaMg_51_0"/>
      <w:bookmarkStart w:id="1480" w:name="Tc__rt6_iY_QkaUxNQ9WQLRsA_50_0"/>
      <w:bookmarkStart w:id="1481" w:name="Tc_9Y4xWZa-tUyadmQm0hmECA_48_0"/>
      <w:bookmarkStart w:id="1482" w:name="Tc_AhD6isrv6UGxqhnqxTS8HA_47_7"/>
      <w:bookmarkStart w:id="1483" w:name="Tc_fQ2mop-UYkihPsWVTAqmVA_47_4"/>
      <w:bookmarkStart w:id="1484" w:name="Tc_1uimxYSCHke4cYiSnegwUg_47_1"/>
      <w:bookmarkStart w:id="1485" w:name="Tc_YdWj5WZgpEShkTKOucQciA_47_0"/>
      <w:bookmarkStart w:id="1486" w:name="Tc_F0ZcqTNdtk213mic18hQZA_46_0"/>
      <w:bookmarkStart w:id="1487" w:name="Tc_BJAvTYe7C0qKFnFWSdgdaQ_45_8"/>
      <w:bookmarkStart w:id="1488" w:name="Tc_rVjKgffUsEeCnDCyy9vAcA_45_5"/>
      <w:bookmarkStart w:id="1489" w:name="Tc_kjXLDefmDUSNTcp3gvXq_Q_45_2"/>
      <w:bookmarkStart w:id="1490" w:name="Tc_YIN8PbFo10yYfmhaUyCk8A_45_0"/>
      <w:bookmarkStart w:id="1491" w:name="Tc_ZbxxR6NW7E6dPTvLGMSgPw_44_2"/>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p>
    <w:tbl>
      <w:tblPr>
        <w:tblW w:w="8115" w:type="dxa"/>
        <w:jc w:val="left"/>
        <w:tblInd w:w="0" w:type="dxa"/>
        <w:tblLayout w:type="fixed"/>
        <w:tblCellMar>
          <w:top w:w="0" w:type="dxa"/>
          <w:left w:w="0" w:type="dxa"/>
          <w:bottom w:w="0" w:type="dxa"/>
          <w:right w:w="0" w:type="dxa"/>
        </w:tblCellMar>
      </w:tblPr>
      <w:tblGrid>
        <w:gridCol w:w="4216"/>
        <w:gridCol w:w="211"/>
        <w:gridCol w:w="1141"/>
        <w:gridCol w:w="109"/>
        <w:gridCol w:w="211"/>
        <w:gridCol w:w="841"/>
        <w:gridCol w:w="109"/>
        <w:gridCol w:w="211"/>
        <w:gridCol w:w="1066"/>
      </w:tblGrid>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368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(unaudited)</w:t>
            </w:r>
          </w:p>
        </w:tc>
        <w:tc>
          <w:tcPr>
            <w:tcW w:w="211"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Reported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Revision</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Revised</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in operating assets and liabilities</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r>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(14,297)</w:t>
            </w:r>
          </w:p>
        </w:tc>
      </w:tr>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3688" w:type="dxa"/>
            <w:gridSpan w:val="7"/>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(unaudited)</w:t>
            </w:r>
          </w:p>
        </w:tc>
        <w:tc>
          <w:tcPr>
            <w:tcW w:w="211"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Reported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Revision</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Revised</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in operating assets and liabilities</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8,588</w:t>
            </w:r>
          </w:p>
        </w:tc>
      </w:tr>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(21,839)</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(35,182)</w:t>
            </w:r>
          </w:p>
        </w:tc>
      </w:tr>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3688" w:type="dxa"/>
            <w:gridSpan w:val="7"/>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(unaudited)</w:t>
            </w:r>
          </w:p>
        </w:tc>
        <w:tc>
          <w:tcPr>
            <w:tcW w:w="211"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Reported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Revision</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Revised</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in operating assets and liabilities</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(9,776)</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23,599</w:t>
            </w:r>
          </w:p>
        </w:tc>
      </w:tr>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(33,546)</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(50,435)</w:t>
            </w:r>
          </w:p>
        </w:tc>
      </w:tr>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3688" w:type="dxa"/>
            <w:gridSpan w:val="7"/>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Twelve months ended December 31, 2022</w:t>
            </w:r>
          </w:p>
        </w:tc>
      </w:tr>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Reported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Revision</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Revised</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in operating assets and liabilities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(11,624)</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63,848</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(45,532)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(72,048)</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368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March 31, 2023 </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(unaudited)</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Reported</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Revision</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Revised</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in operating assets and liabilities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3,491</w:t>
            </w:r>
          </w:p>
        </w:tc>
      </w:tr>
      <w:tr>
        <w:trPr/>
        <w:tc>
          <w:tcPr>
            <w:tcW w:w="42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(10,049)</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(14,297)</w:t>
            </w:r>
          </w:p>
        </w:tc>
      </w:tr>
    </w:tbl>
    <w:p>
      <w:pPr>
        <w:pStyle w:val="TextBody"/>
        <w:bidi w:val="0"/>
        <w:spacing w:lineRule="auto" w:line="309" w:before="0" w:after="0"/>
        <w:ind w:left="60" w:right="59" w:firstLine="324"/>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1492" w:name="_Hlk78445428"/>
      <w:bookmarkEnd w:id="1492"/>
      <w:r>
        <w:rPr>
          <w:rFonts w:ascii="Times New Roman;Times;serif" w:hAnsi="Times New Roman;Times;serif"/>
          <w:sz w:val="20"/>
        </w:rPr>
        <w:t>The condensed consolidated balance sheet as of December 31, 2022 and the condensed consolidated statement of cash flows for the nine months ended September 30, 2022 have been revised in this Quarterly Report on Form 10-Q. The Company intends to revise the remaining quarterly and annual amounts affected in future filings in which they appear, as applicable.</w:t>
      </w:r>
    </w:p>
    <w:p>
      <w:pPr>
        <w:pStyle w:val="TextBody"/>
        <w:bidi w:val="0"/>
        <w:spacing w:before="0" w:after="240"/>
        <w:ind w:left="0" w:right="0" w:firstLine="360"/>
        <w:jc w:val="both"/>
        <w:rPr/>
      </w:pPr>
      <w:r>
        <w:rPr/>
        <w:t xml:space="preserve">    </w:t>
      </w:r>
      <w:r>
        <w:rPr>
          <w:rFonts w:ascii="Times New Roman;Times;serif" w:hAnsi="Times New Roman;Times;serif"/>
          <w:b/>
          <w:sz w:val="20"/>
        </w:rPr>
        <w:t>Segments</w:t>
      </w:r>
    </w:p>
    <w:p>
      <w:pPr>
        <w:pStyle w:val="TextBody"/>
        <w:bidi w:val="0"/>
        <w:spacing w:lineRule="auto" w:line="309" w:before="0" w:after="0"/>
        <w:ind w:left="60" w:right="59" w:firstLine="324"/>
        <w:jc w:val="both"/>
        <w:rPr>
          <w:rFonts w:ascii="Times New Roman;Times;serif" w:hAnsi="Times New Roman;Times;serif"/>
          <w:sz w:val="20"/>
        </w:rPr>
      </w:pPr>
      <w:r>
        <w:rPr>
          <w:rFonts w:ascii="Times New Roman;Times;serif" w:hAnsi="Times New Roman;Times;serif"/>
          <w:sz w:val="20"/>
        </w:rPr>
        <w:t>The Company operates its business as one operating segment. For the three and nine months ended September 30, 2023, approximately 7% of the Company’s revenues were generated from customers located outside the U.S. For the three and nine months ended September 30, 2022, revenues generated from customers located outside the U.S. were approximately 7% and 8%, respectively. As of September 30, 2023 and December 31, 2022, $755 and $827, respectively, of the Company’s property and equipment assets were held outside the U.S.</w:t>
      </w:r>
    </w:p>
    <w:p>
      <w:pPr>
        <w:pStyle w:val="TextBody"/>
        <w:bidi w:val="0"/>
        <w:spacing w:lineRule="auto" w:line="309" w:before="0" w:after="0"/>
        <w:ind w:left="60" w:right="59" w:firstLine="324"/>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lineRule="auto" w:line="309" w:before="0" w:after="0"/>
        <w:ind w:left="60" w:right="59" w:firstLine="324"/>
        <w:jc w:val="both"/>
        <w:rPr>
          <w:rFonts w:ascii="Times New Roman;Times;serif" w:hAnsi="Times New Roman;Times;serif"/>
          <w:sz w:val="20"/>
        </w:rPr>
      </w:pPr>
      <w:r>
        <w:rPr>
          <w:rFonts w:ascii="Times New Roman;Times;serif" w:hAnsi="Times New Roman;Times;serif"/>
          <w:sz w:val="20"/>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intangible assets, and capitalized CCA software implementation costs; (viii) potential impairment of goodwill; (ix) determination of the fair value of tangible and intangible assets acquired, liabilities assumed, and consideration transferred in acquisitions; (x) amortization period of material rights and deferred commissions; (xi) Black-Scholes-Merton option pricing model (“Black-Scholes model”) input assumptions used to determine the fair value of certain stock-based compensation awards, and Employee Stock Purchase Plan (“ESPP”) purchase rights; (xii) measurement of future purchase commitment, contingent consideration liabilities, and deferred purchase consideration liabilities associated with acquisitions; and (xiii) the potential outcome of future tax consequences of events that have been recognized in the condensed consolidated financial statements or tax returns. Actual results may differ from these estimates.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Software Development Costs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 xml:space="preserve">Cloud Computing Software Implementation Costs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follows ASC 350-40, </w:t>
      </w:r>
      <w:r>
        <w:rPr>
          <w:rFonts w:ascii="Times New Roman;Times;serif" w:hAnsi="Times New Roman;Times;serif"/>
          <w:i/>
          <w:sz w:val="20"/>
        </w:rPr>
        <w:t>Goodwill and Other, Internal-Use Software,</w:t>
      </w:r>
      <w:r>
        <w:rPr>
          <w:rFonts w:ascii="Times New Roman;Times;serif" w:hAnsi="Times New Roman;Times;serif"/>
          <w:sz w:val="20"/>
        </w:rPr>
        <w:t xml:space="preserve"> to account for development costs incurred for cloud computing software implementations. ASC 350-40 requires such costs to be capitalized once certain criteria are met. Costs are primarily comprised of third-party consulting fees, direct labor, and related expenses. ASC 350-40 includes specific guidance on costs not to be capitalized, such as overhead, general and administrative and training costs.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Cloud computing software implementation costs incurred in hosting arrangements are capitalized and reported as a component of prepaid expenses and other current assets, or other assets, once available for their intended use. These costs are amortized using the straight-line method over their respective contract service periods, including periods covered by an option to extend, ranging from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Amortization expense for capitalized cloud computing implementation costs for both the three and nine month periods ended September 30, 2023 was $919 and $1,550, respectively, and is included in general and administrative expense in the condensed consolidated statements of comprehensive loss. There was no amortization expense for the three and nine month periods ended September 30, 2022.</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pPr>
      <w:bookmarkStart w:id="1493" w:name="Tc_vfVDQI_YQEWsKQLepg5SVQ_20_5"/>
      <w:bookmarkStart w:id="1494" w:name="Tc_XRdx1T7twkmcuEQNdnuK6A_20_2"/>
      <w:bookmarkStart w:id="1495" w:name="Tc_3g6kzLU93kSfe59mkb6HHA_20_0"/>
      <w:bookmarkStart w:id="1496" w:name="Tc_7aFRlfZGhEe-qe0QasuI3g_19_0"/>
      <w:bookmarkStart w:id="1497" w:name="Tc_5H6K7vV2KU-H6kuysWyzcQ_18_0"/>
      <w:bookmarkStart w:id="1498" w:name="Tc_pDYm8xIXBkSq4hPWydqfLA_17_5"/>
      <w:bookmarkStart w:id="1499" w:name="Tc_QYvhTFRQxUqFkMM9C3KHnA_17_2"/>
      <w:bookmarkStart w:id="1500" w:name="Tc_5a05l6LVukauQHZHw5T50g_17_0"/>
      <w:bookmarkStart w:id="1501" w:name="Tc_iBiylrdRT02ET7cWtPvg7A_16_0"/>
      <w:bookmarkStart w:id="1502" w:name="Tc_qqoyBnJSH0iEScn4oq4UUg_14_5"/>
      <w:bookmarkStart w:id="1503" w:name="Tc_4ozNKXaUYEikGWC8sqJ7yw_14_2"/>
      <w:bookmarkStart w:id="1504" w:name="Tc_MmLfK_8dLUKc450Kh6iyqQ_14_0"/>
      <w:bookmarkStart w:id="1505" w:name="Tc_Bh0vwO3g1kmL2zsyAj3g3w_13_0"/>
      <w:bookmarkStart w:id="1506" w:name="Tc_4WpmGxCA4U-MWON6g1GfMw_12_5"/>
      <w:bookmarkStart w:id="1507" w:name="Tc_Oi-z8ZPudUK5n2yl93Xztw_12_2"/>
      <w:bookmarkStart w:id="1508" w:name="Tc_a2h8i2lvNEyGX1oko1-jKA_12_0"/>
      <w:bookmarkStart w:id="1509" w:name="Tc_hmrTlMddFUa6L-F4G8LOgg_11_0"/>
      <w:bookmarkStart w:id="1510" w:name="Tc_02K2JDaRmUWMh-QvW9CHfQ_9_5"/>
      <w:bookmarkStart w:id="1511" w:name="Tc_wCu41FZNvUqeNbXee3s7SA_9_2"/>
      <w:bookmarkStart w:id="1512" w:name="Tc_DRVgI7JSs0GIMjogZik5Tg_9_0"/>
      <w:bookmarkStart w:id="1513" w:name="Tc_fQLlrIB97kmfTdVN5JtPpQ_8_0"/>
      <w:bookmarkStart w:id="1514" w:name="Tc_2b_N1QHoJ0acjPmGnisS7Q_7_0"/>
      <w:bookmarkStart w:id="1515" w:name="Tc_Bvt87e5EQ06_98bEijeMBQ_6_0"/>
      <w:bookmarkStart w:id="1516" w:name="Tc_u0hY3JF63EOtskGLiuqNdg_5_5"/>
      <w:bookmarkStart w:id="1517" w:name="Tc_LuDHUKayx0yWM5L_lKnCDg_5_2"/>
      <w:bookmarkStart w:id="1518" w:name="Tc_dKA9PrR4KEKhp9_JSfwndA_5_0"/>
      <w:bookmarkStart w:id="1519" w:name="Tc_iqv7cWQbD06_i5WzMtZN5Q_4_0"/>
      <w:bookmarkStart w:id="1520" w:name="Tc_BnTVZZrXCUad-Z1PyjgbFA_3_2"/>
      <w:bookmarkStart w:id="1521" w:name="Tc_xRA2Q1rBQ0W72Xyott8iJQ_2_5"/>
      <w:bookmarkStart w:id="1522" w:name="Tc_DNb91wpiPUWzDyjJ_C5owg_2_2"/>
      <w:bookmarkStart w:id="1523" w:name="Tc_GMBqkUhmuEKs4uI9jLZWoQ_1_6"/>
      <w:bookmarkStart w:id="1524" w:name="Tc_FGJoZKu_xE-KmS-AvxMK9A_1_3"/>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Supplemental Balance Sheet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balance sheet disclosures are as follows for the respective periods:</w:t>
      </w:r>
    </w:p>
    <w:p>
      <w:pPr>
        <w:pStyle w:val="TextBody"/>
        <w:bidi w:val="0"/>
        <w:spacing w:before="0" w:after="240"/>
        <w:ind w:left="0" w:right="0" w:firstLine="360"/>
        <w:jc w:val="both"/>
        <w:rPr/>
      </w:pPr>
      <w:r>
        <w:rPr/>
        <w:t>​</w:t>
      </w:r>
    </w:p>
    <w:tbl>
      <w:tblPr>
        <w:tblW w:w="8037" w:type="dxa"/>
        <w:jc w:val="left"/>
        <w:tblInd w:w="0" w:type="dxa"/>
        <w:tblLayout w:type="fixed"/>
        <w:tblCellMar>
          <w:top w:w="0" w:type="dxa"/>
          <w:left w:w="0" w:type="dxa"/>
          <w:bottom w:w="0" w:type="dxa"/>
          <w:right w:w="0" w:type="dxa"/>
        </w:tblCellMar>
      </w:tblPr>
      <w:tblGrid>
        <w:gridCol w:w="4396"/>
        <w:gridCol w:w="326"/>
        <w:gridCol w:w="211"/>
        <w:gridCol w:w="1606"/>
        <w:gridCol w:w="146"/>
        <w:gridCol w:w="211"/>
        <w:gridCol w:w="1141"/>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791460" cy="175260"/>
                      <wp:effectExtent l="0" t="0" r="0" b="0"/>
                      <wp:wrapNone/>
                      <wp:docPr id="84" name="Frame84"/>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019810" cy="175260"/>
                      <wp:effectExtent l="0" t="0" r="0" b="0"/>
                      <wp:wrapNone/>
                      <wp:docPr id="87" name="Frame87"/>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2710" cy="175260"/>
                      <wp:effectExtent l="0" t="0" r="0" b="0"/>
                      <wp:wrapNone/>
                      <wp:docPr id="88" name="Frame8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24535" cy="175260"/>
                      <wp:effectExtent l="0" t="0" r="0" b="0"/>
                      <wp:wrapNone/>
                      <wp:docPr id="90" name="Frame9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1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Prepaid expenses and other 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5,875</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licenses and support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12,217</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22,340</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12,721</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15,333</w:t>
            </w:r>
          </w:p>
        </w:tc>
      </w:tr>
      <w:tr>
        <w:trPr/>
        <w:tc>
          <w:tcPr>
            <w:tcW w:w="43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general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contract labor and professional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17,421</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income and other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49,614</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38,234</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Recently Issued or Adopted Accounting Pronouncements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Deferred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2021, the Financial Accounting Standard Board issued ASU No. 2021-08, Business Combinations (“ASU 2021-08”). ASU 2021-08 provides specific guidance on how to recognize and measure contract assets and contract liabilities related to revenue contracts with customers acquired in a business combination. This will align the accounting for these acquired contracts to the accounting for revenue contracts originated by the acquirer and will provide more comparable information to investors and other financial statement users seeking to better understand the financial impact of these acquisitions. The Company adopted this standard effective January 1, 2023 on a prospective basis for business combinations occurring on or after this date. Although this standard does not have a material impact on the Company’s current condensed consolidated financial statements, adoption could have a material impact on the accounting for future acquisitions reflected in the Company’s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25" w:name="Tc_psA84u4utk-7TCNDw6_IRQ_5_5"/>
      <w:bookmarkStart w:id="1526" w:name="Tc_IgK-H5B08ESzu3PnyXQ5mQ_5_2"/>
      <w:bookmarkStart w:id="1527" w:name="Tc_auKWRvkdfkSNeU0-adLVvA_5_0"/>
      <w:bookmarkStart w:id="1528" w:name="Tc_ZUxQOj9z606KYC8421GSLQ_4_0"/>
      <w:bookmarkStart w:id="1529" w:name="Tc_tuwjX3ykFEyApdBsnsr41g_3_5"/>
      <w:bookmarkStart w:id="1530" w:name="Tc_6l5IGNPMJ0Wb5IXjSn0rbg_3_2"/>
      <w:bookmarkStart w:id="1531" w:name="Tc__vj22aavAUmsHPE9lXkksw_3_0"/>
      <w:bookmarkStart w:id="1532" w:name="Tc_3jkjw6efwEyLcp_nj8ivZQ_2_2"/>
      <w:bookmarkStart w:id="1533" w:name="Tc_SrVxFA8UTEezdo1uYHKAUA_1_5"/>
      <w:bookmarkStart w:id="1534" w:name="Tc_mld_nQ3TIkChGrZkQ9T_Gg_1_2"/>
      <w:bookmarkStart w:id="1535" w:name="Tc_APwN0s32Z0afBUnyqAzSKg_9_11"/>
      <w:bookmarkStart w:id="1536" w:name="Tc_d5EuexuimEiLWAjGpTMMnw_9_8"/>
      <w:bookmarkStart w:id="1537" w:name="Tc_bIEORF27j0iiVUpGorKsyA_9_5"/>
      <w:bookmarkStart w:id="1538" w:name="Tc_1mtflIs3QEGglfZwfknsqQ_9_2"/>
      <w:bookmarkStart w:id="1539" w:name="Tc_taUbqFUIs0CBdVs6wZlS_Q_9_0"/>
      <w:bookmarkStart w:id="1540" w:name="Tc_uGAQN9CI8UmBPmP-9R7cEQ_8_0"/>
      <w:bookmarkStart w:id="1541" w:name="Tc_JhQk2UU14keefSAq_vv5vw_7_0"/>
      <w:bookmarkStart w:id="1542" w:name="Tc_2k8hZJrfJkO9TBD_EMWMCw_6_0"/>
      <w:bookmarkStart w:id="1543" w:name="Tc_aFKU6oX2akK_VmTARtgsgg_5_11"/>
      <w:bookmarkStart w:id="1544" w:name="Tc_uUkZZqDfeEq31-9xGPf77g_5_8"/>
      <w:bookmarkStart w:id="1545" w:name="Tc_QG-mV5BalkiEMZOCTYEeTA_5_5"/>
      <w:bookmarkStart w:id="1546" w:name="Tc_nscP5gbwTk2hc1gn8sedbQ_5_2"/>
      <w:bookmarkStart w:id="1547" w:name="Tc_9Ll5eGl2zUuF9mcBqa9DAQ_5_0"/>
      <w:bookmarkStart w:id="1548" w:name="Tc_bPEUkmKP0Umz6_qHNgHSMA_4_0"/>
      <w:bookmarkStart w:id="1549" w:name="Tc_qv5kcVVkdkOW-feJI1IsRw_3_8"/>
      <w:bookmarkStart w:id="1550" w:name="Tc_lN5aZgWksUuwFk-oBsbPBA_3_2"/>
      <w:bookmarkStart w:id="1551" w:name="Tc_upkwuYujr0y0OT64H8YF0Q_2_11"/>
      <w:bookmarkStart w:id="1552" w:name="Tc_PYj-d2J5B0OZa6gq14gv5w_2_9"/>
      <w:bookmarkStart w:id="1553" w:name="Tc_2Iqgr14S2k-gTUXglycHfw_2_5"/>
      <w:bookmarkStart w:id="1554" w:name="Tc_l8YdIUoDYEC9kVW6RUaQKg_2_3"/>
      <w:bookmarkStart w:id="1555" w:name="Tc_8MNEf54aaE-SbAeW75BEZQ_1_8"/>
      <w:bookmarkStart w:id="1556" w:name="Tc_ba2MZHh6Zk-paNyK8rT9cQ_1_2"/>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r>
        <w:rPr>
          <w:rFonts w:ascii="Times New Roman;Times;serif" w:hAnsi="Times New Roman;Times;serif"/>
          <w:b/>
          <w:sz w:val="20"/>
        </w:rPr>
        <w:t>2.     REVENUE RECOGNITION</w:t>
      </w:r>
    </w:p>
    <w:p>
      <w:pPr>
        <w:pStyle w:val="TextBody"/>
        <w:bidi w:val="0"/>
        <w:spacing w:before="0" w:after="240"/>
        <w:ind w:left="0" w:right="0" w:firstLine="360"/>
        <w:jc w:val="left"/>
        <w:rPr>
          <w:rFonts w:ascii="Times New Roman;Times;serif" w:hAnsi="Times New Roman;Times;serif"/>
          <w:b w:val="false"/>
          <w:i/>
          <w:sz w:val="20"/>
        </w:rPr>
      </w:pPr>
      <w:r>
        <w:rPr>
          <w:rFonts w:ascii="Times New Roman;Times;serif" w:hAnsi="Times New Roman;Times;serif"/>
          <w:b w:val="false"/>
          <w:i/>
          <w:sz w:val="20"/>
        </w:rPr>
        <w:t>Disaggregation of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reflects revenue by major source for the following periods:</w:t>
      </w:r>
    </w:p>
    <w:p>
      <w:pPr>
        <w:pStyle w:val="TextBody"/>
        <w:bidi w:val="0"/>
        <w:spacing w:before="0" w:after="0"/>
        <w:ind w:left="0" w:right="0" w:hanging="0"/>
        <w:jc w:val="left"/>
        <w:rPr/>
      </w:pPr>
      <w:r>
        <w:rPr/>
        <w:t>​</w:t>
      </w:r>
    </w:p>
    <w:tbl>
      <w:tblPr>
        <w:tblW w:w="7986" w:type="dxa"/>
        <w:jc w:val="left"/>
        <w:tblInd w:w="0" w:type="dxa"/>
        <w:tblLayout w:type="fixed"/>
        <w:tblCellMar>
          <w:top w:w="0" w:type="dxa"/>
          <w:left w:w="0" w:type="dxa"/>
          <w:bottom w:w="0" w:type="dxa"/>
          <w:right w:w="0" w:type="dxa"/>
        </w:tblCellMar>
      </w:tblPr>
      <w:tblGrid>
        <w:gridCol w:w="2011"/>
        <w:gridCol w:w="326"/>
        <w:gridCol w:w="245"/>
        <w:gridCol w:w="908"/>
        <w:gridCol w:w="379"/>
        <w:gridCol w:w="245"/>
        <w:gridCol w:w="908"/>
        <w:gridCol w:w="326"/>
        <w:gridCol w:w="229"/>
        <w:gridCol w:w="850"/>
        <w:gridCol w:w="355"/>
        <w:gridCol w:w="229"/>
        <w:gridCol w:w="975"/>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76985" cy="175260"/>
                      <wp:effectExtent l="0" t="0" r="0" b="0"/>
                      <wp:wrapNone/>
                      <wp:docPr id="91" name="Frame91"/>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55575" cy="175260"/>
                      <wp:effectExtent l="0" t="0" r="0" b="0"/>
                      <wp:wrapNone/>
                      <wp:docPr id="93" name="Frame9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76580" cy="175260"/>
                      <wp:effectExtent l="0" t="0" r="0" b="0"/>
                      <wp:wrapNone/>
                      <wp:docPr id="94" name="Frame94"/>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40665" cy="175260"/>
                      <wp:effectExtent l="0" t="0" r="0" b="0"/>
                      <wp:wrapNone/>
                      <wp:docPr id="95" name="Frame95"/>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55575" cy="175260"/>
                      <wp:effectExtent l="0" t="0" r="0" b="0"/>
                      <wp:wrapNone/>
                      <wp:docPr id="96" name="Frame9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76580" cy="175260"/>
                      <wp:effectExtent l="0" t="0" r="0" b="0"/>
                      <wp:wrapNone/>
                      <wp:docPr id="97" name="Frame97"/>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5415" cy="175260"/>
                      <wp:effectExtent l="0" t="0" r="0" b="0"/>
                      <wp:wrapNone/>
                      <wp:docPr id="99" name="Frame9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39750" cy="175260"/>
                      <wp:effectExtent l="0" t="0" r="0" b="0"/>
                      <wp:wrapNone/>
                      <wp:docPr id="100" name="Frame100"/>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5425" cy="175260"/>
                      <wp:effectExtent l="0" t="0" r="0" b="0"/>
                      <wp:wrapNone/>
                      <wp:docPr id="101" name="Frame10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5415" cy="175260"/>
                      <wp:effectExtent l="0" t="0" r="0" b="0"/>
                      <wp:wrapNone/>
                      <wp:docPr id="102" name="Frame102"/>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19125" cy="175260"/>
                      <wp:effectExtent l="0" t="0" r="0" b="0"/>
                      <wp:wrapNone/>
                      <wp:docPr id="103" name="Frame103"/>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9" w:type="dxa"/>
            <w:tcBorders/>
            <w:vAlign w:val="center"/>
          </w:tcPr>
          <w:p>
            <w:pPr>
              <w:pStyle w:val="TableContents"/>
              <w:bidi w:val="0"/>
              <w:spacing w:before="0" w:after="0"/>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5" w:type="dxa"/>
            <w:tcBorders/>
            <w:vAlign w:val="center"/>
          </w:tcPr>
          <w:p>
            <w:pPr>
              <w:pStyle w:val="TableContents"/>
              <w:bidi w:val="0"/>
              <w:spacing w:before="0" w:after="0"/>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98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    </w:t>
            </w:r>
          </w:p>
        </w:tc>
        <w:tc>
          <w:tcPr>
            <w:tcW w:w="26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0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color w:val="FF0000"/>
              </w:rPr>
            </w:pPr>
            <w:r>
              <w:rPr>
                <w:color w:val="FF0000"/>
              </w:rPr>
              <w:t>​</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color w:val="FF0000"/>
              </w:rPr>
            </w:pPr>
            <w:r>
              <w:rPr>
                <w:color w:val="FF0000"/>
              </w:rPr>
              <w:t>​</w:t>
            </w:r>
          </w:p>
        </w:tc>
        <w:tc>
          <w:tcPr>
            <w:tcW w:w="355"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66,637</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62,589</w:t>
            </w:r>
          </w:p>
        </w:tc>
        <w:tc>
          <w:tcPr>
            <w:tcW w:w="326"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196,070</w:t>
            </w:r>
          </w:p>
        </w:tc>
        <w:tc>
          <w:tcPr>
            <w:tcW w:w="355"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182,320</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subscriptions</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54,648</w:t>
            </w:r>
          </w:p>
        </w:tc>
        <w:tc>
          <w:tcPr>
            <w:tcW w:w="37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43,779</w:t>
            </w:r>
          </w:p>
        </w:tc>
        <w:tc>
          <w:tcPr>
            <w:tcW w:w="326" w:type="dxa"/>
            <w:tcBorders/>
            <w:vAlign w:val="center"/>
          </w:tcPr>
          <w:p>
            <w:pPr>
              <w:pStyle w:val="TableContents"/>
              <w:bidi w:val="0"/>
              <w:spacing w:before="0" w:after="0"/>
              <w:ind w:left="0" w:right="0" w:hanging="0"/>
              <w:jc w:val="left"/>
              <w:rPr/>
            </w:pPr>
            <w:r>
              <w:rPr/>
              <w:t>    </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154,065</w:t>
            </w:r>
          </w:p>
        </w:tc>
        <w:tc>
          <w:tcPr>
            <w:tcW w:w="355"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122,267</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121,285</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106,368</w:t>
            </w:r>
          </w:p>
        </w:tc>
        <w:tc>
          <w:tcPr>
            <w:tcW w:w="326"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350,135</w:t>
            </w:r>
          </w:p>
        </w:tc>
        <w:tc>
          <w:tcPr>
            <w:tcW w:w="355"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304,587</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23,742</w:t>
            </w:r>
          </w:p>
        </w:tc>
        <w:tc>
          <w:tcPr>
            <w:tcW w:w="37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19,870</w:t>
            </w:r>
          </w:p>
        </w:tc>
        <w:tc>
          <w:tcPr>
            <w:tcW w:w="326" w:type="dxa"/>
            <w:tcBorders/>
            <w:vAlign w:val="center"/>
          </w:tcPr>
          <w:p>
            <w:pPr>
              <w:pStyle w:val="TableContents"/>
              <w:bidi w:val="0"/>
              <w:spacing w:before="0" w:after="0"/>
              <w:ind w:left="0" w:right="0" w:hanging="0"/>
              <w:jc w:val="left"/>
              <w:rPr/>
            </w:pPr>
            <w:r>
              <w:rPr/>
              <w:t>    </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67,338</w:t>
            </w:r>
          </w:p>
        </w:tc>
        <w:tc>
          <w:tcPr>
            <w:tcW w:w="355"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55,911</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145,027</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126,238</w:t>
            </w:r>
          </w:p>
        </w:tc>
        <w:tc>
          <w:tcPr>
            <w:tcW w:w="326" w:type="dxa"/>
            <w:tcBorders/>
            <w:shd w:fill="CCEEFF" w:val="clear"/>
            <w:vAlign w:val="center"/>
          </w:tcPr>
          <w:p>
            <w:pPr>
              <w:pStyle w:val="TableContents"/>
              <w:bidi w:val="0"/>
              <w:spacing w:before="0" w:after="0"/>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417,473</w:t>
            </w:r>
          </w:p>
        </w:tc>
        <w:tc>
          <w:tcPr>
            <w:tcW w:w="355"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360,498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$14,308 and $9,554 at September 30, 2023 and December 31, 2022, respectively. The allowance for potentially uncollectible accounts represents future expected credit losses over the life of the receivables based on past experience, current information and forward-looking economic considerations.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accounts receivable, net of allowance, are as follows:</w:t>
      </w:r>
    </w:p>
    <w:p>
      <w:pPr>
        <w:pStyle w:val="TextBody"/>
        <w:bidi w:val="0"/>
        <w:spacing w:before="0" w:after="0"/>
        <w:ind w:left="0" w:right="0" w:hanging="0"/>
        <w:jc w:val="left"/>
        <w:rPr/>
      </w:pPr>
      <w:r>
        <w:rPr/>
        <w:t>​</w:t>
      </w:r>
    </w:p>
    <w:tbl>
      <w:tblPr>
        <w:tblW w:w="9189" w:type="dxa"/>
        <w:jc w:val="left"/>
        <w:tblInd w:w="0" w:type="dxa"/>
        <w:tblLayout w:type="fixed"/>
        <w:tblCellMar>
          <w:top w:w="0" w:type="dxa"/>
          <w:left w:w="0" w:type="dxa"/>
          <w:bottom w:w="0" w:type="dxa"/>
          <w:right w:w="0" w:type="dxa"/>
        </w:tblCellMar>
      </w:tblPr>
      <w:tblGrid>
        <w:gridCol w:w="2491"/>
        <w:gridCol w:w="109"/>
        <w:gridCol w:w="744"/>
        <w:gridCol w:w="2766"/>
        <w:gridCol w:w="109"/>
        <w:gridCol w:w="603"/>
        <w:gridCol w:w="2367"/>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81785" cy="175260"/>
                      <wp:effectExtent l="0" t="0" r="0" b="0"/>
                      <wp:wrapNone/>
                      <wp:docPr id="104" name="Frame104"/>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72440" cy="175260"/>
                      <wp:effectExtent l="0" t="0" r="0" b="0"/>
                      <wp:wrapNone/>
                      <wp:docPr id="106" name="Frame106"/>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756410" cy="175260"/>
                      <wp:effectExtent l="0" t="0" r="0" b="0"/>
                      <wp:wrapNone/>
                      <wp:docPr id="107" name="Frame107"/>
                      <a:graphic xmlns:a="http://schemas.openxmlformats.org/drawingml/2006/main">
                        <a:graphicData uri="http://schemas.microsoft.com/office/word/2010/wordprocessingShape">
                          <wps:wsp>
                            <wps:cNvSpPr txBox="1"/>
                            <wps:spPr>
                              <a:xfrm>
                                <a:off x="0" y="0"/>
                                <a:ext cx="175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82905" cy="175260"/>
                      <wp:effectExtent l="0" t="0" r="0" b="0"/>
                      <wp:wrapNone/>
                      <wp:docPr id="109" name="Frame109"/>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503045" cy="175260"/>
                      <wp:effectExtent l="0" t="0" r="0" b="0"/>
                      <wp:wrapNone/>
                      <wp:docPr id="110" name="Frame110"/>
                      <a:graphic xmlns:a="http://schemas.openxmlformats.org/drawingml/2006/main">
                        <a:graphicData uri="http://schemas.microsoft.com/office/word/2010/wordprocessingShape">
                          <wps:wsp>
                            <wps:cNvSpPr txBox="1"/>
                            <wps:spPr>
                              <a:xfrm>
                                <a:off x="0" y="0"/>
                                <a:ext cx="150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5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2023</w:t>
            </w:r>
          </w:p>
        </w:tc>
        <w:tc>
          <w:tcPr>
            <w:tcW w:w="109" w:type="dxa"/>
            <w:tcBorders/>
            <w:vAlign w:val="center"/>
          </w:tcPr>
          <w:p>
            <w:pPr>
              <w:pStyle w:val="TableContents"/>
              <w:bidi w:val="0"/>
              <w:spacing w:before="0" w:after="1"/>
              <w:ind w:left="0" w:right="0" w:hanging="0"/>
              <w:jc w:val="center"/>
              <w:rPr/>
            </w:pPr>
            <w:r>
              <w:rPr/>
              <w:t>​</w:t>
            </w:r>
          </w:p>
        </w:tc>
        <w:tc>
          <w:tcPr>
            <w:tcW w:w="29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5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603" w:type="dxa"/>
            <w:tcBorders/>
            <w:vAlign w:val="center"/>
          </w:tcPr>
          <w:p>
            <w:pPr>
              <w:pStyle w:val="TableContents"/>
              <w:bidi w:val="0"/>
              <w:spacing w:before="0" w:after="1"/>
              <w:ind w:left="0" w:right="0" w:hanging="0"/>
              <w:jc w:val="center"/>
              <w:rPr/>
            </w:pPr>
            <w:r>
              <w:rPr/>
              <w:t>​</w:t>
            </w:r>
          </w:p>
        </w:tc>
        <w:tc>
          <w:tcPr>
            <w:tcW w:w="2367" w:type="dxa"/>
            <w:tcBorders/>
            <w:vAlign w:val="center"/>
          </w:tcPr>
          <w:p>
            <w:pPr>
              <w:pStyle w:val="TableContents"/>
              <w:bidi w:val="0"/>
              <w:spacing w:before="0" w:after="1"/>
              <w:ind w:left="0" w:right="0" w:hanging="0"/>
              <w:jc w:val="center"/>
              <w:rPr/>
            </w:pPr>
            <w:r>
              <w:rPr/>
              <w:t>​</w:t>
            </w:r>
          </w:p>
        </w:tc>
      </w:tr>
      <w:tr>
        <w:trPr/>
        <w:tc>
          <w:tcPr>
            <w:tcW w:w="24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7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102,885</w:t>
            </w:r>
          </w:p>
        </w:tc>
        <w:tc>
          <w:tcPr>
            <w:tcW w:w="109" w:type="dxa"/>
            <w:tcBorders/>
            <w:shd w:fill="CCEEFF" w:val="clear"/>
            <w:vAlign w:val="center"/>
          </w:tcPr>
          <w:p>
            <w:pPr>
              <w:pStyle w:val="TableContents"/>
              <w:bidi w:val="0"/>
              <w:spacing w:before="0" w:after="1"/>
              <w:ind w:left="0" w:right="0" w:hanging="0"/>
              <w:jc w:val="left"/>
              <w:rPr/>
            </w:pPr>
            <w:r>
              <w:rPr/>
              <w:t>​</w:t>
            </w:r>
          </w:p>
        </w:tc>
        <w:tc>
          <w:tcPr>
            <w:tcW w:w="6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76,929</w:t>
            </w:r>
          </w:p>
        </w:tc>
      </w:tr>
      <w:tr>
        <w:trPr/>
        <w:tc>
          <w:tcPr>
            <w:tcW w:w="24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1"/>
              <w:ind w:left="0" w:right="0" w:hanging="0"/>
              <w:jc w:val="left"/>
              <w:rPr/>
            </w:pPr>
            <w:r>
              <w:rPr/>
              <w:t>​</w:t>
            </w:r>
          </w:p>
        </w:tc>
        <w:tc>
          <w:tcPr>
            <w:tcW w:w="7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129,018</w:t>
            </w:r>
          </w:p>
        </w:tc>
        <w:tc>
          <w:tcPr>
            <w:tcW w:w="109" w:type="dxa"/>
            <w:tcBorders/>
            <w:vAlign w:val="center"/>
          </w:tcPr>
          <w:p>
            <w:pPr>
              <w:pStyle w:val="TableContents"/>
              <w:bidi w:val="0"/>
              <w:spacing w:before="0" w:after="1"/>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3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102,885</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net</w:t>
            </w:r>
          </w:p>
        </w:tc>
        <w:tc>
          <w:tcPr>
            <w:tcW w:w="109" w:type="dxa"/>
            <w:tcBorders/>
            <w:shd w:fill="CCEEFF" w:val="clear"/>
            <w:vAlign w:val="center"/>
          </w:tcPr>
          <w:p>
            <w:pPr>
              <w:pStyle w:val="TableContents"/>
              <w:bidi w:val="0"/>
              <w:spacing w:before="0" w:after="1"/>
              <w:ind w:left="0" w:right="0" w:hanging="0"/>
              <w:jc w:val="left"/>
              <w:rPr/>
            </w:pPr>
            <w:r>
              <w:rPr/>
              <w:t>​</w:t>
            </w:r>
          </w:p>
        </w:tc>
        <w:tc>
          <w:tcPr>
            <w:tcW w:w="7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26,133</w:t>
            </w:r>
          </w:p>
        </w:tc>
        <w:tc>
          <w:tcPr>
            <w:tcW w:w="109" w:type="dxa"/>
            <w:tcBorders/>
            <w:shd w:fill="CCEEFF" w:val="clear"/>
            <w:vAlign w:val="center"/>
          </w:tcPr>
          <w:p>
            <w:pPr>
              <w:pStyle w:val="TableContents"/>
              <w:bidi w:val="0"/>
              <w:spacing w:before="0" w:after="1"/>
              <w:ind w:left="0" w:right="0" w:hanging="0"/>
              <w:jc w:val="left"/>
              <w:rPr/>
            </w:pPr>
            <w:r>
              <w:rPr/>
              <w:t>​</w:t>
            </w:r>
          </w:p>
        </w:tc>
        <w:tc>
          <w:tcPr>
            <w:tcW w:w="6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6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25,956</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 contract liability is recorded as deferred revenue on the condensed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$10,472 and $7,133 at September 30, 2023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557" w:name="Tc_XCJII6n8_EWUdadatG4w6g_8_11"/>
      <w:bookmarkStart w:id="1558" w:name="Tc_juorjOG2AE61PwrDrO65NQ_8_8"/>
      <w:bookmarkStart w:id="1559" w:name="Tc_3YtpqzooQ0uKvdDQUvqhyg_8_5"/>
      <w:bookmarkStart w:id="1560" w:name="Tc_WchHF_m84Uiz3Zv1JH-mfw_8_2"/>
      <w:bookmarkStart w:id="1561" w:name="Tc_Rvwy7rdhOU6s77jVGaOxgg_8_0"/>
      <w:bookmarkStart w:id="1562" w:name="Tc_TamkD93akEe9wkewi2A2dg_7_0"/>
      <w:bookmarkStart w:id="1563" w:name="Tc_G_V-ZsEvuEq-_ip7z48A2A_6_0"/>
      <w:bookmarkStart w:id="1564" w:name="Tc_fyLo4PI6cUyNvRJv7PBsnw_5_11"/>
      <w:bookmarkStart w:id="1565" w:name="Tc_SAhFzG8370yOJ65nDXltfA_5_8"/>
      <w:bookmarkStart w:id="1566" w:name="Tc_nBgynpg4A0Sn-lsrBX3zKg_5_5"/>
      <w:bookmarkStart w:id="1567" w:name="Tc_dvW6e2jZsU66Ho2zPb0FYg_5_2"/>
      <w:bookmarkStart w:id="1568" w:name="Tc_nOVhKoc_LE69E8gGfi-6Pw_5_0"/>
      <w:bookmarkStart w:id="1569" w:name="Tc_Jlpv6Z-DFEiGzQRIec0N3Q_4_0"/>
      <w:bookmarkStart w:id="1570" w:name="Tc_vzYZtZk3mU6ZBearjQPw6g_3_8"/>
      <w:bookmarkStart w:id="1571" w:name="Tc_VAoaYhi_yUCsvAaY9hcMRQ_3_2"/>
      <w:bookmarkStart w:id="1572" w:name="Tc_e4dGpOEnnUa_k8dlsE-0ow_2_11"/>
      <w:bookmarkStart w:id="1573" w:name="Tc_N_yiggOGlEKfBbCQYi6QYQ_2_8"/>
      <w:bookmarkStart w:id="1574" w:name="Tc_EMud8xgfWEWeBNIleHv40A_2_5"/>
      <w:bookmarkStart w:id="1575" w:name="Tc_fafxK8myQ06KPwYLrUrOVg_2_2"/>
      <w:bookmarkStart w:id="1576" w:name="Tc_QGQQ772bLEy-bKssKLiABw_1_8"/>
      <w:bookmarkStart w:id="1577" w:name="Tc_ZdqT4cPeQkONiuZun9m6pQ_1_2"/>
      <w:bookmarkStart w:id="1578" w:name="_322db969_9af5_4826_a799_82c46ebd4e82"/>
      <w:bookmarkStart w:id="1579" w:name="Tc_FnJ676vx9kO_AjA-hKC0mQ_7_5"/>
      <w:bookmarkStart w:id="1580" w:name="Tc_eD_-LGgL2kCqOpevZrNXwA_7_2"/>
      <w:bookmarkStart w:id="1581" w:name="Tc_0Hm50M5rC0io4JDI-3cViQ_7_0"/>
      <w:bookmarkStart w:id="1582" w:name="Tc_IcPadW8cvEeJj2Lu9y0O2A_6_0"/>
      <w:bookmarkStart w:id="1583" w:name="Tc_03M156cf8kiu2cOMFG-JRg_5_5"/>
      <w:bookmarkStart w:id="1584" w:name="Tc_Nj7gJql-oE-yKTc5Dj0mGQ_5_2"/>
      <w:bookmarkStart w:id="1585" w:name="Tc_ckzCRZe0KUOBU8NZop-FmQ_5_0"/>
      <w:bookmarkStart w:id="1586" w:name="Tc_LMIma9yX90qRhYhxwuO_GQ_4_0"/>
      <w:bookmarkStart w:id="1587" w:name="Tc_7Ou-oldLzkeYOATPgYztEQ_3_2"/>
      <w:bookmarkStart w:id="1588" w:name="Tc_6i0_mEbeNEuaaXI5Z_A1qw_2_5"/>
      <w:bookmarkStart w:id="1589" w:name="Tc_EYqMWMP830eaF40UWvXXnA_2_2"/>
      <w:bookmarkStart w:id="1590" w:name="Tc_1oA4VS5qa0yRXvgd_tub-w_1_5"/>
      <w:bookmarkStart w:id="1591" w:name="Tc_tnaoKZdHL0C8-xg3CMso9g_1_2"/>
      <w:bookmarkStart w:id="1592" w:name="_321c5f80_3bf1_41d3_a355_0e152e66fc52"/>
      <w:bookmarkStart w:id="1593" w:name="Tc_r_kYbjAvB0muqdxRF_ff5g_23_11"/>
      <w:bookmarkStart w:id="1594" w:name="Tc_7FlCXNQTVkif2QWH56phpA_23_5"/>
      <w:bookmarkStart w:id="1595" w:name="Tc_Lb1Rt12MTUqfHDFLx8e1pg_23_0"/>
      <w:bookmarkStart w:id="1596" w:name="Tc_XLXLr9UGJ0m62HZh2983Lw_22_0"/>
      <w:bookmarkStart w:id="1597" w:name="Tc_qZZPXrCP30CfGLrQYFFdjg_21_0"/>
      <w:bookmarkStart w:id="1598" w:name="Tc_Dj_DcfJEckmdIz8U8wX-Bg_20_0"/>
      <w:bookmarkStart w:id="1599" w:name="Tc_hO1CG-PzIEGPD8EjeIKKYQ_19_11"/>
      <w:bookmarkStart w:id="1600" w:name="Tc_OIWGa7nUzkG2NkDRYsMPlg_19_5"/>
      <w:bookmarkStart w:id="1601" w:name="Tc_btt1wOivY0KkVyKBKDOB3A_19_0"/>
      <w:bookmarkStart w:id="1602" w:name="Tc_wYONWuw3Q0O5wJxcYPOBdQ_18_0"/>
      <w:bookmarkStart w:id="1603" w:name="Tc_842kwvkKSkyVCTug7zaZmQ_17_8"/>
      <w:bookmarkStart w:id="1604" w:name="Tc_-McFNiudwEmeqviyOT1-SQ_17_2"/>
      <w:bookmarkStart w:id="1605" w:name="Tc_QKjgzCJKCkKRe6WbTz9qfg_17_0"/>
      <w:bookmarkStart w:id="1606" w:name="Tc_-pn4QGbV3EWcC7p5rbqyeA_16_2"/>
      <w:bookmarkStart w:id="1607" w:name="Tc_tdoFfLH4MUeAJH4VfoAxeA_15_12"/>
      <w:bookmarkStart w:id="1608" w:name="Tc_ARpPb8kZ3U2Vpr7bT-BBxw_15_8"/>
      <w:bookmarkStart w:id="1609" w:name="Tc_CedFKsxlCku1N1RIUPWWwg_15_6"/>
      <w:bookmarkStart w:id="1610" w:name="Tc_lOUKFxst7EO1s_8mwBjfyQ_15_2"/>
      <w:bookmarkStart w:id="1611" w:name="Tc_v550pXGaCEKmtLNhASsAYA_14_8"/>
      <w:bookmarkStart w:id="1612" w:name="Tc_u02PC2XEsEG5nDeUKM_6ZQ_14_2"/>
      <w:bookmarkStart w:id="1613" w:name="Tc_NiYV0MTyj0G4_ZpnBTaM5A_13_2"/>
      <w:bookmarkStart w:id="1614" w:name="Tc_G3CoRHvIy06uN_aAzwbzrw_11_11"/>
      <w:bookmarkStart w:id="1615" w:name="Tc_Jo0fPymuK0ytchyiWZ24YQ_11_5"/>
      <w:bookmarkStart w:id="1616" w:name="Tc_H1vnGeNjQEiKI-ctKLgDjQ_11_0"/>
      <w:bookmarkStart w:id="1617" w:name="Tc_t1HkjzgTSEeWCsExFs503w_10_0"/>
      <w:bookmarkStart w:id="1618" w:name="Tc_peJHw0Ugr0y-6KTYZU8X3w_9_0"/>
      <w:bookmarkStart w:id="1619" w:name="Tc_SeU69DXuKkyFYT4kAsxq4Q_8_0"/>
      <w:bookmarkStart w:id="1620" w:name="Tc_4pWBd4b9XE-CUnxF18hxBA_7_11"/>
      <w:bookmarkStart w:id="1621" w:name="Tc_bINQbik0oUOP_1UnpoRwcw_7_5"/>
      <w:bookmarkStart w:id="1622" w:name="Tc_7F_2DCizTEiV7bR4e6oCVQ_7_0"/>
      <w:bookmarkStart w:id="1623" w:name="Tc_v0BQtvtK6kib5NeF7sIRQA_6_0"/>
      <w:bookmarkStart w:id="1624" w:name="Tc_Vz9XAZrJa0C6zM4WSKr-UQ_5_8"/>
      <w:bookmarkStart w:id="1625" w:name="Tc_lQbwEUwHf0WmbHeoLZ4l1Q_5_2"/>
      <w:bookmarkStart w:id="1626" w:name="Tc_YjlvxWfJT0quSoCAHYZCRQ_5_0"/>
      <w:bookmarkStart w:id="1627" w:name="Tc_PGHTq5jyTU-n0olReM--wg_4_2"/>
      <w:bookmarkStart w:id="1628" w:name="Tc_-g2HGSLviUKb0Hhk-z8Q3w_3_12"/>
      <w:bookmarkStart w:id="1629" w:name="Tc_vCvcSRGkr0e1evbwCXFjoQ_3_8"/>
      <w:bookmarkStart w:id="1630" w:name="Tc_nZkn7K6tXUyxRXzs7u4uCQ_3_6"/>
      <w:bookmarkStart w:id="1631" w:name="Tc_-4-yI_8D6U219S596OH3sA_3_2"/>
      <w:bookmarkStart w:id="1632" w:name="Tc_gPhmLPiz60y1h6c8cVRu7Q_2_8"/>
      <w:bookmarkStart w:id="1633" w:name="Tc_ddDAB7YCaEOQYJ0UufN61g_2_2"/>
      <w:bookmarkStart w:id="1634" w:name="Tc_hs0RN23PXEuZ9u9910WGWQ_1_2"/>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r>
        <w:rPr>
          <w:rFonts w:ascii="Times New Roman;Times;serif" w:hAnsi="Times New Roman;Times;serif"/>
          <w:sz w:val="20"/>
        </w:rPr>
        <w:t>December 31, 2022, respectively. The deferred allowance represents the portion of the allowance for subscription cancellations associated with deferred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and changes to the allowance and the deferred allowance are as follows:</w:t>
      </w:r>
    </w:p>
    <w:p>
      <w:pPr>
        <w:pStyle w:val="TextBody"/>
        <w:bidi w:val="0"/>
        <w:spacing w:before="0" w:after="240"/>
        <w:ind w:left="0" w:right="0" w:firstLine="360"/>
        <w:jc w:val="both"/>
        <w:rPr/>
      </w:pPr>
      <w:r>
        <w:rPr/>
        <w:t>​</w:t>
      </w:r>
    </w:p>
    <w:tbl>
      <w:tblPr>
        <w:tblW w:w="9031" w:type="dxa"/>
        <w:jc w:val="left"/>
        <w:tblInd w:w="0" w:type="dxa"/>
        <w:tblLayout w:type="fixed"/>
        <w:tblCellMar>
          <w:top w:w="0" w:type="dxa"/>
          <w:left w:w="0" w:type="dxa"/>
          <w:bottom w:w="0" w:type="dxa"/>
          <w:right w:w="0" w:type="dxa"/>
        </w:tblCellMar>
      </w:tblPr>
      <w:tblGrid>
        <w:gridCol w:w="3646"/>
        <w:gridCol w:w="109"/>
        <w:gridCol w:w="211"/>
        <w:gridCol w:w="796"/>
        <w:gridCol w:w="326"/>
        <w:gridCol w:w="211"/>
        <w:gridCol w:w="961"/>
        <w:gridCol w:w="326"/>
        <w:gridCol w:w="211"/>
        <w:gridCol w:w="691"/>
        <w:gridCol w:w="326"/>
        <w:gridCol w:w="211"/>
        <w:gridCol w:w="100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315210" cy="175260"/>
                      <wp:effectExtent l="0" t="0" r="0" b="0"/>
                      <wp:wrapNone/>
                      <wp:docPr id="111" name="Frame111"/>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05460" cy="175260"/>
                      <wp:effectExtent l="0" t="0" r="0" b="0"/>
                      <wp:wrapNone/>
                      <wp:docPr id="114" name="Frame1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10235" cy="175260"/>
                      <wp:effectExtent l="0" t="0" r="0" b="0"/>
                      <wp:wrapNone/>
                      <wp:docPr id="117" name="Frame11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38785" cy="175260"/>
                      <wp:effectExtent l="0" t="0" r="0" b="0"/>
                      <wp:wrapNone/>
                      <wp:docPr id="120" name="Frame1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38810" cy="175260"/>
                      <wp:effectExtent l="0" t="0" r="0" b="0"/>
                      <wp:wrapNone/>
                      <wp:docPr id="123" name="Frame12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r>
      <w:tr>
        <w:trPr/>
        <w:tc>
          <w:tcPr>
            <w:tcW w:w="903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7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balance, July 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balance, September 30,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allowance balance, July 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allowance balance, September 30,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allowance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charged to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r>
      <w:tr>
        <w:trPr/>
        <w:tc>
          <w:tcPr>
            <w:tcW w:w="903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7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balance, January 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balance, September 30,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allowance balance, January 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allowance balance, September 30,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allowance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charged to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portion of deferred revenue expected to be recognized in revenue beyond one year is included in deferred revenue, net of current portion in the condensed consolidated balance sheets. The tables provide information about the balances of and changes to deferred revenue for the following periods:</w:t>
      </w:r>
    </w:p>
    <w:p>
      <w:pPr>
        <w:pStyle w:val="TextBody"/>
        <w:bidi w:val="0"/>
        <w:spacing w:before="0" w:after="0"/>
        <w:ind w:left="0" w:right="0" w:hanging="0"/>
        <w:jc w:val="left"/>
        <w:rPr/>
      </w:pPr>
      <w:r>
        <w:rPr/>
        <w:t>​</w:t>
      </w:r>
    </w:p>
    <w:tbl>
      <w:tblPr>
        <w:tblW w:w="6398" w:type="dxa"/>
        <w:jc w:val="left"/>
        <w:tblInd w:w="0" w:type="dxa"/>
        <w:tblLayout w:type="fixed"/>
        <w:tblCellMar>
          <w:top w:w="0" w:type="dxa"/>
          <w:left w:w="0" w:type="dxa"/>
          <w:bottom w:w="0" w:type="dxa"/>
          <w:right w:w="0" w:type="dxa"/>
        </w:tblCellMar>
      </w:tblPr>
      <w:tblGrid>
        <w:gridCol w:w="2536"/>
        <w:gridCol w:w="326"/>
        <w:gridCol w:w="341"/>
        <w:gridCol w:w="1264"/>
        <w:gridCol w:w="326"/>
        <w:gridCol w:w="306"/>
        <w:gridCol w:w="1299"/>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610360" cy="175260"/>
                      <wp:effectExtent l="0" t="0" r="0" b="0"/>
                      <wp:wrapNone/>
                      <wp:docPr id="124" name="Frame124"/>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6535" cy="175260"/>
                      <wp:effectExtent l="0" t="0" r="0" b="0"/>
                      <wp:wrapNone/>
                      <wp:docPr id="126" name="Frame126"/>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802640" cy="175260"/>
                      <wp:effectExtent l="0" t="0" r="0" b="0"/>
                      <wp:wrapNone/>
                      <wp:docPr id="127" name="Frame127"/>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94310" cy="175260"/>
                      <wp:effectExtent l="0" t="0" r="0" b="0"/>
                      <wp:wrapNone/>
                      <wp:docPr id="129" name="Frame129"/>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24865" cy="175260"/>
                      <wp:effectExtent l="0" t="0" r="0" b="0"/>
                      <wp:wrapNone/>
                      <wp:docPr id="130" name="Frame130"/>
                      <a:graphic xmlns:a="http://schemas.openxmlformats.org/drawingml/2006/main">
                        <a:graphicData uri="http://schemas.microsoft.com/office/word/2010/wordprocessingShape">
                          <wps:wsp>
                            <wps:cNvSpPr txBox="1"/>
                            <wps:spPr>
                              <a:xfrm>
                                <a:off x="0" y="0"/>
                                <a:ext cx="824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    </w:t>
            </w:r>
          </w:p>
        </w:tc>
        <w:tc>
          <w:tcPr>
            <w:tcW w:w="306" w:type="dxa"/>
            <w:tcBorders/>
            <w:vAlign w:val="center"/>
          </w:tcPr>
          <w:p>
            <w:pPr>
              <w:pStyle w:val="TableContents"/>
              <w:bidi w:val="0"/>
              <w:spacing w:before="0" w:after="0"/>
              <w:ind w:left="0" w:right="0" w:hanging="0"/>
              <w:jc w:val="center"/>
              <w:rPr/>
            </w:pPr>
            <w:r>
              <w:rPr/>
              <w:t>​</w:t>
            </w:r>
          </w:p>
        </w:tc>
        <w:tc>
          <w:tcPr>
            <w:tcW w:w="1299"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Balances:</w:t>
            </w:r>
          </w:p>
        </w:tc>
        <w:tc>
          <w:tcPr>
            <w:tcW w:w="32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pPr>
            <w:r>
              <w:rPr/>
              <w:t>  </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current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264,785</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268,847</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non-current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10,289</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266,815</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279,136</w:t>
            </w:r>
          </w:p>
        </w:tc>
      </w:tr>
    </w:tbl>
    <w:p>
      <w:pPr>
        <w:pStyle w:val="TextBody"/>
        <w:bidi w:val="0"/>
        <w:spacing w:before="0" w:after="0"/>
        <w:ind w:left="0" w:right="0" w:hanging="0"/>
        <w:jc w:val="left"/>
        <w:rPr/>
      </w:pPr>
      <w:r>
        <w:rPr/>
        <w:t>​</w:t>
      </w:r>
    </w:p>
    <w:tbl>
      <w:tblPr>
        <w:tblW w:w="9604" w:type="dxa"/>
        <w:jc w:val="left"/>
        <w:tblInd w:w="0" w:type="dxa"/>
        <w:tblLayout w:type="fixed"/>
        <w:tblCellMar>
          <w:top w:w="0" w:type="dxa"/>
          <w:left w:w="0" w:type="dxa"/>
          <w:bottom w:w="0" w:type="dxa"/>
          <w:right w:w="0" w:type="dxa"/>
        </w:tblCellMar>
      </w:tblPr>
      <w:tblGrid>
        <w:gridCol w:w="2491"/>
        <w:gridCol w:w="326"/>
        <w:gridCol w:w="266"/>
        <w:gridCol w:w="1139"/>
        <w:gridCol w:w="412"/>
        <w:gridCol w:w="266"/>
        <w:gridCol w:w="1139"/>
        <w:gridCol w:w="326"/>
        <w:gridCol w:w="263"/>
        <w:gridCol w:w="1125"/>
        <w:gridCol w:w="407"/>
        <w:gridCol w:w="263"/>
        <w:gridCol w:w="118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581785" cy="175260"/>
                      <wp:effectExtent l="0" t="0" r="0" b="0"/>
                      <wp:wrapNone/>
                      <wp:docPr id="131" name="Frame13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68910" cy="175260"/>
                      <wp:effectExtent l="0" t="0" r="0" b="0"/>
                      <wp:wrapNone/>
                      <wp:docPr id="133" name="Frame13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23265" cy="175260"/>
                      <wp:effectExtent l="0" t="0" r="0" b="0"/>
                      <wp:wrapNone/>
                      <wp:docPr id="134" name="Frame134"/>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61620" cy="175260"/>
                      <wp:effectExtent l="0" t="0" r="0" b="0"/>
                      <wp:wrapNone/>
                      <wp:docPr id="135" name="Frame135"/>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68910" cy="175260"/>
                      <wp:effectExtent l="0" t="0" r="0" b="0"/>
                      <wp:wrapNone/>
                      <wp:docPr id="136" name="Frame13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23265" cy="175260"/>
                      <wp:effectExtent l="0" t="0" r="0" b="0"/>
                      <wp:wrapNone/>
                      <wp:docPr id="137" name="Frame137"/>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7005" cy="175260"/>
                      <wp:effectExtent l="0" t="0" r="0" b="0"/>
                      <wp:wrapNone/>
                      <wp:docPr id="139" name="Frame13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14375" cy="175260"/>
                      <wp:effectExtent l="0" t="0" r="0" b="0"/>
                      <wp:wrapNone/>
                      <wp:docPr id="140" name="Frame140"/>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58445" cy="175260"/>
                      <wp:effectExtent l="0" t="0" r="0" b="0"/>
                      <wp:wrapNone/>
                      <wp:docPr id="141" name="Frame141"/>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7005" cy="175260"/>
                      <wp:effectExtent l="0" t="0" r="0" b="0"/>
                      <wp:wrapNone/>
                      <wp:docPr id="142" name="Frame14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49935" cy="175260"/>
                      <wp:effectExtent l="0" t="0" r="0" b="0"/>
                      <wp:wrapNone/>
                      <wp:docPr id="143" name="Frame143"/>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0"/>
              <w:ind w:left="0" w:right="0" w:hanging="0"/>
              <w:jc w:val="left"/>
              <w:rPr/>
            </w:pPr>
            <w:r>
              <w:rPr/>
              <w:t>​</w:t>
            </w:r>
          </w:p>
        </w:tc>
        <w:tc>
          <w:tcPr>
            <w:tcW w:w="32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September 30,  </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2" w:type="dxa"/>
            <w:tcBorders/>
            <w:vAlign w:val="center"/>
          </w:tcPr>
          <w:p>
            <w:pPr>
              <w:pStyle w:val="TableContents"/>
              <w:bidi w:val="0"/>
              <w:spacing w:before="0" w:after="0"/>
              <w:ind w:left="0" w:right="0" w:hanging="0"/>
              <w:jc w:val="left"/>
              <w:rPr/>
            </w:pPr>
            <w:r>
              <w:rPr/>
              <w:t>​</w:t>
            </w:r>
          </w:p>
        </w:tc>
        <w:tc>
          <w:tcPr>
            <w:tcW w:w="14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3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7" w:type="dxa"/>
            <w:tcBorders/>
            <w:vAlign w:val="center"/>
          </w:tcPr>
          <w:p>
            <w:pPr>
              <w:pStyle w:val="TableContents"/>
              <w:bidi w:val="0"/>
              <w:spacing w:before="0" w:after="0"/>
              <w:ind w:left="0" w:right="0" w:hanging="0"/>
              <w:jc w:val="left"/>
              <w:rPr/>
            </w:pPr>
            <w:r>
              <w:rPr/>
              <w:t>​</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60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323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4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to deferred revenue:</w:t>
            </w:r>
          </w:p>
        </w:tc>
        <w:tc>
          <w:tcPr>
            <w:tcW w:w="32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pPr>
            <w:r>
              <w:rPr/>
              <w:t>  </w:t>
            </w:r>
          </w:p>
        </w:tc>
        <w:tc>
          <w:tcPr>
            <w:tcW w:w="407"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right"/>
              <w:rPr/>
            </w:pPr>
            <w:r>
              <w:rPr/>
              <w:t>  </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277,053</w:t>
            </w:r>
          </w:p>
        </w:tc>
        <w:tc>
          <w:tcPr>
            <w:tcW w:w="412"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255,074</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279,136</w:t>
            </w:r>
          </w:p>
        </w:tc>
        <w:tc>
          <w:tcPr>
            <w:tcW w:w="407"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249,010</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amounts deferred</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134,789</w:t>
            </w:r>
          </w:p>
        </w:tc>
        <w:tc>
          <w:tcPr>
            <w:tcW w:w="41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124,899</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405,152</w:t>
            </w:r>
          </w:p>
        </w:tc>
        <w:tc>
          <w:tcPr>
            <w:tcW w:w="407"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365,223</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recognized</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(145,027)</w:t>
            </w:r>
          </w:p>
        </w:tc>
        <w:tc>
          <w:tcPr>
            <w:tcW w:w="412"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(126,238)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(417,473)</w:t>
            </w:r>
          </w:p>
        </w:tc>
        <w:tc>
          <w:tcPr>
            <w:tcW w:w="407"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(360,498)</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266,815</w:t>
            </w:r>
          </w:p>
        </w:tc>
        <w:tc>
          <w:tcPr>
            <w:tcW w:w="412"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253,735</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266,815</w:t>
            </w:r>
          </w:p>
        </w:tc>
        <w:tc>
          <w:tcPr>
            <w:tcW w:w="407"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253,735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val="false"/>
          <w:i/>
          <w:sz w:val="20"/>
        </w:rPr>
      </w:pPr>
      <w:bookmarkStart w:id="1635" w:name="Tc_4B99jnHD60KM6CRAQZ-3wg_8_11"/>
      <w:bookmarkStart w:id="1636" w:name="Tc_MrHkKXeABUyuq2_24vst3g_8_8"/>
      <w:bookmarkStart w:id="1637" w:name="Tc_TlF7cV-YQEaipHPBswStQA_8_5"/>
      <w:bookmarkStart w:id="1638" w:name="Tc_h-cjCZgSa0-CDy5fSR4YJA_8_2"/>
      <w:bookmarkStart w:id="1639" w:name="Tc_wS9zHxklMku1feGyLv7-TA_8_0"/>
      <w:bookmarkStart w:id="1640" w:name="Tc_gs9oFl0V9E-bbFfEbhVBVQ_7_0"/>
      <w:bookmarkStart w:id="1641" w:name="Tc_XGYpSvFsP0y8jE6UKH6-1w_6_0"/>
      <w:bookmarkStart w:id="1642" w:name="Tc_N1fxZQo0TkyLaT8k1mp0QA_5_11"/>
      <w:bookmarkStart w:id="1643" w:name="Tc_1pqkY2xSXkC5YddqG3VTHA_5_8"/>
      <w:bookmarkStart w:id="1644" w:name="Tc_TS1xf2LULEy893awl0-sxQ_5_5"/>
      <w:bookmarkStart w:id="1645" w:name="Tc_fsO3586Vq0OCfPjbkxBCAQ_5_2"/>
      <w:bookmarkStart w:id="1646" w:name="Tc_y_FQ31p3UEqf2ctua4wvZg_5_0"/>
      <w:bookmarkStart w:id="1647" w:name="Tc_qRbaOQIwrEm2mvpn3qdm0A_4_0"/>
      <w:bookmarkStart w:id="1648" w:name="Tc_AI5S5BX6EkKEemWRj2VwOw_3_8"/>
      <w:bookmarkStart w:id="1649" w:name="Tc_MRc77J1cX0K6WEqmMQ1YOQ_3_2"/>
      <w:bookmarkStart w:id="1650" w:name="Tc_UFMhH1OS_k2uBI3hZCrFUQ_2_11"/>
      <w:bookmarkStart w:id="1651" w:name="Tc_2mfx-CvEYE6RFm46fkD5eQ_2_8"/>
      <w:bookmarkStart w:id="1652" w:name="Tc_AtQUNGCoVU-dRCs1H5b_cw_2_5"/>
      <w:bookmarkStart w:id="1653" w:name="Tc_D6BNKxzF10-XdAxRWpjqHA_2_2"/>
      <w:bookmarkStart w:id="1654" w:name="Tc_CN_n2RVucEOm7lyceb1L3g_1_8"/>
      <w:bookmarkStart w:id="1655" w:name="Tc_CehNO_koiEWdw1UU-sC3-w_1_2"/>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r>
        <w:rPr>
          <w:rFonts w:ascii="Times New Roman;Times;serif" w:hAnsi="Times New Roman;Times;serif"/>
          <w:b w:val="false"/>
          <w:i/>
          <w:sz w:val="20"/>
        </w:rPr>
        <w:t>Contract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loss. The Company periodically reviews these contract assets to determine whether events or changes in circumstances have occurred that could impact the period of benefit of these assets. There were no impairment losses recorded for the periods presented.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changes to contract cost balances as of and for the following periods are:</w:t>
      </w:r>
    </w:p>
    <w:p>
      <w:pPr>
        <w:pStyle w:val="TextBody"/>
        <w:bidi w:val="0"/>
        <w:spacing w:before="0" w:after="0"/>
        <w:ind w:left="0" w:right="0" w:hanging="0"/>
        <w:jc w:val="left"/>
        <w:rPr/>
      </w:pPr>
      <w:r>
        <w:rPr/>
        <w:t>​</w:t>
      </w:r>
    </w:p>
    <w:tbl>
      <w:tblPr>
        <w:tblW w:w="9079" w:type="dxa"/>
        <w:jc w:val="left"/>
        <w:tblInd w:w="0" w:type="dxa"/>
        <w:tblLayout w:type="fixed"/>
        <w:tblCellMar>
          <w:top w:w="0" w:type="dxa"/>
          <w:left w:w="0" w:type="dxa"/>
          <w:bottom w:w="0" w:type="dxa"/>
          <w:right w:w="0" w:type="dxa"/>
        </w:tblCellMar>
      </w:tblPr>
      <w:tblGrid>
        <w:gridCol w:w="1966"/>
        <w:gridCol w:w="326"/>
        <w:gridCol w:w="319"/>
        <w:gridCol w:w="1046"/>
        <w:gridCol w:w="493"/>
        <w:gridCol w:w="319"/>
        <w:gridCol w:w="1046"/>
        <w:gridCol w:w="326"/>
        <w:gridCol w:w="306"/>
        <w:gridCol w:w="1004"/>
        <w:gridCol w:w="473"/>
        <w:gridCol w:w="306"/>
        <w:gridCol w:w="1149"/>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48410" cy="175260"/>
                      <wp:effectExtent l="0" t="0" r="0" b="0"/>
                      <wp:wrapNone/>
                      <wp:docPr id="144" name="Frame144"/>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2565" cy="175260"/>
                      <wp:effectExtent l="0" t="0" r="0" b="0"/>
                      <wp:wrapNone/>
                      <wp:docPr id="146" name="Frame14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64210" cy="175260"/>
                      <wp:effectExtent l="0" t="0" r="0" b="0"/>
                      <wp:wrapNone/>
                      <wp:docPr id="147" name="Frame147"/>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13055" cy="175260"/>
                      <wp:effectExtent l="0" t="0" r="0" b="0"/>
                      <wp:wrapNone/>
                      <wp:docPr id="148" name="Frame148"/>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2565" cy="175260"/>
                      <wp:effectExtent l="0" t="0" r="0" b="0"/>
                      <wp:wrapNone/>
                      <wp:docPr id="149" name="Frame14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64210" cy="175260"/>
                      <wp:effectExtent l="0" t="0" r="0" b="0"/>
                      <wp:wrapNone/>
                      <wp:docPr id="150" name="Frame15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94310" cy="175260"/>
                      <wp:effectExtent l="0" t="0" r="0" b="0"/>
                      <wp:wrapNone/>
                      <wp:docPr id="152" name="Frame152"/>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37540" cy="175260"/>
                      <wp:effectExtent l="0" t="0" r="0" b="0"/>
                      <wp:wrapNone/>
                      <wp:docPr id="153" name="Frame153"/>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00355" cy="175260"/>
                      <wp:effectExtent l="0" t="0" r="0" b="0"/>
                      <wp:wrapNone/>
                      <wp:docPr id="154" name="Frame154"/>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94310" cy="175260"/>
                      <wp:effectExtent l="0" t="0" r="0" b="0"/>
                      <wp:wrapNone/>
                      <wp:docPr id="155" name="Frame155"/>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29615" cy="175260"/>
                      <wp:effectExtent l="0" t="0" r="0" b="0"/>
                      <wp:wrapNone/>
                      <wp:docPr id="156" name="Frame156"/>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0"/>
              <w:ind w:left="0" w:right="0" w:hanging="0"/>
              <w:jc w:val="left"/>
              <w:rPr/>
            </w:pPr>
            <w:r>
              <w:rPr/>
              <w:t>​</w:t>
            </w:r>
          </w:p>
        </w:tc>
        <w:tc>
          <w:tcPr>
            <w:tcW w:w="32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September 30,  </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93"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3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3" w:type="dxa"/>
            <w:tcBorders/>
            <w:vAlign w:val="center"/>
          </w:tcPr>
          <w:p>
            <w:pPr>
              <w:pStyle w:val="TableContents"/>
              <w:bidi w:val="0"/>
              <w:spacing w:before="0" w:after="0"/>
              <w:ind w:left="0" w:right="0" w:hanging="0"/>
              <w:jc w:val="left"/>
              <w:rPr/>
            </w:pPr>
            <w:r>
              <w:rPr/>
              <w:t>​</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07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32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commissions:</w:t>
            </w:r>
          </w:p>
        </w:tc>
        <w:tc>
          <w:tcPr>
            <w:tcW w:w="32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right"/>
              <w:rPr/>
            </w:pPr>
            <w:r>
              <w:rPr/>
              <w:t>​</w:t>
            </w:r>
          </w:p>
        </w:tc>
        <w:tc>
          <w:tcPr>
            <w:tcW w:w="1046" w:type="dxa"/>
            <w:tcBorders/>
            <w:vAlign w:val="center"/>
          </w:tcPr>
          <w:p>
            <w:pPr>
              <w:pStyle w:val="TableContents"/>
              <w:bidi w:val="0"/>
              <w:spacing w:before="0" w:after="0"/>
              <w:ind w:left="0" w:right="0" w:hanging="0"/>
              <w:jc w:val="right"/>
              <w:rPr/>
            </w:pPr>
            <w:r>
              <w:rPr/>
              <w:t>  </w:t>
            </w:r>
          </w:p>
        </w:tc>
        <w:tc>
          <w:tcPr>
            <w:tcW w:w="493"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right"/>
              <w:rPr/>
            </w:pPr>
            <w:r>
              <w:rPr/>
              <w:t>​</w:t>
            </w:r>
          </w:p>
        </w:tc>
        <w:tc>
          <w:tcPr>
            <w:tcW w:w="1004"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  </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15,921</w:t>
            </w:r>
          </w:p>
        </w:tc>
        <w:tc>
          <w:tcPr>
            <w:tcW w:w="493"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12,168</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15,463</w:t>
            </w:r>
          </w:p>
        </w:tc>
        <w:tc>
          <w:tcPr>
            <w:tcW w:w="473"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12,555</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493"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w:t>
            </w:r>
          </w:p>
        </w:tc>
        <w:tc>
          <w:tcPr>
            <w:tcW w:w="473"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7,904</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w:t>
            </w:r>
          </w:p>
        </w:tc>
        <w:tc>
          <w:tcPr>
            <w:tcW w:w="493"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(7,806)</w:t>
            </w:r>
          </w:p>
        </w:tc>
        <w:tc>
          <w:tcPr>
            <w:tcW w:w="473"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(6,702)</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17,094</w:t>
            </w:r>
          </w:p>
        </w:tc>
        <w:tc>
          <w:tcPr>
            <w:tcW w:w="493"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13,757</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17,094</w:t>
            </w:r>
          </w:p>
        </w:tc>
        <w:tc>
          <w:tcPr>
            <w:tcW w:w="473"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13,757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656" w:name="Tc_lLCTQlhJUkG5YExLAtWxrw_15_12"/>
      <w:bookmarkStart w:id="1657" w:name="Tc_ixEj8vycmE2vfuUhd7hJ2g_15_6"/>
      <w:bookmarkStart w:id="1658" w:name="Tc_nj-6K-TLE0miXpelLivP5w_15_0"/>
      <w:bookmarkStart w:id="1659" w:name="Tc_SyH8A0c5H0ygHJg9i7LF-A_14_9"/>
      <w:bookmarkStart w:id="1660" w:name="Tc_Q-3jZq7oWkii4SAeKjx2nA_14_6"/>
      <w:bookmarkStart w:id="1661" w:name="Tc_YNkPj7NUVU6R2hhsSv2J4Q_14_0"/>
      <w:bookmarkStart w:id="1662" w:name="Tc_UbP0Qhx1w0izNA88-3fCBA_13_12"/>
      <w:bookmarkStart w:id="1663" w:name="Tc_j09Ey4R2YkirDf3pyAMlAg_13_6"/>
      <w:bookmarkStart w:id="1664" w:name="Tc_66Y9if41vU6gHOQMk1_1zw_13_0"/>
      <w:bookmarkStart w:id="1665" w:name="Tc_rIJKrP9jvEuq2xTX4AD4fA_12_12"/>
      <w:bookmarkStart w:id="1666" w:name="Tc_oEEEQzgPkE-fdDncxMGQRA_12_6"/>
      <w:bookmarkStart w:id="1667" w:name="Tc_fQdTP1_uLUmGNakFnDsVmg_12_0"/>
      <w:bookmarkStart w:id="1668" w:name="Tc_BNQw84_qGk2UiR1iBXRXVg_11_12"/>
      <w:bookmarkStart w:id="1669" w:name="Tc_4GW5l4Pdn0uyN4eJkXPd8g_11_11"/>
      <w:bookmarkStart w:id="1670" w:name="Tc_C6tez-lnJU-_vnu-gIkZvg_11_9"/>
      <w:bookmarkStart w:id="1671" w:name="Tc_hXRIYiKroUCfei8UQDEIJg_11_8"/>
      <w:bookmarkStart w:id="1672" w:name="Tc_i7WzpUS7G0aH36ymc1eMiA_11_5"/>
      <w:bookmarkStart w:id="1673" w:name="Tc_7qIB6Aom5Uq9zi4w0UOUyg_11_2"/>
      <w:bookmarkStart w:id="1674" w:name="Tc_PbdVIsZkC0mnq9XYDf5tZw_11_0"/>
      <w:bookmarkStart w:id="1675" w:name="Tc_CtkwKBXH_EuVZJScFaGKiw_10_11"/>
      <w:bookmarkStart w:id="1676" w:name="Tc__MhJVTD_YkuPbY5yhHpTTw_10_8"/>
      <w:bookmarkStart w:id="1677" w:name="Tc_UNcqK-y0ZkiHVvOyNBfH7Q_10_5"/>
      <w:bookmarkStart w:id="1678" w:name="Tc_O7yA3V_BdkK4Nin64f_mvQ_10_2"/>
      <w:bookmarkStart w:id="1679" w:name="Tc_g1AClo9Dgky-GbzjKHElKA_10_0"/>
      <w:bookmarkStart w:id="1680" w:name="Tc_lpwsxyEWmk-8sothcDZwmw_9_2"/>
      <w:bookmarkStart w:id="1681" w:name="Tc_PV_j-0V3HkSIb12dOYjucQ_7_12"/>
      <w:bookmarkStart w:id="1682" w:name="Tc_bW7AYgocYEG2kPANa-Qxkw_7_6"/>
      <w:bookmarkStart w:id="1683" w:name="Tc_QzO7w7rfnUCXM89SKb6avg_7_0"/>
      <w:bookmarkStart w:id="1684" w:name="Tc_rrwvZwy7c02qeZ77q1pJbg_6_9"/>
      <w:bookmarkStart w:id="1685" w:name="Tc_yDrQii48W02-hittvo7aQg_6_6"/>
      <w:bookmarkStart w:id="1686" w:name="Tc_gURmMT1FTEeCPKbO9l-Z1g_6_0"/>
      <w:bookmarkStart w:id="1687" w:name="Tc_vwo74IYva0KaOssb658AOA_5_12"/>
      <w:bookmarkStart w:id="1688" w:name="Tc_sSW2ddiVMUOmJTbdDmuKHg_5_6"/>
      <w:bookmarkStart w:id="1689" w:name="Tc_eZ5epMSX9UKhrnDdngplcA_5_0"/>
      <w:bookmarkStart w:id="1690" w:name="Tc_a_vdYuCHhEWHrwwdqX-1ew_4_12"/>
      <w:bookmarkStart w:id="1691" w:name="Tc_zsrhIyVxQESJO4Na-vjmNg_4_6"/>
      <w:bookmarkStart w:id="1692" w:name="Tc_Dhc5wGtowU6DzxNh0dTYeQ_4_0"/>
      <w:bookmarkStart w:id="1693" w:name="Tc_5ixaD0KNa0KdnrMTK23ISQ_3_12"/>
      <w:bookmarkStart w:id="1694" w:name="Tc_YzpYM3ZUDUSUHzsMCBPMrg_3_11"/>
      <w:bookmarkStart w:id="1695" w:name="Tc_v12kyy0faUGAC6M9euQNCg_3_9"/>
      <w:bookmarkStart w:id="1696" w:name="Tc_v3p5jMiGS0O0AFIYHWpzIw_3_8"/>
      <w:bookmarkStart w:id="1697" w:name="Tc_9PYqb7xIrU2sivTPzO77ZQ_3_5"/>
      <w:bookmarkStart w:id="1698" w:name="Tc_law9fefV20-ZH_AlBXib_w_3_2"/>
      <w:bookmarkStart w:id="1699" w:name="Tc_xusS745kxUGGtiyzPk3Ikg_3_0"/>
      <w:bookmarkStart w:id="1700" w:name="Tc_7DD3-Pza_kSTvSx27VbDZw_2_11"/>
      <w:bookmarkStart w:id="1701" w:name="Tc_djmw9XSKAUGFFtToXUfYFQ_2_8"/>
      <w:bookmarkStart w:id="1702" w:name="Tc_MHik5ue1h0mV9vRE_CTF4A_2_5"/>
      <w:bookmarkStart w:id="1703" w:name="Tc_OCit8xSSBE24XQwJR1v8Vg_2_2"/>
      <w:bookmarkStart w:id="1704" w:name="Tc_LSCeOe0MQ0KjRNxA058KiA_2_0"/>
      <w:bookmarkStart w:id="1705" w:name="Tc_SS8qlUsSa0u2QBSqL9Kzzg_1_2"/>
      <w:bookmarkStart w:id="1706" w:name="_Hlk71285014"/>
      <w:bookmarkStart w:id="1707" w:name="_Hlk71703622"/>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r>
        <w:rPr>
          <w:rFonts w:ascii="Times New Roman;Times;serif" w:hAnsi="Times New Roman;Times;serif"/>
          <w:b/>
          <w:sz w:val="20"/>
        </w:rPr>
        <w:t xml:space="preserve">3.      FINANCIAL INSTRUMENTS AND FAIR VALUE MEASUREMENTS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Assets and Liabilities Measured at Fair Value on a Recurring Basis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Company’s fair value for its financial assets and liabilities measured at fair value on a recurring basis: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8"/>
        <w:gridCol w:w="109"/>
        <w:gridCol w:w="211"/>
        <w:gridCol w:w="676"/>
        <w:gridCol w:w="326"/>
        <w:gridCol w:w="569"/>
        <w:gridCol w:w="1824"/>
        <w:gridCol w:w="326"/>
        <w:gridCol w:w="473"/>
        <w:gridCol w:w="1282"/>
        <w:gridCol w:w="326"/>
        <w:gridCol w:w="449"/>
        <w:gridCol w:w="1316"/>
      </w:tblGrid>
      <w:tr>
        <w:trPr/>
        <w:tc>
          <w:tcPr>
            <w:tcW w:w="2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71930" cy="175260"/>
                      <wp:effectExtent l="0" t="0" r="0" b="0"/>
                      <wp:wrapNone/>
                      <wp:docPr id="157" name="Frame157"/>
                      <a:graphic xmlns:a="http://schemas.openxmlformats.org/drawingml/2006/main">
                        <a:graphicData uri="http://schemas.microsoft.com/office/word/2010/wordprocessingShape">
                          <wps:wsp>
                            <wps:cNvSpPr txBox="1"/>
                            <wps:spPr>
                              <a:xfrm>
                                <a:off x="0" y="0"/>
                                <a:ext cx="147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29260" cy="175260"/>
                      <wp:effectExtent l="0" t="0" r="0" b="0"/>
                      <wp:wrapNone/>
                      <wp:docPr id="160" name="Frame1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61315" cy="175260"/>
                      <wp:effectExtent l="0" t="0" r="0" b="0"/>
                      <wp:wrapNone/>
                      <wp:docPr id="162" name="Frame162"/>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158240" cy="175260"/>
                      <wp:effectExtent l="0" t="0" r="0" b="0"/>
                      <wp:wrapNone/>
                      <wp:docPr id="163" name="Frame163"/>
                      <a:graphic xmlns:a="http://schemas.openxmlformats.org/drawingml/2006/main">
                        <a:graphicData uri="http://schemas.microsoft.com/office/word/2010/wordprocessingShape">
                          <wps:wsp>
                            <wps:cNvSpPr txBox="1"/>
                            <wps:spPr>
                              <a:xfrm>
                                <a:off x="0" y="0"/>
                                <a:ext cx="1158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00355" cy="175260"/>
                      <wp:effectExtent l="0" t="0" r="0" b="0"/>
                      <wp:wrapNone/>
                      <wp:docPr id="165" name="Frame165"/>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814070" cy="175260"/>
                      <wp:effectExtent l="0" t="0" r="0" b="0"/>
                      <wp:wrapNone/>
                      <wp:docPr id="166" name="Frame166"/>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85115" cy="175260"/>
                      <wp:effectExtent l="0" t="0" r="0" b="0"/>
                      <wp:wrapNone/>
                      <wp:docPr id="168" name="Frame168"/>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835660" cy="175260"/>
                      <wp:effectExtent l="0" t="0" r="0" b="0"/>
                      <wp:wrapNone/>
                      <wp:docPr id="169" name="Frame169"/>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77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3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September 30, 2023 (unaudited)</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3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26" w:type="dxa"/>
            <w:tcBorders/>
            <w:vAlign w:val="center"/>
          </w:tcPr>
          <w:p>
            <w:pPr>
              <w:pStyle w:val="TableContents"/>
              <w:bidi w:val="0"/>
              <w:spacing w:before="0" w:after="1"/>
              <w:ind w:left="0" w:right="0" w:hanging="0"/>
              <w:jc w:val="left"/>
              <w:rPr/>
            </w:pPr>
            <w:r>
              <w:rPr/>
              <w:t>    </w:t>
            </w:r>
          </w:p>
        </w:tc>
        <w:tc>
          <w:tcPr>
            <w:tcW w:w="17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26" w:type="dxa"/>
            <w:tcBorders/>
            <w:vAlign w:val="center"/>
          </w:tcPr>
          <w:p>
            <w:pPr>
              <w:pStyle w:val="TableContents"/>
              <w:bidi w:val="0"/>
              <w:spacing w:before="0" w:after="1"/>
              <w:ind w:left="0" w:right="0" w:hanging="0"/>
              <w:jc w:val="left"/>
              <w:rPr/>
            </w:pPr>
            <w:r>
              <w:rPr/>
              <w:t>    </w:t>
            </w:r>
          </w:p>
        </w:tc>
        <w:tc>
          <w:tcPr>
            <w:tcW w:w="1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2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30,419</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30,419</w:t>
            </w:r>
          </w:p>
        </w:tc>
        <w:tc>
          <w:tcPr>
            <w:tcW w:w="326" w:type="dxa"/>
            <w:tcBorders/>
            <w:shd w:fill="CCEEFF" w:val="clear"/>
            <w:vAlign w:val="center"/>
          </w:tcPr>
          <w:p>
            <w:pPr>
              <w:pStyle w:val="TableContents"/>
              <w:bidi w:val="0"/>
              <w:spacing w:before="0" w:after="1"/>
              <w:ind w:left="0" w:right="0" w:hanging="0"/>
              <w:jc w:val="left"/>
              <w:rPr/>
            </w:pPr>
            <w:r>
              <w:rPr/>
              <w:t>​</w:t>
            </w:r>
          </w:p>
        </w:tc>
        <w:tc>
          <w:tcPr>
            <w:tcW w:w="4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1"/>
              <w:ind w:left="0" w:right="0" w:hanging="0"/>
              <w:jc w:val="right"/>
              <w:rPr/>
            </w:pPr>
            <w:r>
              <w:rPr/>
              <w:t>—</w:t>
            </w:r>
          </w:p>
        </w:tc>
      </w:tr>
      <w:tr>
        <w:trPr/>
        <w:tc>
          <w:tcPr>
            <w:tcW w:w="2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8,402</w:t>
            </w:r>
          </w:p>
        </w:tc>
        <w:tc>
          <w:tcPr>
            <w:tcW w:w="32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left"/>
              <w:rPr/>
            </w:pPr>
            <w:r>
              <w:rPr/>
              <w:t>​</w:t>
            </w:r>
          </w:p>
        </w:tc>
        <w:tc>
          <w:tcPr>
            <w:tcW w:w="182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3" w:type="dxa"/>
            <w:tcBorders/>
            <w:vAlign w:val="center"/>
          </w:tcPr>
          <w:p>
            <w:pPr>
              <w:pStyle w:val="TableContents"/>
              <w:bidi w:val="0"/>
              <w:spacing w:before="0" w:after="1"/>
              <w:ind w:left="0" w:right="0" w:hanging="0"/>
              <w:jc w:val="left"/>
              <w:rPr/>
            </w:pPr>
            <w:r>
              <w:rPr/>
              <w:t>​</w:t>
            </w:r>
          </w:p>
        </w:tc>
        <w:tc>
          <w:tcPr>
            <w:tcW w:w="12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8,402</w:t>
            </w:r>
          </w:p>
        </w:tc>
        <w:tc>
          <w:tcPr>
            <w:tcW w:w="32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right"/>
              <w:rPr/>
            </w:pPr>
            <w:r>
              <w:rPr/>
              <w:t>—</w:t>
            </w:r>
          </w:p>
        </w:tc>
      </w:tr>
      <w:tr>
        <w:trPr/>
        <w:tc>
          <w:tcPr>
            <w:tcW w:w="2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2,671</w:t>
            </w:r>
          </w:p>
        </w:tc>
        <w:tc>
          <w:tcPr>
            <w:tcW w:w="326"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left"/>
              <w:rPr/>
            </w:pPr>
            <w:r>
              <w:rPr/>
              <w:t>​</w:t>
            </w:r>
          </w:p>
        </w:tc>
        <w:tc>
          <w:tcPr>
            <w:tcW w:w="182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73" w:type="dxa"/>
            <w:tcBorders/>
            <w:shd w:fill="CCEEFF" w:val="clear"/>
            <w:vAlign w:val="center"/>
          </w:tcPr>
          <w:p>
            <w:pPr>
              <w:pStyle w:val="TableContents"/>
              <w:bidi w:val="0"/>
              <w:spacing w:before="0" w:after="1"/>
              <w:ind w:left="0" w:right="0" w:hanging="0"/>
              <w:jc w:val="left"/>
              <w:rPr/>
            </w:pPr>
            <w:r>
              <w:rPr/>
              <w:t>​</w:t>
            </w:r>
          </w:p>
        </w:tc>
        <w:tc>
          <w:tcPr>
            <w:tcW w:w="12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2,671</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pPr>
            <w:r>
              <w:rPr/>
              <w:t>​</w:t>
            </w:r>
          </w:p>
        </w:tc>
        <w:tc>
          <w:tcPr>
            <w:tcW w:w="1316" w:type="dxa"/>
            <w:tcBorders/>
            <w:shd w:fill="CCEEFF" w:val="clear"/>
            <w:vAlign w:val="center"/>
          </w:tcPr>
          <w:p>
            <w:pPr>
              <w:pStyle w:val="TableContents"/>
              <w:bidi w:val="0"/>
              <w:spacing w:before="0" w:after="1"/>
              <w:ind w:left="0" w:right="0" w:hanging="0"/>
              <w:jc w:val="right"/>
              <w:rPr/>
            </w:pPr>
            <w:r>
              <w:rPr/>
              <w:t>—</w:t>
            </w:r>
          </w:p>
        </w:tc>
      </w:tr>
      <w:tr>
        <w:trPr/>
        <w:tc>
          <w:tcPr>
            <w:tcW w:w="2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Tellutax Contingent Consideration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4,700</w:t>
            </w:r>
          </w:p>
        </w:tc>
        <w:tc>
          <w:tcPr>
            <w:tcW w:w="32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left"/>
              <w:rPr/>
            </w:pPr>
            <w:r>
              <w:rPr/>
              <w:t>​</w:t>
            </w:r>
          </w:p>
        </w:tc>
        <w:tc>
          <w:tcPr>
            <w:tcW w:w="182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3" w:type="dxa"/>
            <w:tcBorders/>
            <w:vAlign w:val="center"/>
          </w:tcPr>
          <w:p>
            <w:pPr>
              <w:pStyle w:val="TableContents"/>
              <w:bidi w:val="0"/>
              <w:spacing w:before="0" w:after="1"/>
              <w:ind w:left="0" w:right="0" w:hanging="0"/>
              <w:jc w:val="left"/>
              <w:rPr/>
            </w:pPr>
            <w:r>
              <w:rPr/>
              <w:t>​</w:t>
            </w:r>
          </w:p>
        </w:tc>
        <w:tc>
          <w:tcPr>
            <w:tcW w:w="12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4,700</w:t>
            </w:r>
          </w:p>
        </w:tc>
      </w:tr>
      <w:tr>
        <w:trPr/>
        <w:tc>
          <w:tcPr>
            <w:tcW w:w="2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left"/>
              <w:rPr/>
            </w:pPr>
            <w:r>
              <w:rPr/>
              <w:t>​</w:t>
            </w:r>
          </w:p>
        </w:tc>
        <w:tc>
          <w:tcPr>
            <w:tcW w:w="182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73" w:type="dxa"/>
            <w:tcBorders/>
            <w:shd w:fill="CCEEFF" w:val="clear"/>
            <w:vAlign w:val="center"/>
          </w:tcPr>
          <w:p>
            <w:pPr>
              <w:pStyle w:val="TableContents"/>
              <w:bidi w:val="0"/>
              <w:spacing w:before="0" w:after="1"/>
              <w:ind w:left="0" w:right="0" w:hanging="0"/>
              <w:jc w:val="left"/>
              <w:rPr/>
            </w:pPr>
            <w:r>
              <w:rPr/>
              <w:t>​</w:t>
            </w:r>
          </w:p>
        </w:tc>
        <w:tc>
          <w:tcPr>
            <w:tcW w:w="12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pPr>
            <w:r>
              <w:rPr/>
              <w:t>​</w:t>
            </w:r>
          </w:p>
        </w:tc>
        <w:tc>
          <w:tcPr>
            <w:tcW w:w="1316" w:type="dxa"/>
            <w:tcBorders/>
            <w:shd w:fill="CCEEFF" w:val="clear"/>
            <w:vAlign w:val="center"/>
          </w:tcPr>
          <w:p>
            <w:pPr>
              <w:pStyle w:val="TableContents"/>
              <w:bidi w:val="0"/>
              <w:spacing w:before="0" w:after="1"/>
              <w:ind w:left="0" w:right="0" w:hanging="0"/>
              <w:jc w:val="right"/>
              <w:rPr/>
            </w:pPr>
            <w:r>
              <w:rPr/>
              <w:t>—</w:t>
            </w:r>
          </w:p>
        </w:tc>
      </w:tr>
      <w:tr>
        <w:trPr/>
        <w:tc>
          <w:tcPr>
            <w:tcW w:w="23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left"/>
              <w:rPr/>
            </w:pPr>
            <w:r>
              <w:rPr/>
              <w:t>​</w:t>
            </w:r>
          </w:p>
        </w:tc>
        <w:tc>
          <w:tcPr>
            <w:tcW w:w="18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3" w:type="dxa"/>
            <w:tcBorders/>
            <w:vAlign w:val="center"/>
          </w:tcPr>
          <w:p>
            <w:pPr>
              <w:pStyle w:val="TableContents"/>
              <w:bidi w:val="0"/>
              <w:spacing w:before="0" w:after="1"/>
              <w:ind w:left="0" w:right="0" w:hanging="0"/>
              <w:jc w:val="left"/>
              <w:rPr/>
            </w:pPr>
            <w:r>
              <w:rPr/>
              <w:t>​</w:t>
            </w:r>
          </w:p>
        </w:tc>
        <w:tc>
          <w:tcPr>
            <w:tcW w:w="12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left"/>
              <w:rPr/>
            </w:pPr>
            <w:r>
              <w:rPr/>
              <w:t>​</w:t>
            </w:r>
          </w:p>
        </w:tc>
      </w:tr>
      <w:tr>
        <w:trPr/>
        <w:tc>
          <w:tcPr>
            <w:tcW w:w="23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77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3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3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26" w:type="dxa"/>
            <w:tcBorders/>
            <w:vAlign w:val="center"/>
          </w:tcPr>
          <w:p>
            <w:pPr>
              <w:pStyle w:val="TableContents"/>
              <w:bidi w:val="0"/>
              <w:spacing w:before="0" w:after="1"/>
              <w:ind w:left="0" w:right="0" w:hanging="0"/>
              <w:jc w:val="left"/>
              <w:rPr/>
            </w:pPr>
            <w:r>
              <w:rPr/>
              <w:t>    </w:t>
            </w:r>
          </w:p>
        </w:tc>
        <w:tc>
          <w:tcPr>
            <w:tcW w:w="17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26" w:type="dxa"/>
            <w:tcBorders/>
            <w:vAlign w:val="center"/>
          </w:tcPr>
          <w:p>
            <w:pPr>
              <w:pStyle w:val="TableContents"/>
              <w:bidi w:val="0"/>
              <w:spacing w:before="0" w:after="1"/>
              <w:ind w:left="0" w:right="0" w:hanging="0"/>
              <w:jc w:val="left"/>
              <w:rPr/>
            </w:pPr>
            <w:r>
              <w:rPr/>
              <w:t>    </w:t>
            </w:r>
          </w:p>
        </w:tc>
        <w:tc>
          <w:tcPr>
            <w:tcW w:w="1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2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67,430</w:t>
            </w:r>
          </w:p>
        </w:tc>
        <w:tc>
          <w:tcPr>
            <w:tcW w:w="326"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67,430</w:t>
            </w:r>
          </w:p>
        </w:tc>
        <w:tc>
          <w:tcPr>
            <w:tcW w:w="326" w:type="dxa"/>
            <w:tcBorders/>
            <w:shd w:fill="CCEEFF" w:val="clear"/>
            <w:vAlign w:val="center"/>
          </w:tcPr>
          <w:p>
            <w:pPr>
              <w:pStyle w:val="TableContents"/>
              <w:bidi w:val="0"/>
              <w:spacing w:before="0" w:after="1"/>
              <w:ind w:left="0" w:right="0" w:hanging="0"/>
              <w:jc w:val="left"/>
              <w:rPr/>
            </w:pPr>
            <w:r>
              <w:rPr/>
              <w:t>​</w:t>
            </w:r>
          </w:p>
        </w:tc>
        <w:tc>
          <w:tcPr>
            <w:tcW w:w="4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1"/>
              <w:ind w:left="0" w:right="0" w:hanging="0"/>
              <w:jc w:val="right"/>
              <w:rPr/>
            </w:pPr>
            <w:r>
              <w:rPr/>
              <w:t>—</w:t>
            </w:r>
          </w:p>
        </w:tc>
      </w:tr>
      <w:tr>
        <w:trPr/>
        <w:tc>
          <w:tcPr>
            <w:tcW w:w="2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9,660</w:t>
            </w:r>
          </w:p>
        </w:tc>
        <w:tc>
          <w:tcPr>
            <w:tcW w:w="32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left"/>
              <w:rPr/>
            </w:pPr>
            <w:r>
              <w:rPr/>
              <w:t>​</w:t>
            </w:r>
          </w:p>
        </w:tc>
        <w:tc>
          <w:tcPr>
            <w:tcW w:w="182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3" w:type="dxa"/>
            <w:tcBorders/>
            <w:vAlign w:val="center"/>
          </w:tcPr>
          <w:p>
            <w:pPr>
              <w:pStyle w:val="TableContents"/>
              <w:bidi w:val="0"/>
              <w:spacing w:before="0" w:after="1"/>
              <w:ind w:left="0" w:right="0" w:hanging="0"/>
              <w:jc w:val="left"/>
              <w:rPr/>
            </w:pPr>
            <w:r>
              <w:rPr/>
              <w:t>​</w:t>
            </w:r>
          </w:p>
        </w:tc>
        <w:tc>
          <w:tcPr>
            <w:tcW w:w="12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9,660</w:t>
            </w:r>
          </w:p>
        </w:tc>
        <w:tc>
          <w:tcPr>
            <w:tcW w:w="32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right"/>
              <w:rPr/>
            </w:pPr>
            <w:r>
              <w:rPr/>
              <w:t>—</w:t>
            </w:r>
          </w:p>
        </w:tc>
      </w:tr>
      <w:tr>
        <w:trPr/>
        <w:tc>
          <w:tcPr>
            <w:tcW w:w="2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5,203</w:t>
            </w:r>
          </w:p>
        </w:tc>
        <w:tc>
          <w:tcPr>
            <w:tcW w:w="326"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left"/>
              <w:rPr/>
            </w:pPr>
            <w:r>
              <w:rPr/>
              <w:t>​</w:t>
            </w:r>
          </w:p>
        </w:tc>
        <w:tc>
          <w:tcPr>
            <w:tcW w:w="182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73" w:type="dxa"/>
            <w:tcBorders/>
            <w:shd w:fill="CCEEFF" w:val="clear"/>
            <w:vAlign w:val="center"/>
          </w:tcPr>
          <w:p>
            <w:pPr>
              <w:pStyle w:val="TableContents"/>
              <w:bidi w:val="0"/>
              <w:spacing w:before="0" w:after="1"/>
              <w:ind w:left="0" w:right="0" w:hanging="0"/>
              <w:jc w:val="left"/>
              <w:rPr/>
            </w:pPr>
            <w:r>
              <w:rPr/>
              <w:t>​</w:t>
            </w:r>
          </w:p>
        </w:tc>
        <w:tc>
          <w:tcPr>
            <w:tcW w:w="12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5,203</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pPr>
            <w:r>
              <w:rPr/>
              <w:t>​</w:t>
            </w:r>
          </w:p>
        </w:tc>
        <w:tc>
          <w:tcPr>
            <w:tcW w:w="1316" w:type="dxa"/>
            <w:tcBorders/>
            <w:shd w:fill="CCEEFF" w:val="clear"/>
            <w:vAlign w:val="center"/>
          </w:tcPr>
          <w:p>
            <w:pPr>
              <w:pStyle w:val="TableContents"/>
              <w:bidi w:val="0"/>
              <w:spacing w:before="0" w:after="1"/>
              <w:ind w:left="0" w:right="0" w:hanging="0"/>
              <w:jc w:val="right"/>
              <w:rPr/>
            </w:pPr>
            <w:r>
              <w:rPr/>
              <w:t>—</w:t>
            </w:r>
          </w:p>
        </w:tc>
      </w:tr>
      <w:tr>
        <w:trPr/>
        <w:tc>
          <w:tcPr>
            <w:tcW w:w="2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Tellutax Contingent Consideration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c>
          <w:tcPr>
            <w:tcW w:w="32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left"/>
              <w:rPr/>
            </w:pPr>
            <w:r>
              <w:rPr/>
              <w:t>​</w:t>
            </w:r>
          </w:p>
        </w:tc>
        <w:tc>
          <w:tcPr>
            <w:tcW w:w="182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3" w:type="dxa"/>
            <w:tcBorders/>
            <w:vAlign w:val="center"/>
          </w:tcPr>
          <w:p>
            <w:pPr>
              <w:pStyle w:val="TableContents"/>
              <w:bidi w:val="0"/>
              <w:spacing w:before="0" w:after="1"/>
              <w:ind w:left="0" w:right="0" w:hanging="0"/>
              <w:jc w:val="left"/>
              <w:rPr/>
            </w:pPr>
            <w:r>
              <w:rPr/>
              <w:t>​</w:t>
            </w:r>
          </w:p>
        </w:tc>
        <w:tc>
          <w:tcPr>
            <w:tcW w:w="12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2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326"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left"/>
              <w:rPr/>
            </w:pPr>
            <w:r>
              <w:rPr/>
              <w:t>​</w:t>
            </w:r>
          </w:p>
        </w:tc>
        <w:tc>
          <w:tcPr>
            <w:tcW w:w="182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73" w:type="dxa"/>
            <w:tcBorders/>
            <w:shd w:fill="CCEEFF" w:val="clear"/>
            <w:vAlign w:val="center"/>
          </w:tcPr>
          <w:p>
            <w:pPr>
              <w:pStyle w:val="TableContents"/>
              <w:bidi w:val="0"/>
              <w:spacing w:before="0" w:after="1"/>
              <w:ind w:left="0" w:right="0" w:hanging="0"/>
              <w:jc w:val="left"/>
              <w:rPr/>
            </w:pPr>
            <w:r>
              <w:rPr/>
              <w:t>​</w:t>
            </w:r>
          </w:p>
        </w:tc>
        <w:tc>
          <w:tcPr>
            <w:tcW w:w="12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pPr>
            <w:r>
              <w:rPr/>
              <w:t>​</w:t>
            </w:r>
          </w:p>
        </w:tc>
        <w:tc>
          <w:tcPr>
            <w:tcW w:w="1316" w:type="dxa"/>
            <w:tcBorders/>
            <w:shd w:fill="CCEEFF" w:val="clear"/>
            <w:vAlign w:val="center"/>
          </w:tcPr>
          <w:p>
            <w:pPr>
              <w:pStyle w:val="TableContents"/>
              <w:bidi w:val="0"/>
              <w:spacing w:before="0" w:after="1"/>
              <w:ind w:left="0" w:right="70" w:hanging="0"/>
              <w:jc w:val="right"/>
              <w:rPr/>
            </w:pPr>
            <w:r>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investments in high quality, short-term money market instruments which are issued and payable in U.S. dollars (“Money Market Funds”), which are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Securities classified as available-for-sale are reported at fair value using Level 2 inputs. The Company has investments in bank and corporate issued commercial paper (“Commercial Paper”), and U.S. treasury securities (“U.S. Treasury Securities”), the Company believes that Level 2 designation is appropriate under Accounting Standards Codification, (“ASC”) 820-10, </w:t>
      </w:r>
      <w:r>
        <w:rPr>
          <w:rFonts w:ascii="Times New Roman;Times;serif" w:hAnsi="Times New Roman;Times;serif"/>
          <w:i/>
          <w:sz w:val="20"/>
        </w:rPr>
        <w:t>Fair Value Measurements and Disclosures</w:t>
      </w:r>
      <w:r>
        <w:rPr>
          <w:rFonts w:ascii="Times New Roman;Times;serif" w:hAnsi="Times New Roman;Times;serif"/>
          <w:sz w:val="20"/>
        </w:rPr>
        <w:t xml:space="preserve">, as these securities are fixed income securities, none are exchange traded, and all are priced by correlation to observed market data. For these securities the Company obtains fair value measurements from an independent pricing service.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January 2021 Tellutax LLC (“Tellutax”) acquisition, the sellers are entitled to contingent consideration if sales targets are met during a period of time following the acquisition (the “Tellutax Contingent Consideration”).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the payments specified in the purchase agreement. Such payments have no maximum limit, but if certain targets are not met, there will be no payment for the applicable measurement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fair value adjustment of $900 and $1,349 was recorded in other operating expense, net for the three and nine months ended September 30, 2023, respectively. A fair value adjustment of $1,300 and $2,000 was recorded in other operating expense, net for the three and nine months ended September 30, 2022, respectively. At September 30, 2023, the Tellutax Contingent Consideration of $2,500 and $2,200 is included in purchase commitment and contingent consideration liabilities, current, and purchase commitment and contingent consideration liabilities, net of current portion, respectively, in the condensed consolidated balance sheets. At December 31, 2022, the Tellutax Contingent Consideration of $1,400 and $3,400 is included in purchase commitment and contingent consideration liabilities, current, and purchase commitment and contingent consideration liabilities, net of current portion, respectively, in the 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708" w:name="Tc_muU0aCZKOke390cc1LoSHg_9_2"/>
      <w:bookmarkStart w:id="1709" w:name="Tc_zIJtzDZ5Wk27gbI3j21f0w_9_0"/>
      <w:bookmarkStart w:id="1710" w:name="Tc_Cr_CgF6liEe3_1KPo-qKPg_8_0"/>
      <w:bookmarkStart w:id="1711" w:name="Tc_voVPNlYN9kKt5G0rfpiX7A_7_0"/>
      <w:bookmarkStart w:id="1712" w:name="Tc_nEy06mCOgEeEgizrCTig2g_6_2"/>
      <w:bookmarkStart w:id="1713" w:name="Tc_0-6Ejs-Mm0WPc-hfKG7MAw_6_0"/>
      <w:bookmarkStart w:id="1714" w:name="Tc_wus42wzJM0mo1g5KFyjxlg_4_2"/>
      <w:bookmarkStart w:id="1715" w:name="Tc_NIasVlzHa0iKXtI4dMxkmQ_3_2"/>
      <w:bookmarkStart w:id="1716" w:name="Tc_c4X617BNpU-SypXLGglBVg_2_2"/>
      <w:bookmarkStart w:id="1717" w:name="Tc_VCGHi8e1DU2dAhqjgyX3Aw_1_2"/>
      <w:bookmarkStart w:id="1718" w:name="Tc_H-KxxMTSMUuh-52-dxSbPw_11_7"/>
      <w:bookmarkStart w:id="1719" w:name="Tc_1a_ub12P8Eusr8gQRcy6eQ_10_10"/>
      <w:bookmarkStart w:id="1720" w:name="Tc_5dsigrQ6ekaG0QISqZeGpA_10_7"/>
      <w:bookmarkStart w:id="1721" w:name="Tc_YMdxM8Ce80unihE1lfh8Dw_9_10"/>
      <w:bookmarkStart w:id="1722" w:name="Tc_017IqD4EFECp4Qbta8cBtg_9_7"/>
      <w:bookmarkStart w:id="1723" w:name="Tc_bnDcHZQlO0iGH12LlB99ag_9_5"/>
      <w:bookmarkStart w:id="1724" w:name="Tc_bZRLNo_5rkKfTODK7x5u5g_9_2"/>
      <w:bookmarkStart w:id="1725" w:name="Tc_-ZITAFHQ4k2n7J63XL8wug_9_0"/>
      <w:bookmarkStart w:id="1726" w:name="Tc_GmhCUEBIbEG9sCnQkOkL9Q_8_7"/>
      <w:bookmarkStart w:id="1727" w:name="Tc_M56826b2mUiRUcvHG575Fw_8_5"/>
      <w:bookmarkStart w:id="1728" w:name="Tc_YNGkEbSTlUW_WjAn-Ag7iw_8_2"/>
      <w:bookmarkStart w:id="1729" w:name="Tc_Rszpti59LUKavSSta25tRg_8_0"/>
      <w:bookmarkStart w:id="1730" w:name="Tc_wc5rNYeB_kqzy2IQIr_nzg_7_2"/>
      <w:bookmarkStart w:id="1731" w:name="Tc_edzP8RbxqUWsReHF1wznxg_5_7"/>
      <w:bookmarkStart w:id="1732" w:name="Tc_ns7ZLAmDKk2bi1iZ7BgtNA_4_10"/>
      <w:bookmarkStart w:id="1733" w:name="Tc_PfyrB5-vQEe8WAqbJidp4w_4_7"/>
      <w:bookmarkStart w:id="1734" w:name="Tc_fb-DjI4rqkWUCudajah3Cg_3_10"/>
      <w:bookmarkStart w:id="1735" w:name="Tc_2B3VYx_-MU6DeEj9EF6kxw_3_7"/>
      <w:bookmarkStart w:id="1736" w:name="Tc_mhTfp6_rOEKgGCDggQ6C9Q_3_5"/>
      <w:bookmarkStart w:id="1737" w:name="Tc_9a69PYKhhku_cnwX7K6rmw_3_2"/>
      <w:bookmarkStart w:id="1738" w:name="Tc_R7HkCC40dU2wwsmRviHFSQ_3_0"/>
      <w:bookmarkStart w:id="1739" w:name="Tc_l-gH6_f5YUmZCSMKLtRxcw_2_7"/>
      <w:bookmarkStart w:id="1740" w:name="Tc_1WwQSulDy06Xy-upIW5a3A_2_5"/>
      <w:bookmarkStart w:id="1741" w:name="Tc_K73Kar-nvEqqbzFoT1OvWA_2_2"/>
      <w:bookmarkStart w:id="1742" w:name="Tc_SLKdJz1obU6CLxqpdFhu2w_2_0"/>
      <w:bookmarkStart w:id="1743" w:name="Tc_4IHa_esgcEioRxMRhCAabg_1_2"/>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r>
        <w:rPr>
          <w:rFonts w:ascii="Times New Roman;Times;serif" w:hAnsi="Times New Roman;Times;serif"/>
          <w:sz w:val="20"/>
        </w:rPr>
        <w:t>Tellutax Contingent Consideration fair value as of September 30, 2023 and December 31, 2022 and unobservable inputs used for the Monte Carlo Simulation valuation were as follows:</w:t>
      </w:r>
    </w:p>
    <w:p>
      <w:pPr>
        <w:pStyle w:val="TextBody"/>
        <w:bidi w:val="0"/>
        <w:spacing w:before="0" w:after="240"/>
        <w:ind w:left="0" w:right="0" w:firstLine="360"/>
        <w:jc w:val="both"/>
        <w:rPr/>
      </w:pPr>
      <w:r>
        <w:rPr/>
        <w:t>​</w:t>
      </w:r>
    </w:p>
    <w:tbl>
      <w:tblPr>
        <w:tblW w:w="9747" w:type="dxa"/>
        <w:jc w:val="left"/>
        <w:tblInd w:w="0" w:type="dxa"/>
        <w:tblLayout w:type="fixed"/>
        <w:tblCellMar>
          <w:top w:w="0" w:type="dxa"/>
          <w:left w:w="0" w:type="dxa"/>
          <w:bottom w:w="0" w:type="dxa"/>
          <w:right w:w="0" w:type="dxa"/>
        </w:tblCellMar>
      </w:tblPr>
      <w:tblGrid>
        <w:gridCol w:w="2986"/>
        <w:gridCol w:w="326"/>
        <w:gridCol w:w="239"/>
        <w:gridCol w:w="646"/>
        <w:gridCol w:w="326"/>
        <w:gridCol w:w="2086"/>
        <w:gridCol w:w="326"/>
        <w:gridCol w:w="1921"/>
        <w:gridCol w:w="109"/>
        <w:gridCol w:w="466"/>
        <w:gridCol w:w="31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896110" cy="175260"/>
                      <wp:effectExtent l="0" t="0" r="0" b="0"/>
                      <wp:wrapNone/>
                      <wp:docPr id="170" name="Frame170"/>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51765" cy="175260"/>
                      <wp:effectExtent l="0" t="0" r="0" b="0"/>
                      <wp:wrapNone/>
                      <wp:docPr id="172" name="Frame17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10210" cy="175260"/>
                      <wp:effectExtent l="0" t="0" r="0" b="0"/>
                      <wp:wrapNone/>
                      <wp:docPr id="173" name="Frame17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24610" cy="175260"/>
                      <wp:effectExtent l="0" t="0" r="0" b="0"/>
                      <wp:wrapNone/>
                      <wp:docPr id="175" name="Frame175"/>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19835" cy="175260"/>
                      <wp:effectExtent l="0" t="0" r="0" b="0"/>
                      <wp:wrapNone/>
                      <wp:docPr id="177" name="Frame177"/>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95910" cy="175260"/>
                      <wp:effectExtent l="0" t="0" r="0" b="0"/>
                      <wp:wrapNone/>
                      <wp:docPr id="179" name="Frame17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0660" cy="175260"/>
                      <wp:effectExtent l="0" t="0" r="0" b="0"/>
                      <wp:wrapNone/>
                      <wp:docPr id="180" name="Frame18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35"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 (unaudited)</w:t>
            </w:r>
          </w:p>
        </w:tc>
      </w:tr>
      <w:tr>
        <w:trPr/>
        <w:tc>
          <w:tcPr>
            <w:tcW w:w="29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Liability</w:t>
            </w:r>
          </w:p>
        </w:tc>
        <w:tc>
          <w:tcPr>
            <w:tcW w:w="326" w:type="dxa"/>
            <w:tcBorders/>
            <w:vAlign w:val="center"/>
          </w:tcPr>
          <w:p>
            <w:pPr>
              <w:pStyle w:val="TableContents"/>
              <w:bidi w:val="0"/>
              <w:spacing w:before="0" w:after="1"/>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0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1"/>
              <w:ind w:left="0" w:right="0" w:hanging="0"/>
              <w:jc w:val="left"/>
              <w:rPr/>
            </w:pPr>
            <w:r>
              <w:rPr/>
              <w:t>    </w:t>
            </w:r>
          </w:p>
        </w:tc>
        <w:tc>
          <w:tcPr>
            <w:tcW w:w="281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Tellutax Contingent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4,700</w:t>
            </w:r>
          </w:p>
        </w:tc>
        <w:tc>
          <w:tcPr>
            <w:tcW w:w="326" w:type="dxa"/>
            <w:tcBorders/>
            <w:shd w:fill="CCEEFF" w:val="clear"/>
            <w:vAlign w:val="center"/>
          </w:tcPr>
          <w:p>
            <w:pPr>
              <w:pStyle w:val="TableContents"/>
              <w:bidi w:val="0"/>
              <w:spacing w:before="0" w:after="1"/>
              <w:ind w:left="0" w:right="0" w:hanging="0"/>
              <w:jc w:val="left"/>
              <w:rPr/>
            </w:pPr>
            <w:r>
              <w:rPr/>
              <w:t>​</w:t>
            </w:r>
          </w:p>
        </w:tc>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bidi w:val="0"/>
              <w:spacing w:before="0" w:after="1"/>
              <w:ind w:left="0" w:right="0" w:hanging="0"/>
              <w:jc w:val="left"/>
              <w:rPr/>
            </w:pPr>
            <w:r>
              <w:rPr/>
              <w:t>​</w:t>
            </w:r>
          </w:p>
        </w:tc>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9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35" w:type="dxa"/>
            <w:gridSpan w:val="9"/>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9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Liability</w:t>
            </w:r>
          </w:p>
        </w:tc>
        <w:tc>
          <w:tcPr>
            <w:tcW w:w="326" w:type="dxa"/>
            <w:tcBorders/>
            <w:vAlign w:val="center"/>
          </w:tcPr>
          <w:p>
            <w:pPr>
              <w:pStyle w:val="TableContents"/>
              <w:bidi w:val="0"/>
              <w:spacing w:before="0" w:after="1"/>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0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1"/>
              <w:ind w:left="0" w:right="0" w:hanging="0"/>
              <w:jc w:val="left"/>
              <w:rPr/>
            </w:pPr>
            <w:r>
              <w:rPr/>
              <w:t>    </w:t>
            </w:r>
          </w:p>
        </w:tc>
        <w:tc>
          <w:tcPr>
            <w:tcW w:w="281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Tellutax Contingent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c>
          <w:tcPr>
            <w:tcW w:w="326" w:type="dxa"/>
            <w:tcBorders/>
            <w:shd w:fill="CCEEFF" w:val="clear"/>
            <w:vAlign w:val="center"/>
          </w:tcPr>
          <w:p>
            <w:pPr>
              <w:pStyle w:val="TableContents"/>
              <w:bidi w:val="0"/>
              <w:spacing w:before="0" w:after="1"/>
              <w:ind w:left="0" w:right="0" w:hanging="0"/>
              <w:jc w:val="left"/>
              <w:rPr/>
            </w:pPr>
            <w:r>
              <w:rPr/>
              <w:t>​</w:t>
            </w:r>
          </w:p>
        </w:tc>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bidi w:val="0"/>
              <w:spacing w:before="0" w:after="1"/>
              <w:ind w:left="0" w:right="0" w:hanging="0"/>
              <w:jc w:val="left"/>
              <w:rPr/>
            </w:pPr>
            <w:r>
              <w:rPr/>
              <w:t>​</w:t>
            </w:r>
          </w:p>
        </w:tc>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Changes in the fair value of Tellutax Contingent Consideration during the nine months ended September 30, 2023 were as follows:</w:t>
      </w:r>
    </w:p>
    <w:p>
      <w:pPr>
        <w:pStyle w:val="TextBody"/>
        <w:bidi w:val="0"/>
        <w:spacing w:before="0" w:after="0"/>
        <w:ind w:left="0" w:right="0" w:hanging="0"/>
        <w:jc w:val="left"/>
        <w:rPr/>
      </w:pPr>
      <w:r>
        <w:rPr/>
        <w:t>​</w:t>
      </w:r>
    </w:p>
    <w:tbl>
      <w:tblPr>
        <w:tblW w:w="3771" w:type="dxa"/>
        <w:jc w:val="left"/>
        <w:tblInd w:w="0" w:type="dxa"/>
        <w:tblLayout w:type="fixed"/>
        <w:tblCellMar>
          <w:top w:w="0" w:type="dxa"/>
          <w:left w:w="0" w:type="dxa"/>
          <w:bottom w:w="0" w:type="dxa"/>
          <w:right w:w="0" w:type="dxa"/>
        </w:tblCellMar>
      </w:tblPr>
      <w:tblGrid>
        <w:gridCol w:w="2491"/>
        <w:gridCol w:w="109"/>
        <w:gridCol w:w="277"/>
        <w:gridCol w:w="89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581785" cy="175260"/>
                      <wp:effectExtent l="0" t="0" r="0" b="0"/>
                      <wp:wrapNone/>
                      <wp:docPr id="181" name="Frame18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75895" cy="175260"/>
                      <wp:effectExtent l="0" t="0" r="0" b="0"/>
                      <wp:wrapNone/>
                      <wp:docPr id="183" name="Frame18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7690" cy="175260"/>
                      <wp:effectExtent l="0" t="0" r="0" b="0"/>
                      <wp:wrapNone/>
                      <wp:docPr id="184" name="Frame184"/>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Tellutax</w:t>
            </w:r>
          </w:p>
        </w:tc>
      </w:tr>
      <w:tr>
        <w:trPr/>
        <w:tc>
          <w:tcPr>
            <w:tcW w:w="24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Contingent</w:t>
            </w:r>
          </w:p>
        </w:tc>
      </w:tr>
      <w:tr>
        <w:trPr/>
        <w:tc>
          <w:tcPr>
            <w:tcW w:w="24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Consideration</w:t>
            </w:r>
          </w:p>
        </w:tc>
      </w:tr>
      <w:tr>
        <w:trPr/>
        <w:tc>
          <w:tcPr>
            <w:tcW w:w="24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pPr>
            <w:r>
              <w:rPr/>
              <w:t>​</w:t>
            </w:r>
          </w:p>
        </w:tc>
      </w:tr>
      <w:tr>
        <w:trPr/>
        <w:tc>
          <w:tcPr>
            <w:tcW w:w="24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January 1, 2023</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24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Fair value adjustments</w:t>
            </w:r>
          </w:p>
        </w:tc>
        <w:tc>
          <w:tcPr>
            <w:tcW w:w="109"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w:t>
            </w:r>
          </w:p>
        </w:tc>
      </w:tr>
      <w:tr>
        <w:trPr/>
        <w:tc>
          <w:tcPr>
            <w:tcW w:w="24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2023</w:t>
            </w:r>
          </w:p>
        </w:tc>
        <w:tc>
          <w:tcPr>
            <w:tcW w:w="109"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4,700</w:t>
            </w:r>
          </w:p>
        </w:tc>
      </w:tr>
      <w:tr>
        <w:trPr/>
        <w:tc>
          <w:tcPr>
            <w:tcW w:w="2491"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Assets and Liabilities for Which Fair Value is Only Disclosed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cash and cash equivalents and the carrying amount of funds held for customers were the same as their respective fair values and are considered Level 1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 of our bank debt approximates fair value as the variable rates on the debt approximate those commercially available in the market, and is considered a Level 3 measurement.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Non-recurring Fair Value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LCR-Dixon Corporation (“LCR”) acquisition on September 22, 2021, the acquisition of EVAT Solutions Limited (“EVAT”) and its wholly owned subsidiaries (collectively, “Taxamo”) on May 12, 2021,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Deferred purchase consideration associated with the LCR acquisition was $10,000 and $19,824 at September 30, 2023 and December 31, 2022, respectively.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a contractual commitment to acquire the remaining equity interest from the original Systax Quotaholders incrementally through 2024. Future purchase commitment payments for these incremental acquisition amounts are based on a multiple of Systax revenue and earnings before interest, depreciation, amortization, and income taxes (“EBITDA”) performance at the end of 2022 and 2023, whereby the Company will have full ownership after the final transaction in 2024.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Liability at the acquisition date was finalized to be $12,592. This amount will fluctuate as a result of changes in foreign currency exchange rates and is reflected in purchase commitment and contingent consideration liabilities in the condensed consolidated balance sheets, with such changes in exchange rates being reflected in other comprehensive loss or income in the condensed consolidated statements of comprehensive loss. Adjustments to the settlement date value that arise as a result of remeasurement at future balance sheet dates will be recorded as interest expense related to financing costs in the condensed consolidated statements of comprehensive income (loss) in the period the change is identified. No such adjustments have been recorded for the three or nine months ended September 30, 2023 or 2022.</w:t>
      </w:r>
      <w:r>
        <w:rPr>
          <w:rFonts w:ascii="Times New Roman;Times;serif" w:hAnsi="Times New Roman;Times;serif"/>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acquired an additional 15% equity interest of Systax through a Purchase Commitment Liability payment of $0 and $4,975 during the three and nine months ended September 30, 2023, respectively, increasing the Company’s equity interest in Systax to 80%. The remaining Purchase Commitment Liability at September 30, 2023 was $5,342, and is included in purchase commitment and contingent consideration liabilities, current, in the condensed consolidated balance sheet.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Purchase Commitment Liability included in purchase commitment and contingent consideration liabilities, current and purchase commitment and contingent consideration liabilities, net of current portion in the consolidated balance sheets on December 31, 2022 was $4,749 and $5,012, respectively.</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amounts of both the LCR deferred purchase consideration and the Systax Purchase Commitment Liability amounts discussed above approximated their respective fair values at such dates and are considered Level 3 non-recurring fair value measurements.</w:t>
      </w:r>
    </w:p>
    <w:p>
      <w:pPr>
        <w:pStyle w:val="TextBody"/>
        <w:bidi w:val="0"/>
        <w:spacing w:before="0" w:after="0"/>
        <w:ind w:left="0" w:right="0" w:hanging="0"/>
        <w:jc w:val="left"/>
        <w:rPr/>
      </w:pPr>
      <w:r>
        <w:rPr/>
        <w:t>​</w:t>
      </w:r>
    </w:p>
    <w:p>
      <w:pPr>
        <w:pStyle w:val="TextBody"/>
        <w:bidi w:val="0"/>
        <w:spacing w:before="0" w:after="0"/>
        <w:ind w:left="380" w:right="0" w:hanging="0"/>
        <w:jc w:val="left"/>
        <w:rPr>
          <w:rFonts w:ascii="Times New Roman;Times;serif" w:hAnsi="Times New Roman;Times;serif"/>
          <w:b/>
          <w:sz w:val="20"/>
        </w:rPr>
      </w:pPr>
      <w:r>
        <w:rPr>
          <w:rFonts w:ascii="Times New Roman;Times;serif" w:hAnsi="Times New Roman;Times;serif"/>
          <w:b/>
          <w:sz w:val="20"/>
        </w:rPr>
        <w:t xml:space="preserve">Derivative Instruments </w:t>
      </w:r>
    </w:p>
    <w:p>
      <w:pPr>
        <w:pStyle w:val="TextBody"/>
        <w:bidi w:val="0"/>
        <w:spacing w:lineRule="atLeast" w:line="229" w:before="0" w:after="0"/>
        <w:ind w:left="0" w:right="0" w:hanging="0"/>
        <w:jc w:val="left"/>
        <w:rPr/>
      </w:pPr>
      <w:r>
        <w:rPr/>
        <w:t>​</w:t>
      </w:r>
    </w:p>
    <w:p>
      <w:pPr>
        <w:pStyle w:val="TextBody"/>
        <w:bidi w:val="0"/>
        <w:spacing w:before="0" w:after="0"/>
        <w:ind w:left="60" w:right="59" w:firstLine="324"/>
        <w:jc w:val="both"/>
        <w:rPr>
          <w:rFonts w:ascii="Times New Roman;Times;serif" w:hAnsi="Times New Roman;Times;serif"/>
          <w:sz w:val="20"/>
        </w:rPr>
      </w:pPr>
      <w:r>
        <w:rPr>
          <w:rFonts w:ascii="Times New Roman;Times;serif" w:hAnsi="Times New Roman;Times;serif"/>
          <w:sz w:val="20"/>
        </w:rPr>
        <w:t>The Company may periodically enter into derivative contracts to reduce our exposure to foreign currency exchange rates. Historically, the Company has not designated derivative contracts as hedges. Such derivative contracts are typically designed to manage specific risks according to our strategies, which may change from time to time.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entered into a series of foreign currency forward contracts to reduce our exposure to adverse fluctuations in the Brazilian Real associated with a portion of the Systax Purchase Commitment Liability. Such forward contracts, have not been designated as a hedge, do not qualify for hedge accounting and are not material to our condensed consolidated financial statements. These forward contacts are remeasured at fair value on a recurring basis and are included in other assets in our condensed consolidated balance sheets with changes in their estimated fair value recognized as interest expense in our condensed consolidated statements of comprehensive loss. Our fair value determinations are based on foreign currency exchange rates in active markets, which are considered to be Level 2 measurements within the Fair Value Hierarchy.</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bookmarkStart w:id="1744" w:name="Tc_3Fs1nkNleEy69QIudoznqQ_6_5"/>
      <w:bookmarkStart w:id="1745" w:name="Tc_QAu6-XV8qUiu3GgZqRB-Cw_6_2"/>
      <w:bookmarkStart w:id="1746" w:name="Tc_qKZvmRIeokmrtW7V8I5Tcg_6_0"/>
      <w:bookmarkStart w:id="1747" w:name="Tc_dJ_AxOooJ0ektn269ASsqg_5_0"/>
      <w:bookmarkStart w:id="1748" w:name="Tc_1MDg1ZBn30yV3vhwprafEg_4_5"/>
      <w:bookmarkStart w:id="1749" w:name="Tc_MYHITBY5eESTz7kWFTIL6Q_4_2"/>
      <w:bookmarkStart w:id="1750" w:name="Tc_-H3Yw0ujjEWdoiObi02Trw_4_0"/>
      <w:bookmarkStart w:id="1751" w:name="Tc_1acKbBL-CUOHt3xKcNk5hw_3_2"/>
      <w:bookmarkStart w:id="1752" w:name="Tc_mtXGy5W9e0y6CHJp20d-Pg_2_5"/>
      <w:bookmarkStart w:id="1753" w:name="Tc_E87ojS5TWkScrLxhoTSNlg_2_2"/>
      <w:bookmarkStart w:id="1754" w:name="Tc_2nMQ5n9XlE6QTSmkmWhSNg_1_2"/>
      <w:bookmarkStart w:id="1755" w:name="Tc_1wJomJy9DEyl28Re2Kt2ag_8_4"/>
      <w:bookmarkStart w:id="1756" w:name="Tc_o8XCLcFBzUS5IRShfca6FQ_8_1"/>
      <w:bookmarkStart w:id="1757" w:name="Tc_JdehImx-mUqGNtyXYvRHtw_8_0"/>
      <w:bookmarkStart w:id="1758" w:name="Tc___o0aCtGgk-1tqWpjZeNYA_7_0"/>
      <w:bookmarkStart w:id="1759" w:name="Tc_xXrufObd2kO-fs3GWnp4jw_6_0"/>
      <w:bookmarkStart w:id="1760" w:name="Tc_WMQXQIymJEWbp7NPP2MPUA_5_0"/>
      <w:bookmarkStart w:id="1761" w:name="Tc_8eNM-a-ZakqQjqKDCgq2Ew_4_4"/>
      <w:bookmarkStart w:id="1762" w:name="Tc_fVJK5gE-kEiU2rRWXxA5Yw_4_1"/>
      <w:bookmarkStart w:id="1763" w:name="Tc_mKHIkmJFD02WEG_e26VMjA_4_0"/>
      <w:bookmarkStart w:id="1764" w:name="Tc_Vm__gDaAok2HJqyBdKyalQ_3_2"/>
      <w:bookmarkStart w:id="1765" w:name="Tc_iBgkh0B0IkWTYOFzpdNLXw_2_4"/>
      <w:bookmarkStart w:id="1766" w:name="Tc_pgDNX_N1i0uuv0A4Sx5B4Q_2_1"/>
      <w:bookmarkStart w:id="1767" w:name="Tc_T-paw5Epm0W8rpRZPFCKBA_1_4"/>
      <w:bookmarkStart w:id="1768" w:name="Tc_pY5FnkWP8k6IZuCCK5aBlw_1_1"/>
      <w:bookmarkStart w:id="1769" w:name="Tc_Ka3TXnXi0EexYjS5NCxf3A_14_5"/>
      <w:bookmarkStart w:id="1770" w:name="Tc_AoJwcZ0AmUmuA2cs5BLP9w_14_2"/>
      <w:bookmarkStart w:id="1771" w:name="Tc_RjkZXa9Yok-7Q0RYUGikIg_14_0"/>
      <w:bookmarkStart w:id="1772" w:name="Tc_FNbkFGnSi0WBiTggcTm5oA_13_0"/>
      <w:bookmarkStart w:id="1773" w:name="Tc_PG8-_y8Kfky8wkXB8WbBEg_12_0"/>
      <w:bookmarkStart w:id="1774" w:name="Tc_Emt7OiQp3US-c735rPuvEw_11_0"/>
      <w:bookmarkStart w:id="1775" w:name="Tc_ycCRBYh1SEqzxoE52vKH-g_10_0"/>
      <w:bookmarkStart w:id="1776" w:name="Tc_LVJ4QOT4BUWHKsShm4JeHA_9_0"/>
      <w:bookmarkStart w:id="1777" w:name="Tc_r7bhBtCJrkymjmo3sbsOSw_8_0"/>
      <w:bookmarkStart w:id="1778" w:name="Tc_GHGUn0qB40SmbmWm0mPuyA_7_0"/>
      <w:bookmarkStart w:id="1779" w:name="Tc_LaAtSqVoMU6KrXulyiBkUw_6_0"/>
      <w:bookmarkStart w:id="1780" w:name="Tc_gNf2AAYUJ0m4Pj8QUw080g_5_0"/>
      <w:bookmarkStart w:id="1781" w:name="Tc_zO9_eX5hY0W92w2WZkwkMg_4_5"/>
      <w:bookmarkStart w:id="1782" w:name="Tc_-ub4QwvFKEGwTRo-3qMUSA_4_2"/>
      <w:bookmarkStart w:id="1783" w:name="Tc_RgxVJVm-eEy5M1wGxQXyaw_4_0"/>
      <w:bookmarkStart w:id="1784" w:name="Tc_L3V5LcyPj0qx1l8ySkQpgQ_3_2"/>
      <w:bookmarkStart w:id="1785" w:name="Tc_SpDOL2p42UCTOlCgJ0o5NQ_2_5"/>
      <w:bookmarkStart w:id="1786" w:name="Tc_XlJ13fZGZUKm_iy9p9wgdg_2_2"/>
      <w:bookmarkStart w:id="1787" w:name="Tc_7LG3-gBX9UqdZM3Gnf4elg_1_6"/>
      <w:bookmarkStart w:id="1788" w:name="Tc_llmKZQGyTku9ibcXH95Hkg_1_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r>
        <w:rPr>
          <w:rFonts w:ascii="Times New Roman;Times;serif" w:hAnsi="Times New Roman;Times;serif"/>
          <w:b/>
          <w:sz w:val="20"/>
        </w:rPr>
        <w:t>4.      PROPERTY AND EQUIPMENT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property and equipment are as follows:</w:t>
      </w:r>
    </w:p>
    <w:p>
      <w:pPr>
        <w:pStyle w:val="TextBody"/>
        <w:bidi w:val="0"/>
        <w:spacing w:before="0" w:after="0"/>
        <w:ind w:left="0" w:right="0" w:hanging="0"/>
        <w:jc w:val="left"/>
        <w:rPr/>
      </w:pPr>
      <w:r>
        <w:rPr/>
        <w:t>​</w:t>
      </w:r>
    </w:p>
    <w:tbl>
      <w:tblPr>
        <w:tblW w:w="8075" w:type="dxa"/>
        <w:jc w:val="left"/>
        <w:tblInd w:w="0" w:type="dxa"/>
        <w:tblLayout w:type="fixed"/>
        <w:tblCellMar>
          <w:top w:w="0" w:type="dxa"/>
          <w:left w:w="0" w:type="dxa"/>
          <w:bottom w:w="0" w:type="dxa"/>
          <w:right w:w="0" w:type="dxa"/>
        </w:tblCellMar>
      </w:tblPr>
      <w:tblGrid>
        <w:gridCol w:w="4051"/>
        <w:gridCol w:w="326"/>
        <w:gridCol w:w="211"/>
        <w:gridCol w:w="1606"/>
        <w:gridCol w:w="109"/>
        <w:gridCol w:w="211"/>
        <w:gridCol w:w="156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572385" cy="175260"/>
                      <wp:effectExtent l="0" t="0" r="0" b="0"/>
                      <wp:wrapNone/>
                      <wp:docPr id="185" name="Frame185"/>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019810" cy="175260"/>
                      <wp:effectExtent l="0" t="0" r="0" b="0"/>
                      <wp:wrapNone/>
                      <wp:docPr id="188" name="Frame188"/>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991235" cy="175260"/>
                      <wp:effectExtent l="0" t="0" r="0" b="0"/>
                      <wp:wrapNone/>
                      <wp:docPr id="191" name="Frame19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8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pPr>
            <w:r>
              <w:rPr/>
              <w:t>​</w:t>
            </w:r>
          </w:p>
        </w:tc>
      </w:tr>
      <w:tr>
        <w:trPr/>
        <w:tc>
          <w:tcPr>
            <w:tcW w:w="40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20,929</w:t>
            </w:r>
          </w:p>
        </w:tc>
      </w:tr>
      <w:tr>
        <w:trPr/>
        <w:tc>
          <w:tcPr>
            <w:tcW w:w="40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39,238</w:t>
            </w:r>
          </w:p>
        </w:tc>
      </w:tr>
      <w:tr>
        <w:trPr/>
        <w:tc>
          <w:tcPr>
            <w:tcW w:w="40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Computer software purchased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11,892</w:t>
            </w:r>
          </w:p>
        </w:tc>
      </w:tr>
      <w:tr>
        <w:trPr/>
        <w:tc>
          <w:tcPr>
            <w:tcW w:w="40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Cloud-based customer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 systems and tools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42,035</w:t>
            </w:r>
          </w:p>
        </w:tc>
      </w:tr>
      <w:tr>
        <w:trPr/>
        <w:tc>
          <w:tcPr>
            <w:tcW w:w="40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7,665</w:t>
            </w:r>
          </w:p>
        </w:tc>
      </w:tr>
      <w:tr>
        <w:trPr/>
        <w:tc>
          <w:tcPr>
            <w:tcW w:w="40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282,939</w:t>
            </w:r>
          </w:p>
        </w:tc>
      </w:tr>
      <w:tr>
        <w:trPr/>
        <w:tc>
          <w:tcPr>
            <w:tcW w:w="40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(148,384)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(181,849)</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101,090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for property and equipment, excluding all internal-use software developed and finance leases, was $1,636 and $1,535 for the three months ended September 30, 2023 and 2022, respectively, and $5,120 and $4,923 for the nine months ended September 30, 2023 and 2022, respectively, and is reflected in depreciation and amortization in the condensed consolidated statements of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Finance lease amortization was $70</w:t>
      </w:r>
      <w:r>
        <w:rPr>
          <w:rFonts w:ascii="Times New Roman;Times;serif" w:hAnsi="Times New Roman;Times;serif"/>
          <w:color w:val="FF0000"/>
          <w:sz w:val="20"/>
        </w:rPr>
        <w:t xml:space="preserve"> </w:t>
      </w:r>
      <w:r>
        <w:rPr>
          <w:rFonts w:ascii="Times New Roman;Times;serif" w:hAnsi="Times New Roman;Times;serif"/>
          <w:sz w:val="20"/>
        </w:rPr>
        <w:t>and $174 for the three months ended September 30, 2023 and 2022, respectively, and $586 and $363 for the nine months ended September 30, 2023 and 2022, respectively, and is included in depreciation and amortization expense in the condensed consolidated statements of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Assets under finance leases of $303 and $1,461, net of accumulated amortization of $166 and $861, respectively, at September 30, 2023 and December 31, 2022, respectively, are included in property and equipment in the condensed consolidated balance sheets.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internal-use software are as follows:</w:t>
      </w:r>
    </w:p>
    <w:p>
      <w:pPr>
        <w:pStyle w:val="TextBody"/>
        <w:bidi w:val="0"/>
        <w:spacing w:before="0" w:after="0"/>
        <w:ind w:left="0" w:right="0" w:hanging="0"/>
        <w:jc w:val="left"/>
        <w:rPr/>
      </w:pPr>
      <w:r>
        <w:rPr/>
        <w:t>​</w:t>
      </w:r>
    </w:p>
    <w:tbl>
      <w:tblPr>
        <w:tblW w:w="8720" w:type="dxa"/>
        <w:jc w:val="left"/>
        <w:tblInd w:w="0" w:type="dxa"/>
        <w:tblLayout w:type="fixed"/>
        <w:tblCellMar>
          <w:top w:w="0" w:type="dxa"/>
          <w:left w:w="0" w:type="dxa"/>
          <w:bottom w:w="0" w:type="dxa"/>
          <w:right w:w="0" w:type="dxa"/>
        </w:tblCellMar>
      </w:tblPr>
      <w:tblGrid>
        <w:gridCol w:w="5401"/>
        <w:gridCol w:w="292"/>
        <w:gridCol w:w="1313"/>
        <w:gridCol w:w="109"/>
        <w:gridCol w:w="292"/>
        <w:gridCol w:w="1313"/>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429635" cy="175260"/>
                      <wp:effectExtent l="0" t="0" r="0" b="0"/>
                      <wp:wrapNone/>
                      <wp:docPr id="192" name="Frame192"/>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5420" cy="175260"/>
                      <wp:effectExtent l="0" t="0" r="0" b="0"/>
                      <wp:wrapNone/>
                      <wp:docPr id="193" name="Frame193"/>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833755" cy="175260"/>
                      <wp:effectExtent l="0" t="0" r="0" b="0"/>
                      <wp:wrapNone/>
                      <wp:docPr id="194" name="Frame194"/>
                      <a:graphic xmlns:a="http://schemas.openxmlformats.org/drawingml/2006/main">
                        <a:graphicData uri="http://schemas.microsoft.com/office/word/2010/wordprocessingShape">
                          <wps:wsp>
                            <wps:cNvSpPr txBox="1"/>
                            <wps:spPr>
                              <a:xfrm>
                                <a:off x="0" y="0"/>
                                <a:ext cx="833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85420" cy="175260"/>
                      <wp:effectExtent l="0" t="0" r="0" b="0"/>
                      <wp:wrapNone/>
                      <wp:docPr id="196" name="Frame196"/>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33755" cy="175260"/>
                      <wp:effectExtent l="0" t="0" r="0" b="0"/>
                      <wp:wrapNone/>
                      <wp:docPr id="197" name="Frame197"/>
                      <a:graphic xmlns:a="http://schemas.openxmlformats.org/drawingml/2006/main">
                        <a:graphicData uri="http://schemas.microsoft.com/office/word/2010/wordprocessingShape">
                          <wps:wsp>
                            <wps:cNvSpPr txBox="1"/>
                            <wps:spPr>
                              <a:xfrm>
                                <a:off x="0" y="0"/>
                                <a:ext cx="833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401"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0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13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1313" w:type="dxa"/>
            <w:tcBorders/>
            <w:vAlign w:val="center"/>
          </w:tcPr>
          <w:p>
            <w:pPr>
              <w:pStyle w:val="TableContents"/>
              <w:bidi w:val="0"/>
              <w:spacing w:before="0" w:after="0"/>
              <w:ind w:left="0" w:right="0" w:hanging="0"/>
              <w:jc w:val="center"/>
              <w:rPr/>
            </w:pPr>
            <w:r>
              <w:rPr/>
              <w:t>​</w:t>
            </w:r>
          </w:p>
        </w:tc>
      </w:tr>
      <w:tr>
        <w:trPr/>
        <w:tc>
          <w:tcPr>
            <w:tcW w:w="54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179,776</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185,015</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(107,992)</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(119,603)</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 of accumulated depreciation</w:t>
            </w:r>
          </w:p>
        </w:tc>
        <w:tc>
          <w:tcPr>
            <w:tcW w:w="292" w:type="dxa"/>
            <w:tcBorders/>
            <w:shd w:fill="CCEEFF" w:val="clear"/>
            <w:vAlign w:val="center"/>
          </w:tcPr>
          <w:p>
            <w:pPr>
              <w:pStyle w:val="TableContents"/>
              <w:bidi w:val="0"/>
              <w:spacing w:before="0" w:after="0"/>
              <w:ind w:left="0" w:right="0" w:hanging="0"/>
              <w:jc w:val="left"/>
              <w:rPr/>
            </w:pPr>
            <w:r>
              <w:rPr/>
              <w:t> </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71,784</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65,412</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15,857</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18,200</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87,641</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83,612</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Amounts included in property and equipment additions related to capitalized internal-use software on the condensed consolidated statements of cash flows are as follows:</w:t>
      </w:r>
    </w:p>
    <w:p>
      <w:pPr>
        <w:pStyle w:val="TextBody"/>
        <w:bidi w:val="0"/>
        <w:spacing w:before="0" w:after="0"/>
        <w:ind w:left="0" w:right="0" w:hanging="0"/>
        <w:jc w:val="left"/>
        <w:rPr/>
      </w:pPr>
      <w:r>
        <w:rPr/>
        <w:t>​</w:t>
      </w:r>
    </w:p>
    <w:tbl>
      <w:tblPr>
        <w:tblW w:w="6251" w:type="dxa"/>
        <w:jc w:val="left"/>
        <w:tblInd w:w="0" w:type="dxa"/>
        <w:tblLayout w:type="fixed"/>
        <w:tblCellMar>
          <w:top w:w="0" w:type="dxa"/>
          <w:left w:w="0" w:type="dxa"/>
          <w:bottom w:w="0" w:type="dxa"/>
          <w:right w:w="0" w:type="dxa"/>
        </w:tblCellMar>
      </w:tblPr>
      <w:tblGrid>
        <w:gridCol w:w="2731"/>
        <w:gridCol w:w="326"/>
        <w:gridCol w:w="337"/>
        <w:gridCol w:w="1081"/>
        <w:gridCol w:w="174"/>
        <w:gridCol w:w="337"/>
        <w:gridCol w:w="1265"/>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734185" cy="175260"/>
                      <wp:effectExtent l="0" t="0" r="0" b="0"/>
                      <wp:wrapNone/>
                      <wp:docPr id="198" name="Frame198"/>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3995" cy="175260"/>
                      <wp:effectExtent l="0" t="0" r="0" b="0"/>
                      <wp:wrapNone/>
                      <wp:docPr id="200" name="Frame200"/>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86435" cy="175260"/>
                      <wp:effectExtent l="0" t="0" r="0" b="0"/>
                      <wp:wrapNone/>
                      <wp:docPr id="201" name="Frame20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10490" cy="175260"/>
                      <wp:effectExtent l="0" t="0" r="0" b="0"/>
                      <wp:wrapNone/>
                      <wp:docPr id="202" name="Frame202"/>
                      <a:graphic xmlns:a="http://schemas.openxmlformats.org/drawingml/2006/main">
                        <a:graphicData uri="http://schemas.microsoft.com/office/word/2010/wordprocessingShape">
                          <wps:wsp>
                            <wps:cNvSpPr txBox="1"/>
                            <wps:spPr>
                              <a:xfrm>
                                <a:off x="0" y="0"/>
                                <a:ext cx="110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3995" cy="175260"/>
                      <wp:effectExtent l="0" t="0" r="0" b="0"/>
                      <wp:wrapNone/>
                      <wp:docPr id="203" name="Frame203"/>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803275" cy="175260"/>
                      <wp:effectExtent l="0" t="0" r="0" b="0"/>
                      <wp:wrapNone/>
                      <wp:docPr id="204" name="Frame204"/>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74" w:type="dxa"/>
            <w:tcBorders/>
            <w:vAlign w:val="center"/>
          </w:tcPr>
          <w:p>
            <w:pPr>
              <w:pStyle w:val="TableContents"/>
              <w:bidi w:val="0"/>
              <w:spacing w:before="0" w:after="0"/>
              <w:ind w:left="0" w:right="0" w:hanging="0"/>
              <w:jc w:val="center"/>
              <w:rPr/>
            </w:pPr>
            <w:r>
              <w:rPr/>
              <w:t>​</w:t>
            </w:r>
          </w:p>
        </w:tc>
        <w:tc>
          <w:tcPr>
            <w:tcW w:w="1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25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9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Cloud-based customer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22,170</w:t>
            </w:r>
          </w:p>
        </w:tc>
        <w:tc>
          <w:tcPr>
            <w:tcW w:w="174"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22,014</w:t>
            </w:r>
          </w:p>
        </w:tc>
      </w:tr>
      <w:tr>
        <w:trPr/>
        <w:tc>
          <w:tcPr>
            <w:tcW w:w="27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 systems and tools</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12,095</w:t>
            </w:r>
          </w:p>
        </w:tc>
        <w:tc>
          <w:tcPr>
            <w:tcW w:w="174"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9,496</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34,265</w:t>
            </w:r>
          </w:p>
        </w:tc>
        <w:tc>
          <w:tcPr>
            <w:tcW w:w="174"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31,510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In-process internal-use software developed is not depreciated until it is available for its intended use. Depreciation expense for internal-use software developed for cloud-based customer solutions for the three months ended September 30,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2023 and 2022 was $8,821 and $6,881, respectively, and $25,230 and $20,139, for the nine  months ended September 30, 2023 and 2022, respectively, and is included in cost of revenues, software subscriptions in the condensed consolidated statements of comprehensive loss.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for internal-use software developed for internal systems and tools for the three months ended September 30, 2023 and 2022 was $1,466 and $1,228, respectively, and $5,695 and $3,253 for the nine months ended September 30, 2023 and 2022, respectively, and is included in depreciation and amortization in the condensed consolidated statements of comprehensive loss.</w:t>
      </w:r>
    </w:p>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240"/>
        <w:ind w:left="360" w:right="0" w:hanging="0"/>
        <w:jc w:val="left"/>
        <w:rPr>
          <w:rFonts w:ascii="Times New Roman;Times;serif" w:hAnsi="Times New Roman;Times;serif"/>
          <w:b/>
          <w:sz w:val="20"/>
        </w:rPr>
      </w:pPr>
      <w:bookmarkStart w:id="1789" w:name="Tc_Ax4AvRj5C0OgQNkrxbK1Xg_8_5"/>
      <w:bookmarkStart w:id="1790" w:name="Tc_pZFKFXcR_kin49ZoS5NuOw_8_2"/>
      <w:bookmarkStart w:id="1791" w:name="Tc_RJHJGQpi5kmZqQPhi_2kSg_8_0"/>
      <w:bookmarkStart w:id="1792" w:name="Tc_EYrD_HoVtU-i6KQOdtabUg_7_0"/>
      <w:bookmarkStart w:id="1793" w:name="Tc_CJIEj_xKT0KQu3whXWmuAw_6_0"/>
      <w:bookmarkStart w:id="1794" w:name="Tc_KbrgbqBwz0-68F4f6sTyhw_5_0"/>
      <w:bookmarkStart w:id="1795" w:name="Tc_iVqreF6aN06AUNqMwrry7g_4_5"/>
      <w:bookmarkStart w:id="1796" w:name="Tc_xx9dqfVXOky5C_GGXF4mIQ_4_2"/>
      <w:bookmarkStart w:id="1797" w:name="Tc_DOFKIM92cE-5jkpF5AjngA_4_0"/>
      <w:bookmarkStart w:id="1798" w:name="Tc_msyiGS_0WkOy2GMM_vnWSw_3_2"/>
      <w:bookmarkStart w:id="1799" w:name="Tc_8bPpBteKD0Wsr0NrUzzICA_2_5"/>
      <w:bookmarkStart w:id="1800" w:name="Tc_XXpK_MYeLEi4z8M4MVHMyw_2_2"/>
      <w:bookmarkStart w:id="1801" w:name="Tc_L6zoyQglqEuf_LQNWHRp1Q_1_5"/>
      <w:bookmarkStart w:id="1802" w:name="Tc_neledt_49EuRp9QgLjxEhQ_1_2"/>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r>
        <w:rPr>
          <w:rFonts w:ascii="Times New Roman;Times;serif" w:hAnsi="Times New Roman;Times;serif"/>
          <w:b/>
          <w:sz w:val="20"/>
        </w:rPr>
        <w:t>5.    CAPITALIZED SOFTWARE</w:t>
      </w:r>
      <w:r>
        <w:rPr>
          <w:rFonts w:ascii="Times New Roman;Times;serif" w:hAnsi="Times New Roman;Times;serif"/>
          <w:b/>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Capitalized software includes acquired software and direct labor and related expenses for software developed for sale for new products and enhancements to existing products.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capitalized software are as follows:</w:t>
      </w:r>
    </w:p>
    <w:p>
      <w:pPr>
        <w:pStyle w:val="TextBody"/>
        <w:bidi w:val="0"/>
        <w:spacing w:before="0" w:after="0"/>
        <w:ind w:left="0" w:right="0" w:hanging="0"/>
        <w:jc w:val="left"/>
        <w:rPr/>
      </w:pPr>
      <w:r>
        <w:rPr/>
        <w:t>​</w:t>
      </w:r>
    </w:p>
    <w:tbl>
      <w:tblPr>
        <w:tblW w:w="8348" w:type="dxa"/>
        <w:jc w:val="left"/>
        <w:tblInd w:w="0" w:type="dxa"/>
        <w:tblLayout w:type="fixed"/>
        <w:tblCellMar>
          <w:top w:w="0" w:type="dxa"/>
          <w:left w:w="0" w:type="dxa"/>
          <w:bottom w:w="0" w:type="dxa"/>
          <w:right w:w="0" w:type="dxa"/>
        </w:tblCellMar>
      </w:tblPr>
      <w:tblGrid>
        <w:gridCol w:w="4486"/>
        <w:gridCol w:w="326"/>
        <w:gridCol w:w="341"/>
        <w:gridCol w:w="1264"/>
        <w:gridCol w:w="326"/>
        <w:gridCol w:w="337"/>
        <w:gridCol w:w="1268"/>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848610" cy="175260"/>
                      <wp:effectExtent l="0" t="0" r="0" b="0"/>
                      <wp:wrapNone/>
                      <wp:docPr id="205" name="Frame205"/>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6535" cy="175260"/>
                      <wp:effectExtent l="0" t="0" r="0" b="0"/>
                      <wp:wrapNone/>
                      <wp:docPr id="207" name="Frame207"/>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02640" cy="175260"/>
                      <wp:effectExtent l="0" t="0" r="0" b="0"/>
                      <wp:wrapNone/>
                      <wp:docPr id="208" name="Frame208"/>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3995" cy="175260"/>
                      <wp:effectExtent l="0" t="0" r="0" b="0"/>
                      <wp:wrapNone/>
                      <wp:docPr id="210" name="Frame210"/>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805180" cy="175260"/>
                      <wp:effectExtent l="0" t="0" r="0" b="0"/>
                      <wp:wrapNone/>
                      <wp:docPr id="211" name="Frame211"/>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    </w:t>
            </w:r>
          </w:p>
        </w:tc>
        <w:tc>
          <w:tcPr>
            <w:tcW w:w="1605" w:type="dxa"/>
            <w:gridSpan w:val="2"/>
            <w:tcBorders/>
            <w:vAlign w:val="center"/>
          </w:tcPr>
          <w:p>
            <w:pPr>
              <w:pStyle w:val="TableContents"/>
              <w:bidi w:val="0"/>
              <w:spacing w:before="0" w:after="1"/>
              <w:ind w:left="0" w:right="0" w:hanging="0"/>
              <w:jc w:val="center"/>
              <w:rPr/>
            </w:pPr>
            <w:r>
              <w:rPr/>
              <w:t>​</w:t>
            </w:r>
          </w:p>
        </w:tc>
      </w:tr>
      <w:tr>
        <w:trPr/>
        <w:tc>
          <w:tcPr>
            <w:tcW w:w="44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115,152</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96,577</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vAlign w:val="center"/>
          </w:tcPr>
          <w:p>
            <w:pPr>
              <w:pStyle w:val="TableContents"/>
              <w:bidi w:val="0"/>
              <w:spacing w:before="0" w:after="1"/>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(75,936)</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(62,197)</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 of accumulated 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12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39,216</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34,380</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capitalized software</w:t>
            </w:r>
          </w:p>
        </w:tc>
        <w:tc>
          <w:tcPr>
            <w:tcW w:w="326" w:type="dxa"/>
            <w:tcBorders/>
            <w:vAlign w:val="center"/>
          </w:tcPr>
          <w:p>
            <w:pPr>
              <w:pStyle w:val="TableContents"/>
              <w:bidi w:val="0"/>
              <w:spacing w:before="0" w:after="1"/>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4,632</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39,356</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39,012</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Software development costs capitalized for the three months ended September 30, 2023 and 2022, excluding acquisitions, were $5,041 and $4,362, respectively, and $14,083 and $10,288 for the nine months ended September 30, 2023 and 2022, respectively.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Capitalized software amortization expense, including amortization of acquired technology, was $5,147 and $4,163 for the three months ended September 30, 2023 and 2022, respectively, and $13,739 and $12,869 for the nine months ended September 30, 2023 and 2022, respectively, and is included in cost of revenues, software subscriptions in the condensed consolidated statements of comprehensive loss. </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803" w:name="Tc_bkFn3MbP3kWyz_2Am-6SMg_6_5"/>
      <w:bookmarkStart w:id="1804" w:name="Tc_CDfB9UaHIkOTiSkLK1UDZQ_6_2"/>
      <w:bookmarkStart w:id="1805" w:name="Tc_v-AgYimrBkGLmZAi52Gheg_6_0"/>
      <w:bookmarkStart w:id="1806" w:name="Tc_aH-BC9P2f0WyeT3AomZbzA_5_0"/>
      <w:bookmarkStart w:id="1807" w:name="Tc_GAfSmLAv0ESxtiPPWtHktQ_4_5"/>
      <w:bookmarkStart w:id="1808" w:name="Tc_UOQ7p9g70EWRi83stTmrBA_4_2"/>
      <w:bookmarkStart w:id="1809" w:name="Tc_05A7nS7l6EWTgncs2Ctl6Q_4_0"/>
      <w:bookmarkStart w:id="1810" w:name="Tc_enTBvWavQEypoP6TClSRjg_3_2"/>
      <w:bookmarkStart w:id="1811" w:name="Tc_X9o3T-X-zU6-NgsgCjxGiw_2_5"/>
      <w:bookmarkStart w:id="1812" w:name="Tc_V1hB227LYU6q55JnztUOMQ_2_2"/>
      <w:bookmarkStart w:id="1813" w:name="Tc_01EcY8lbZkSAobvXYbqy-Q_1_5"/>
      <w:bookmarkStart w:id="1814" w:name="Tc_cFN_uHS4yE2DaxDrhN_y-Q_1_2"/>
      <w:bookmarkEnd w:id="1803"/>
      <w:bookmarkEnd w:id="1804"/>
      <w:bookmarkEnd w:id="1805"/>
      <w:bookmarkEnd w:id="1806"/>
      <w:bookmarkEnd w:id="1807"/>
      <w:bookmarkEnd w:id="1808"/>
      <w:bookmarkEnd w:id="1809"/>
      <w:bookmarkEnd w:id="1810"/>
      <w:bookmarkEnd w:id="1811"/>
      <w:bookmarkEnd w:id="1812"/>
      <w:bookmarkEnd w:id="1813"/>
      <w:bookmarkEnd w:id="1814"/>
      <w:r>
        <w:rPr>
          <w:rFonts w:ascii="Times New Roman;Times;serif" w:hAnsi="Times New Roman;Times;serif"/>
          <w:b/>
          <w:sz w:val="20"/>
        </w:rPr>
        <w:t xml:space="preserve">6.    GOODWILL AND OTHER INTANGIBLE ASSETS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Goodwill and other intangible assets are as follows for the periods presented:</w:t>
      </w:r>
    </w:p>
    <w:p>
      <w:pPr>
        <w:pStyle w:val="TextBody"/>
        <w:bidi w:val="0"/>
        <w:spacing w:before="0" w:after="0"/>
        <w:ind w:left="360" w:right="0" w:hanging="0"/>
        <w:jc w:val="both"/>
        <w:rPr/>
      </w:pPr>
      <w:r>
        <w:rPr/>
        <w:t>​</w:t>
      </w:r>
    </w:p>
    <w:tbl>
      <w:tblPr>
        <w:tblW w:w="5694" w:type="dxa"/>
        <w:jc w:val="left"/>
        <w:tblInd w:w="0" w:type="dxa"/>
        <w:tblLayout w:type="fixed"/>
        <w:tblCellMar>
          <w:top w:w="0" w:type="dxa"/>
          <w:left w:w="0" w:type="dxa"/>
          <w:bottom w:w="0" w:type="dxa"/>
          <w:right w:w="0" w:type="dxa"/>
        </w:tblCellMar>
      </w:tblPr>
      <w:tblGrid>
        <w:gridCol w:w="2311"/>
        <w:gridCol w:w="109"/>
        <w:gridCol w:w="341"/>
        <w:gridCol w:w="1264"/>
        <w:gridCol w:w="109"/>
        <w:gridCol w:w="317"/>
        <w:gridCol w:w="1243"/>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467485" cy="175260"/>
                      <wp:effectExtent l="0" t="0" r="0" b="0"/>
                      <wp:wrapNone/>
                      <wp:docPr id="212" name="Frame21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6535" cy="175260"/>
                      <wp:effectExtent l="0" t="0" r="0" b="0"/>
                      <wp:wrapNone/>
                      <wp:docPr id="214" name="Frame214"/>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02640" cy="175260"/>
                      <wp:effectExtent l="0" t="0" r="0" b="0"/>
                      <wp:wrapNone/>
                      <wp:docPr id="215" name="Frame215"/>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1295" cy="175260"/>
                      <wp:effectExtent l="0" t="0" r="0" b="0"/>
                      <wp:wrapNone/>
                      <wp:docPr id="217" name="Frame217"/>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789305" cy="175260"/>
                      <wp:effectExtent l="0" t="0" r="0" b="0"/>
                      <wp:wrapNone/>
                      <wp:docPr id="218" name="Frame218"/>
                      <a:graphic xmlns:a="http://schemas.openxmlformats.org/drawingml/2006/main">
                        <a:graphicData uri="http://schemas.microsoft.com/office/word/2010/wordprocessingShape">
                          <wps:wsp>
                            <wps:cNvSpPr txBox="1"/>
                            <wps:spPr>
                              <a:xfrm>
                                <a:off x="0" y="0"/>
                                <a:ext cx="789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September 30, </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317" w:type="dxa"/>
            <w:tcBorders/>
            <w:vAlign w:val="center"/>
          </w:tcPr>
          <w:p>
            <w:pPr>
              <w:pStyle w:val="TableContents"/>
              <w:bidi w:val="0"/>
              <w:spacing w:before="0" w:after="0"/>
              <w:ind w:left="0" w:right="0" w:hanging="0"/>
              <w:jc w:val="center"/>
              <w:rPr/>
            </w:pPr>
            <w:r>
              <w:rPr/>
              <w:t>​</w:t>
            </w:r>
          </w:p>
        </w:tc>
        <w:tc>
          <w:tcPr>
            <w:tcW w:w="1243"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250,955</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251,842</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109"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109"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5,181</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253,976</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257,023</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bookmarkStart w:id="1815" w:name="Tc_EyUZYHpRYEGJf-70pObRYA_6_0"/>
      <w:bookmarkStart w:id="1816" w:name="Tc_fAl5wtEXAk-OpAbHgPvFtw_5_8"/>
      <w:bookmarkStart w:id="1817" w:name="Tc_E7heGRFwm0eLsKZq0_b7PA_5_5"/>
      <w:bookmarkStart w:id="1818" w:name="Tc_k_CetMNZ80-fb3BEjURL_Q_5_2"/>
      <w:bookmarkStart w:id="1819" w:name="Tc_-2UvFsk0m0mznkYvW_Hilw_5_0"/>
      <w:bookmarkStart w:id="1820" w:name="Tc_qOM6SCy0hEqNDO3VqCDB1w_4_8"/>
      <w:bookmarkStart w:id="1821" w:name="Tc_FsXyo1qIMEOMhQOKlrub0w_4_5"/>
      <w:bookmarkStart w:id="1822" w:name="Tc_5zE419Y2tkqgP8FutAKJow_4_2"/>
      <w:bookmarkStart w:id="1823" w:name="Tc_voxEsoFGO0OUL_faHAfq5w_4_0"/>
      <w:bookmarkStart w:id="1824" w:name="Tc_3rAUn_lX5k-ULLVLEM9MPA_3_0"/>
      <w:bookmarkStart w:id="1825" w:name="Tc_JMi8XkT9a0ers0R16gXJ6Q_2_8"/>
      <w:bookmarkStart w:id="1826" w:name="Tc_R7kMSvD4jki0gXM2phxoHQ_2_5"/>
      <w:bookmarkStart w:id="1827" w:name="Tc_8e71ID5GY02-yCvvZ40XSw_2_2"/>
      <w:bookmarkStart w:id="1828" w:name="Tc_eqisJY2buk24f0vRJ84vWg_2_0"/>
      <w:bookmarkStart w:id="1829" w:name="Tc_WyOrGoELp0mgJuZuWUjcww_1_8"/>
      <w:bookmarkStart w:id="1830" w:name="Tc_-n02qBZgUkCus2l5xCYwiw_1_5"/>
      <w:bookmarkStart w:id="1831" w:name="Tc_rb-IDq2rE06z143XFA7HrQ_1_2"/>
      <w:bookmarkStart w:id="1832" w:name="Tc_fCI0PdTdGU64Utv5UYWTFw_1_0"/>
      <w:bookmarkStart w:id="1833" w:name="Tc_b_2ZLkkUb06T6KSuqz4uSQ_8_8"/>
      <w:bookmarkStart w:id="1834" w:name="Tc_buf81RnfzUCnmPucSdivkA_8_5"/>
      <w:bookmarkStart w:id="1835" w:name="Tc_MvTk7tgTL0a0TRH70_t_HA_8_0"/>
      <w:bookmarkStart w:id="1836" w:name="Tc_fbMGJYcA4EGNoCQxpLKdfA_7_0"/>
      <w:bookmarkStart w:id="1837" w:name="Tc_kJE8bW5Yw02sEp-ig7SS1w_6_8"/>
      <w:bookmarkStart w:id="1838" w:name="Tc_2IjXNfGOjUGpHczgJlcMpw_6_5"/>
      <w:bookmarkStart w:id="1839" w:name="Tc_FzHVBO2OVkCBDKPIN4TiKw_6_0"/>
      <w:bookmarkStart w:id="1840" w:name="Tc_V1SA7Vc8fUybIhIebbzRsw_4_0"/>
      <w:bookmarkStart w:id="1841" w:name="Tc_iaUjGejcVEaZO4UgJHKdwg_3_5"/>
      <w:bookmarkStart w:id="1842" w:name="Tc_QMYmouLRUEqVbSSZaqiKpg_2_8"/>
      <w:bookmarkStart w:id="1843" w:name="Tc_3O-r_--yQ0efBHRg4wNd-Q_2_5"/>
      <w:bookmarkStart w:id="1844" w:name="Tc_uo21QFfvckSVeJmgnPNf9A_1_9"/>
      <w:bookmarkStart w:id="1845" w:name="Tc_ibBv8J-3B0egDJQXTkCFrA_1_6"/>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r>
        <w:rPr>
          <w:rFonts w:ascii="Times New Roman;Times;serif" w:hAnsi="Times New Roman;Times;serif"/>
          <w:sz w:val="20"/>
        </w:rPr>
        <w:t>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w:t>
      </w:r>
    </w:p>
    <w:p>
      <w:pPr>
        <w:pStyle w:val="TextBody"/>
        <w:bidi w:val="0"/>
        <w:spacing w:before="0" w:after="0"/>
        <w:ind w:left="0" w:right="0" w:hanging="0"/>
        <w:jc w:val="left"/>
        <w:rPr/>
      </w:pPr>
      <w:r>
        <w:rPr/>
        <w:t>​</w:t>
      </w:r>
    </w:p>
    <w:tbl>
      <w:tblPr>
        <w:tblW w:w="7960" w:type="dxa"/>
        <w:jc w:val="left"/>
        <w:tblInd w:w="0" w:type="dxa"/>
        <w:tblLayout w:type="fixed"/>
        <w:tblCellMar>
          <w:top w:w="0" w:type="dxa"/>
          <w:left w:w="0" w:type="dxa"/>
          <w:bottom w:w="0" w:type="dxa"/>
          <w:right w:w="0" w:type="dxa"/>
        </w:tblCellMar>
      </w:tblPr>
      <w:tblGrid>
        <w:gridCol w:w="3826"/>
        <w:gridCol w:w="109"/>
        <w:gridCol w:w="109"/>
        <w:gridCol w:w="109"/>
        <w:gridCol w:w="109"/>
        <w:gridCol w:w="211"/>
        <w:gridCol w:w="1606"/>
        <w:gridCol w:w="109"/>
        <w:gridCol w:w="211"/>
        <w:gridCol w:w="156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429510" cy="175260"/>
                      <wp:effectExtent l="0" t="0" r="0" b="0"/>
                      <wp:wrapNone/>
                      <wp:docPr id="219" name="Frame219"/>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019810" cy="175260"/>
                      <wp:effectExtent l="0" t="0" r="0" b="0"/>
                      <wp:wrapNone/>
                      <wp:docPr id="225" name="Frame225"/>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91235" cy="175260"/>
                      <wp:effectExtent l="0" t="0" r="0" b="0"/>
                      <wp:wrapNone/>
                      <wp:docPr id="228" name="Frame22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amortization period (years)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6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value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10,667</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(5,486)</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Carrying value</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5,181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amortization of other intangible assets:</w:t>
      </w:r>
    </w:p>
    <w:p>
      <w:pPr>
        <w:pStyle w:val="TextBody"/>
        <w:bidi w:val="0"/>
        <w:spacing w:before="0" w:after="0"/>
        <w:ind w:left="0" w:right="0" w:firstLine="360"/>
        <w:jc w:val="both"/>
        <w:rPr/>
      </w:pPr>
      <w:r>
        <w:rPr/>
        <w:t>​</w:t>
      </w:r>
    </w:p>
    <w:tbl>
      <w:tblPr>
        <w:tblW w:w="9777" w:type="dxa"/>
        <w:jc w:val="left"/>
        <w:tblInd w:w="0" w:type="dxa"/>
        <w:tblLayout w:type="fixed"/>
        <w:tblCellMar>
          <w:top w:w="0" w:type="dxa"/>
          <w:left w:w="0" w:type="dxa"/>
          <w:bottom w:w="0" w:type="dxa"/>
          <w:right w:w="0" w:type="dxa"/>
        </w:tblCellMar>
      </w:tblPr>
      <w:tblGrid>
        <w:gridCol w:w="3241"/>
        <w:gridCol w:w="109"/>
        <w:gridCol w:w="1034"/>
        <w:gridCol w:w="2071"/>
        <w:gridCol w:w="326"/>
        <w:gridCol w:w="404"/>
        <w:gridCol w:w="1096"/>
        <w:gridCol w:w="326"/>
        <w:gridCol w:w="275"/>
        <w:gridCol w:w="895"/>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58035" cy="175260"/>
                      <wp:effectExtent l="0" t="0" r="0" b="0"/>
                      <wp:wrapNone/>
                      <wp:docPr id="229" name="Frame229"/>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56590" cy="175260"/>
                      <wp:effectExtent l="0" t="0" r="0" b="0"/>
                      <wp:wrapNone/>
                      <wp:docPr id="231" name="Frame231"/>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15085" cy="175260"/>
                      <wp:effectExtent l="0" t="0" r="0" b="0"/>
                      <wp:wrapNone/>
                      <wp:docPr id="232" name="Frame232"/>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56540" cy="175260"/>
                      <wp:effectExtent l="0" t="0" r="0" b="0"/>
                      <wp:wrapNone/>
                      <wp:docPr id="234" name="Frame234"/>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5960" cy="175260"/>
                      <wp:effectExtent l="0" t="0" r="0" b="0"/>
                      <wp:wrapNone/>
                      <wp:docPr id="235" name="Frame23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74625" cy="175260"/>
                      <wp:effectExtent l="0" t="0" r="0" b="0"/>
                      <wp:wrapNone/>
                      <wp:docPr id="237" name="Frame237"/>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68325" cy="175260"/>
                      <wp:effectExtent l="0" t="0" r="0" b="0"/>
                      <wp:wrapNone/>
                      <wp:docPr id="238" name="Frame238"/>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three months ended September 30, </w:t>
            </w:r>
          </w:p>
        </w:tc>
        <w:tc>
          <w:tcPr>
            <w:tcW w:w="109" w:type="dxa"/>
            <w:tcBorders/>
            <w:vAlign w:val="center"/>
          </w:tcPr>
          <w:p>
            <w:pPr>
              <w:pStyle w:val="TableContents"/>
              <w:bidi w:val="0"/>
              <w:spacing w:before="0" w:after="0"/>
              <w:ind w:left="0" w:right="0" w:hanging="0"/>
              <w:jc w:val="left"/>
              <w:rPr/>
            </w:pPr>
            <w:r>
              <w:rPr/>
              <w:t>​</w:t>
            </w:r>
          </w:p>
        </w:tc>
        <w:tc>
          <w:tcPr>
            <w:tcW w:w="3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of Revenues, Software Subscriptions</w:t>
            </w:r>
          </w:p>
        </w:tc>
        <w:tc>
          <w:tcPr>
            <w:tcW w:w="326"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Expense</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26" w:type="dxa"/>
            <w:tcBorders/>
            <w:shd w:fill="CCEEFF" w:val="clear"/>
            <w:vAlign w:val="center"/>
          </w:tcPr>
          <w:p>
            <w:pPr>
              <w:pStyle w:val="TableContents"/>
              <w:bidi w:val="0"/>
              <w:spacing w:before="0" w:after="0"/>
              <w:ind w:left="0" w:right="0" w:hanging="0"/>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109"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r>
      <w:tr>
        <w:trPr/>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For the nine months ended September 30,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of Revenues, Software Subscriptions</w:t>
            </w:r>
          </w:p>
        </w:tc>
        <w:tc>
          <w:tcPr>
            <w:tcW w:w="326"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Expense</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shd w:fill="CCEEFF" w:val="clear"/>
            <w:vAlign w:val="center"/>
          </w:tcPr>
          <w:p>
            <w:pPr>
              <w:pStyle w:val="TableContents"/>
              <w:bidi w:val="0"/>
              <w:spacing w:before="0" w:after="0"/>
              <w:ind w:left="0" w:right="0" w:hanging="0"/>
              <w:jc w:val="left"/>
              <w:rPr/>
            </w:pPr>
            <w:r>
              <w:rPr/>
              <w:t>    </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w:t>
            </w:r>
          </w:p>
        </w:tc>
        <w:tc>
          <w:tcPr>
            <w:tcW w:w="326" w:type="dxa"/>
            <w:tcBorders/>
            <w:shd w:fill="CCEEFF" w:val="clear"/>
            <w:vAlign w:val="center"/>
          </w:tcPr>
          <w:p>
            <w:pPr>
              <w:pStyle w:val="TableContents"/>
              <w:bidi w:val="0"/>
              <w:spacing w:before="0" w:after="0"/>
              <w:ind w:left="0" w:right="0" w:hanging="0"/>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109"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3,200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46" w:name="Tc_gAKGmZXJcUWzBcY1oPBDGA_12_4"/>
      <w:bookmarkStart w:id="1847" w:name="Tc_HVQ2CNc8qkm23hcL3ZnmUA_12_1"/>
      <w:bookmarkStart w:id="1848" w:name="Tc_H7RFfR3lwEGTCz30zjRcoA_12_0"/>
      <w:bookmarkStart w:id="1849" w:name="Tc_sMTHcKZSB0qt__XU9Z9bzQ_11_4"/>
      <w:bookmarkStart w:id="1850" w:name="Tc_Hso2RklC_kiRv3FSQec_aA_11_1"/>
      <w:bookmarkStart w:id="1851" w:name="Tc_W62VkQRAgEO_W-IaaoOmkg_11_0"/>
      <w:bookmarkStart w:id="1852" w:name="Tc_esMR5bFjw0Wdrk9rgCdidw_10_0"/>
      <w:bookmarkStart w:id="1853" w:name="Tc_VsNxHPU39ECMlohcxz_P5g_9_0"/>
      <w:bookmarkStart w:id="1854" w:name="Tc_PTfqRYb0AE2gYqHgiGAaPQ_6_0"/>
      <w:bookmarkStart w:id="1855" w:name="Tc_2S5twpNMaEy9GX2JsYDYVg_5_4"/>
      <w:bookmarkStart w:id="1856" w:name="Tc_xXtKub2p_UWYhBSQXdMQDw_5_1"/>
      <w:bookmarkStart w:id="1857" w:name="Tc_CyEn1K-WmUeaVwWUGOGKhA_5_0"/>
      <w:bookmarkStart w:id="1858" w:name="Tc_89xV-0b95E6RNkkvyKKB9Q_3_2"/>
      <w:bookmarkStart w:id="1859" w:name="Tc_z5KbWAV0d0ufMIUVLAWsQQ_2_5"/>
      <w:bookmarkStart w:id="1860" w:name="Tc_ochS4_yKN0OoDNfDjRK-kw_2_2"/>
      <w:bookmarkStart w:id="1861" w:name="Tc_FJvmC65BfEyJFo3P0iMrPw_1_5"/>
      <w:bookmarkStart w:id="1862" w:name="Tc_hdg7W6rm2kmGhikBxWuB7A_1_2"/>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r>
        <w:rPr>
          <w:rFonts w:ascii="Times New Roman;Times;serif" w:hAnsi="Times New Roman;Times;serif"/>
          <w:b/>
          <w:i w:val="false"/>
          <w:caps w:val="false"/>
          <w:smallCaps w:val="false"/>
          <w:sz w:val="20"/>
        </w:rPr>
        <w:t>7.</w:t>
      </w:r>
      <w:r>
        <w:rPr>
          <w:rFonts w:ascii="Times New Roman;Times;serif" w:hAnsi="Times New Roman;Times;serif"/>
          <w:b/>
          <w:sz w:val="20"/>
        </w:rPr>
        <w:t>DEBT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Credit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8, 2022, the Company entered into the Second Amendment to the Credit Agreement, with a banking syndicate, which provides (i) a term loan in the aggregate amount of $50,000 (the “Term Loan”); and (ii) a $200,000 revolving facility (the “Line of Credit”). Our indebtedness at September 30, 2023 and December 31, 2022 was as follows:</w:t>
      </w:r>
    </w:p>
    <w:p>
      <w:pPr>
        <w:pStyle w:val="TextBody"/>
        <w:bidi w:val="0"/>
        <w:spacing w:before="0" w:after="0"/>
        <w:ind w:left="0" w:right="0" w:hanging="0"/>
        <w:jc w:val="left"/>
        <w:rPr/>
      </w:pPr>
      <w:r>
        <w:rPr/>
        <w:t>​</w:t>
      </w:r>
    </w:p>
    <w:tbl>
      <w:tblPr>
        <w:tblW w:w="6694" w:type="dxa"/>
        <w:jc w:val="left"/>
        <w:tblInd w:w="0" w:type="dxa"/>
        <w:tblLayout w:type="fixed"/>
        <w:tblCellMar>
          <w:top w:w="0" w:type="dxa"/>
          <w:left w:w="0" w:type="dxa"/>
          <w:bottom w:w="0" w:type="dxa"/>
          <w:right w:w="0" w:type="dxa"/>
        </w:tblCellMar>
      </w:tblPr>
      <w:tblGrid>
        <w:gridCol w:w="2836"/>
        <w:gridCol w:w="211"/>
        <w:gridCol w:w="1606"/>
        <w:gridCol w:w="109"/>
        <w:gridCol w:w="326"/>
        <w:gridCol w:w="160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800860" cy="175260"/>
                      <wp:effectExtent l="0" t="0" r="0" b="0"/>
                      <wp:wrapNone/>
                      <wp:docPr id="239" name="Frame239"/>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019810" cy="175260"/>
                      <wp:effectExtent l="0" t="0" r="0" b="0"/>
                      <wp:wrapNone/>
                      <wp:docPr id="241" name="Frame241"/>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019810" cy="175260"/>
                      <wp:effectExtent l="0" t="0" r="0" b="0"/>
                      <wp:wrapNone/>
                      <wp:docPr id="244" name="Frame24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06"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r>
      <w:tr>
        <w:trPr/>
        <w:tc>
          <w:tcPr>
            <w:tcW w:w="283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211"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46,875</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costs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net of current portion</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44,863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46,709</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net of financing costs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47,363</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48,897</w:t>
            </w:r>
          </w:p>
        </w:tc>
      </w:tr>
    </w:tbl>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STOCKHOLDERS’ EQUITY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and September 30, 2023, the Company issued 744 and 1,595 shares of Class A common stock, respectively, related to the exercise of options, net of 292 and 315 shares, respectively, returned to the Company in lieu of payment of the exercise price and taxes due on these exercises.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September 30, 2023, the Company issued 56 and 469 shares of Class A common stock, respectively, in connection with the vesting of Restricted Stock Units (“RSUs”), net of 24 and 266 shares, respectively, returned to the Company in lieu of payment of taxes due on the vesting of these RSUs.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September 30, 2023, the Company issued 92 and 198 shares of Class A common stock, respectively, in connection with the vesting of Restricted Stock Awards (“RSAs”), net of 7 and 7 shares, respectively, returned to the Company in lieu of payment of taxes due on the vesting of these RSAs.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and nine months ended September 30, 2023, a stockholder exchanged 879 and 3,468 shares of Class B common stock, for an equivalent number of shares of Class A common stock.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and September 30, 2022, the Company issued 212 and 577 shares of Class A, respectively, related to the exercise of options, net of 21 and 91 shares, respectively, returned to the Company in lieu of payment of the exercise price and taxes due on these exercises.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September 30, 2022, the Company issued 31 and 34 shares of Class A, respectively, in connection with the vesting of RSUs, net of 13 and 14 shares, respectively, returned to the Company in lieu of payment of taxes due on the vesting of these RSUs.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September 30, 2022, the Company issued 114 and 173 shares of Class A common stock, respectively in connection with the vesting of Restricted Stock Awards (“RSAs”), net of 15 and 15 shares, respectively, returned to the Company in lieu of payment of taxes due on the vesting of these RSAs.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and nine months ended September 30, 2022, a stockholder exchanged 0 and 5,500 shares of Class B common stock, respectively for an equivalent number of shares of Class A common stock. </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Tax Sharing Agreement 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termination of the Company’s S-Corporation election effective July 27, 2020, the Company entered into a tax sharing agreement (“Tax Sharing Agreement”) with the former S-Corporation shareholders. All obligations of the Company under the Tax Sharing Agreement are satisfied by adjustments of additional paid in capital.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No payments were required under the Tax Sharing Agreement in 2023. During the three and nine months ended September 30, 2022, the Company distributed $0 and $536, respectively, to the former S-Corporation shareholders under the Tax Sharing Agreement to settle the Company’s obligation for income taxes related to the allocation of taxable income to the S-Corporation short tax period ended July 26, 2020. </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63" w:name="Tc_Vw9thXTae0id-C3SQWfufg_20_12"/>
      <w:bookmarkStart w:id="1864" w:name="Tc_EoukKbdddEyERgfG6X-LNg_20_9"/>
      <w:bookmarkStart w:id="1865" w:name="Tc_981Srpo-KkSXJNZomDVHwQ_20_5"/>
      <w:bookmarkStart w:id="1866" w:name="Tc_xS1v7X2SOkCIE1jfR3wBIg_20_2"/>
      <w:bookmarkStart w:id="1867" w:name="Tc_d6I-EaQElEGcUjfmkDeX6A_20_0"/>
      <w:bookmarkStart w:id="1868" w:name="Tc_i0svJHjO80mg6XTLXQV7TQ_19_12"/>
      <w:bookmarkStart w:id="1869" w:name="Tc_6QUfyHAqS0OqI5aHTZdlOA_19_9"/>
      <w:bookmarkStart w:id="1870" w:name="Tc_vcLLuh1Cg06p_ytNQd9mfQ_19_5"/>
      <w:bookmarkStart w:id="1871" w:name="Tc_t_PBcwx7zEeIs4-MT4rYKg_19_2"/>
      <w:bookmarkStart w:id="1872" w:name="Tc_HlXg4D0mtEaAicfPf8hExA_19_0"/>
      <w:bookmarkStart w:id="1873" w:name="Tc_5JC-fa2d1E--T6BRs19zgg_17_0"/>
      <w:bookmarkStart w:id="1874" w:name="Tc_cEtYzx_GcEGFfMuDmd3-Jw_16_13"/>
      <w:bookmarkStart w:id="1875" w:name="Tc_R4OaGBIcA0KSWaEF3gzFYQ_16_10"/>
      <w:bookmarkStart w:id="1876" w:name="Tc_RPabzMUnnUW4pQ4rWqL5_g_16_6"/>
      <w:bookmarkStart w:id="1877" w:name="Tc_dDwpjeqSW0-VrJ4qxRo7eQ_16_3"/>
      <w:bookmarkStart w:id="1878" w:name="Tc_tuz6qwgQ4UqN7zPmXSgBog_16_0"/>
      <w:bookmarkStart w:id="1879" w:name="Tc_Pt7Ey3rpe0WHG-NKJW5I_A_15_0"/>
      <w:bookmarkStart w:id="1880" w:name="Tc_gX4NOJ86_UaoBatwJf_YLQ_14_0"/>
      <w:bookmarkStart w:id="1881" w:name="Tc_1UTXttq-skCRZUE9h3bm3w_12_12"/>
      <w:bookmarkStart w:id="1882" w:name="Tc_lAAJon4yu0GjBGJeRe8MqA_12_9"/>
      <w:bookmarkStart w:id="1883" w:name="Tc_Qt4Jlu2f3kWb0BzQg90YhQ_12_5"/>
      <w:bookmarkStart w:id="1884" w:name="Tc_zelFqfQmA0WUQWAYUP5HIQ_12_2"/>
      <w:bookmarkStart w:id="1885" w:name="Tc_Q-oC4spUBkWVXCrxko9zuA_12_0"/>
      <w:bookmarkStart w:id="1886" w:name="Tc_hNKgkd7oC0uVMMbNioZPhw_11_14"/>
      <w:bookmarkStart w:id="1887" w:name="Tc_D9IcnbFfLUOGwbBfT3wwIQ_11_11"/>
      <w:bookmarkStart w:id="1888" w:name="Tc_5UFoQJRFakWR8Xoh3yiaRQ_11_7"/>
      <w:bookmarkStart w:id="1889" w:name="Tc_Md9Oi29GdEO__gKcjyI1ew_11_4"/>
      <w:bookmarkStart w:id="1890" w:name="Tc_V51Dve7DSkGMlrlIkZRuUA_11_0"/>
      <w:bookmarkStart w:id="1891" w:name="Tc_FW5cZtCykEOl7YoYZLmIIg_10_12"/>
      <w:bookmarkStart w:id="1892" w:name="Tc_auVccJGq2UyRB8AoZettoQ_10_9"/>
      <w:bookmarkStart w:id="1893" w:name="Tc_icmeKGZHsUqCwjOMawznNg_10_5"/>
      <w:bookmarkStart w:id="1894" w:name="Tc_DxZ_VR-ho0acEizSGHRw0A_10_2"/>
      <w:bookmarkStart w:id="1895" w:name="Tc_dtbYwz7oqEulioMC07-dag_10_0"/>
      <w:bookmarkStart w:id="1896" w:name="Tc_NmVYKDsw50K26tykTKL0zA_9_0"/>
      <w:bookmarkStart w:id="1897" w:name="Tc_On-JVjUipEywHQ9hQmv2wA_7_12"/>
      <w:bookmarkStart w:id="1898" w:name="Tc_38R8tEFX-0qT_0uiN8vEaw_7_9"/>
      <w:bookmarkStart w:id="1899" w:name="Tc_okBIu12Q-kaE4Zx4MAZ7uA_7_5"/>
      <w:bookmarkStart w:id="1900" w:name="Tc_Mt0MUdtUskmg90j39xpx9Q_7_2"/>
      <w:bookmarkStart w:id="1901" w:name="Tc_ZRfYUMgIcki83iLlpxkS_Q_7_0"/>
      <w:bookmarkStart w:id="1902" w:name="Tc_jTXOAS-ubUupL9pr_RhhMg_6_14"/>
      <w:bookmarkStart w:id="1903" w:name="Tc_aZvGfjBN806SmCMxNlOt_g_6_11"/>
      <w:bookmarkStart w:id="1904" w:name="Tc__EJ-fTvfM0Grhi1fh6841w_6_7"/>
      <w:bookmarkStart w:id="1905" w:name="Tc_jlnKUbZuwk2KeGeA1BEk7g_6_4"/>
      <w:bookmarkStart w:id="1906" w:name="Tc_Vt4A6M5SuUmFnGIRE9-oNw_6_0"/>
      <w:bookmarkStart w:id="1907" w:name="Tc_RsQwaclwrEallxzt9d9WRg_5_12"/>
      <w:bookmarkStart w:id="1908" w:name="Tc_F5yfT52kUkOJFDv3V--KSA_5_9"/>
      <w:bookmarkStart w:id="1909" w:name="Tc_elNrVxnAe0eJ6UVvpYl4fQ_5_5"/>
      <w:bookmarkStart w:id="1910" w:name="Tc_b05EZJt4sE6-g8LYxQYv6A_5_2"/>
      <w:bookmarkStart w:id="1911" w:name="Tc_E7azGfYN_EuNBRwl7DvR9Q_5_0"/>
      <w:bookmarkStart w:id="1912" w:name="Tc_WXBfE3DDA0iNc3moEk8dIQ_4_0"/>
      <w:bookmarkStart w:id="1913" w:name="Tc_KLuKl6X150KkeUV8giKTOQ_3_9"/>
      <w:bookmarkStart w:id="1914" w:name="Tc__-d_kByyW0-CxgBhExCnRA_3_2"/>
      <w:bookmarkStart w:id="1915" w:name="Tc_jE-01Thvi0yA6SidGvLI4Q_2_12"/>
      <w:bookmarkStart w:id="1916" w:name="Tc_SWeb2_6BKU6I6wl_fZ4ItA_2_9"/>
      <w:bookmarkStart w:id="1917" w:name="Tc_43Q9R45OUkS7XZbh5ZTtFg_2_5"/>
      <w:bookmarkStart w:id="1918" w:name="Tc_kQ_UAKeQ3EavzwP5s16Q1g_2_2"/>
      <w:bookmarkStart w:id="1919" w:name="Tc_c8N4rNzSz0eLtPkklPOMNw_2_0"/>
      <w:bookmarkStart w:id="1920" w:name="Tc_aUFKRaAE5kqFSdVfphL_kw_1_9"/>
      <w:bookmarkStart w:id="1921" w:name="Tc_0sps85mB3EmQt6FoDc62TA_1_2"/>
      <w:bookmarkStart w:id="1922" w:name="_e33def32_f154_44a5_90fc_3b934590cd3f"/>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r>
        <w:rPr>
          <w:rFonts w:ascii="Times New Roman;Times;serif" w:hAnsi="Times New Roman;Times;serif"/>
          <w:b/>
          <w:sz w:val="20"/>
        </w:rPr>
        <w:t>9.    EARNINGS PER SHARE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tables below illustrate the calculation of basic and diluted net loss per common share for the Class A common stock and Class B common stock for the periods reflected below.</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704"/>
        <w:gridCol w:w="326"/>
        <w:gridCol w:w="263"/>
        <w:gridCol w:w="855"/>
        <w:gridCol w:w="450"/>
        <w:gridCol w:w="263"/>
        <w:gridCol w:w="855"/>
        <w:gridCol w:w="361"/>
        <w:gridCol w:w="109"/>
        <w:gridCol w:w="254"/>
        <w:gridCol w:w="930"/>
        <w:gridCol w:w="435"/>
        <w:gridCol w:w="254"/>
        <w:gridCol w:w="826"/>
        <w:gridCol w:w="320"/>
      </w:tblGrid>
      <w:tr>
        <w:trPr/>
        <w:tc>
          <w:tcPr>
            <w:tcW w:w="3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352040" cy="175260"/>
                      <wp:effectExtent l="0" t="0" r="0" b="0"/>
                      <wp:wrapNone/>
                      <wp:docPr id="245" name="Frame245"/>
                      <a:graphic xmlns:a="http://schemas.openxmlformats.org/drawingml/2006/main">
                        <a:graphicData uri="http://schemas.microsoft.com/office/word/2010/wordprocessingShape">
                          <wps:wsp>
                            <wps:cNvSpPr txBox="1"/>
                            <wps:spPr>
                              <a:xfrm>
                                <a:off x="0" y="0"/>
                                <a:ext cx="2352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67005" cy="175260"/>
                      <wp:effectExtent l="0" t="0" r="0" b="0"/>
                      <wp:wrapNone/>
                      <wp:docPr id="247" name="Frame24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42925" cy="175260"/>
                      <wp:effectExtent l="0" t="0" r="0" b="0"/>
                      <wp:wrapNone/>
                      <wp:docPr id="248" name="Frame248"/>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85750" cy="175260"/>
                      <wp:effectExtent l="0" t="0" r="0" b="0"/>
                      <wp:wrapNone/>
                      <wp:docPr id="249" name="Frame249"/>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67005" cy="175260"/>
                      <wp:effectExtent l="0" t="0" r="0" b="0"/>
                      <wp:wrapNone/>
                      <wp:docPr id="250" name="Frame25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42925" cy="175260"/>
                      <wp:effectExtent l="0" t="0" r="0" b="0"/>
                      <wp:wrapNone/>
                      <wp:docPr id="251" name="Frame251"/>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29235" cy="175260"/>
                      <wp:effectExtent l="0" t="0" r="0" b="0"/>
                      <wp:wrapNone/>
                      <wp:docPr id="252" name="Frame2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61290" cy="175260"/>
                      <wp:effectExtent l="0" t="0" r="0" b="0"/>
                      <wp:wrapNone/>
                      <wp:docPr id="254" name="Frame25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90550" cy="175260"/>
                      <wp:effectExtent l="0" t="0" r="0" b="0"/>
                      <wp:wrapNone/>
                      <wp:docPr id="255" name="Frame255"/>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76225" cy="175260"/>
                      <wp:effectExtent l="0" t="0" r="0" b="0"/>
                      <wp:wrapNone/>
                      <wp:docPr id="256" name="Frame256"/>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61290" cy="175260"/>
                      <wp:effectExtent l="0" t="0" r="0" b="0"/>
                      <wp:wrapNone/>
                      <wp:docPr id="257" name="Frame257"/>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24510" cy="175260"/>
                      <wp:effectExtent l="0" t="0" r="0" b="0"/>
                      <wp:wrapNone/>
                      <wp:docPr id="258" name="Frame2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3200" cy="175260"/>
                      <wp:effectExtent l="0" t="0" r="0" b="0"/>
                      <wp:wrapNone/>
                      <wp:docPr id="259" name="Frame25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September 30,  </w:t>
            </w:r>
          </w:p>
        </w:tc>
        <w:tc>
          <w:tcPr>
            <w:tcW w:w="320" w:type="dxa"/>
            <w:tcBorders/>
            <w:vAlign w:val="center"/>
          </w:tcPr>
          <w:p>
            <w:pPr>
              <w:pStyle w:val="TableContents"/>
              <w:bidi w:val="0"/>
              <w:spacing w:before="0" w:after="0"/>
              <w:ind w:left="0" w:right="0" w:hanging="0"/>
              <w:jc w:val="left"/>
              <w:rPr/>
            </w:pPr>
            <w:r>
              <w:rPr/>
              <w:t> </w:t>
            </w:r>
          </w:p>
        </w:tc>
      </w:tr>
      <w:tr>
        <w:trPr/>
        <w:tc>
          <w:tcPr>
            <w:tcW w:w="370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 A common stock:</w:t>
            </w:r>
          </w:p>
        </w:tc>
        <w:tc>
          <w:tcPr>
            <w:tcW w:w="326" w:type="dxa"/>
            <w:tcBorders/>
            <w:vAlign w:val="center"/>
          </w:tcPr>
          <w:p>
            <w:pPr>
              <w:pStyle w:val="TableContents"/>
              <w:bidi w:val="0"/>
              <w:spacing w:before="0" w:after="0"/>
              <w:ind w:left="0" w:right="0" w:hanging="0"/>
              <w:jc w:val="left"/>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0" w:type="dxa"/>
            <w:tcBorders/>
            <w:vAlign w:val="center"/>
          </w:tcPr>
          <w:p>
            <w:pPr>
              <w:pStyle w:val="TableContents"/>
              <w:bidi w:val="0"/>
              <w:spacing w:before="0" w:after="0"/>
              <w:ind w:left="0" w:right="0" w:hanging="0"/>
              <w:jc w:val="left"/>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5"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0" w:type="dxa"/>
            <w:tcBorders/>
            <w:vAlign w:val="center"/>
          </w:tcPr>
          <w:p>
            <w:pPr>
              <w:pStyle w:val="TableContents"/>
              <w:bidi w:val="0"/>
              <w:spacing w:before="0" w:after="0"/>
              <w:ind w:left="0" w:right="0" w:hanging="0"/>
              <w:jc w:val="left"/>
              <w:rPr/>
            </w:pPr>
            <w:r>
              <w:rPr/>
              <w:t> </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7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9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0" w:type="dxa"/>
            <w:tcBorders/>
            <w:vAlign w:val="center"/>
          </w:tcPr>
          <w:p>
            <w:pPr>
              <w:pStyle w:val="TableContents"/>
              <w:bidi w:val="0"/>
              <w:spacing w:before="0" w:after="0"/>
              <w:ind w:left="0" w:right="0" w:hanging="0"/>
              <w:jc w:val="left"/>
              <w:rPr/>
            </w:pPr>
            <w:r>
              <w:rPr/>
              <w:t> </w:t>
            </w:r>
          </w:p>
        </w:tc>
      </w:tr>
      <w:tr>
        <w:trPr/>
        <w:tc>
          <w:tcPr>
            <w:tcW w:w="37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 basic:</w:t>
            </w:r>
          </w:p>
        </w:tc>
        <w:tc>
          <w:tcPr>
            <w:tcW w:w="326"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450"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  </w:t>
            </w:r>
          </w:p>
        </w:tc>
        <w:tc>
          <w:tcPr>
            <w:tcW w:w="435"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37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all stockholders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(3,399)</w:t>
            </w:r>
          </w:p>
        </w:tc>
        <w:tc>
          <w:tcPr>
            <w:tcW w:w="450"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(28,427)</w:t>
            </w:r>
          </w:p>
        </w:tc>
        <w:tc>
          <w:tcPr>
            <w:tcW w:w="435"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(6,995)</w:t>
            </w:r>
          </w:p>
        </w:tc>
        <w:tc>
          <w:tcPr>
            <w:tcW w:w="320" w:type="dxa"/>
            <w:tcBorders/>
            <w:vAlign w:val="center"/>
          </w:tcPr>
          <w:p>
            <w:pPr>
              <w:pStyle w:val="TableContents"/>
              <w:bidi w:val="0"/>
              <w:spacing w:before="0" w:after="0"/>
              <w:ind w:left="0" w:right="0" w:hanging="0"/>
              <w:jc w:val="left"/>
              <w:rPr/>
            </w:pPr>
            <w:r>
              <w:rPr/>
              <w:t>​</w:t>
            </w:r>
          </w:p>
        </w:tc>
      </w:tr>
      <w:tr>
        <w:trPr/>
        <w:tc>
          <w:tcPr>
            <w:tcW w:w="37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 stock as a percentage of total shares outstanding, basic</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Class A stockholders, basic</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450"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(9,960)</w:t>
            </w:r>
          </w:p>
        </w:tc>
        <w:tc>
          <w:tcPr>
            <w:tcW w:w="435"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w:t>
            </w:r>
          </w:p>
        </w:tc>
        <w:tc>
          <w:tcPr>
            <w:tcW w:w="320" w:type="dxa"/>
            <w:tcBorders/>
            <w:vAlign w:val="center"/>
          </w:tcPr>
          <w:p>
            <w:pPr>
              <w:pStyle w:val="TableContents"/>
              <w:bidi w:val="0"/>
              <w:spacing w:before="0" w:after="0"/>
              <w:ind w:left="0" w:right="0" w:hanging="0"/>
              <w:jc w:val="left"/>
              <w:rPr/>
            </w:pPr>
            <w:r>
              <w:rPr/>
              <w:t>​</w:t>
            </w:r>
          </w:p>
        </w:tc>
      </w:tr>
      <w:tr>
        <w:trPr/>
        <w:tc>
          <w:tcPr>
            <w:tcW w:w="37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450"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37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 diluted:</w:t>
            </w:r>
          </w:p>
        </w:tc>
        <w:tc>
          <w:tcPr>
            <w:tcW w:w="32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  </w:t>
            </w:r>
          </w:p>
        </w:tc>
        <w:tc>
          <w:tcPr>
            <w:tcW w:w="450"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  </w:t>
            </w:r>
          </w:p>
        </w:tc>
        <w:tc>
          <w:tcPr>
            <w:tcW w:w="435"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left"/>
              <w:rPr/>
            </w:pPr>
            <w:r>
              <w:rPr/>
              <w:t>​</w:t>
            </w:r>
          </w:p>
        </w:tc>
      </w:tr>
      <w:tr>
        <w:trPr/>
        <w:tc>
          <w:tcPr>
            <w:tcW w:w="37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all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(3,399)</w:t>
            </w:r>
          </w:p>
        </w:tc>
        <w:tc>
          <w:tcPr>
            <w:tcW w:w="450"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(28,427)</w:t>
            </w:r>
          </w:p>
        </w:tc>
        <w:tc>
          <w:tcPr>
            <w:tcW w:w="435"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(6,995)</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37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 stock as a percentage of total shares outstanding, diluted</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w:t>
            </w:r>
          </w:p>
        </w:tc>
        <w:tc>
          <w:tcPr>
            <w:tcW w:w="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Class A stockholders,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450"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(9,960)</w:t>
            </w:r>
          </w:p>
        </w:tc>
        <w:tc>
          <w:tcPr>
            <w:tcW w:w="435"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37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c>
          <w:tcPr>
            <w:tcW w:w="450"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435"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w:t>
            </w:r>
          </w:p>
        </w:tc>
      </w:tr>
      <w:tr>
        <w:trPr/>
        <w:tc>
          <w:tcPr>
            <w:tcW w:w="37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pPr>
            <w:r>
              <w:rPr/>
              <w:t>  </w:t>
            </w:r>
          </w:p>
        </w:tc>
        <w:tc>
          <w:tcPr>
            <w:tcW w:w="450"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pPr>
            <w:r>
              <w:rPr/>
              <w:t>  </w:t>
            </w:r>
          </w:p>
        </w:tc>
        <w:tc>
          <w:tcPr>
            <w:tcW w:w="435"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37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Class A common stock, basic</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54,931</w:t>
            </w:r>
          </w:p>
        </w:tc>
        <w:tc>
          <w:tcPr>
            <w:tcW w:w="450"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53,050</w:t>
            </w:r>
          </w:p>
        </w:tc>
        <w:tc>
          <w:tcPr>
            <w:tcW w:w="435"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44,708</w:t>
            </w:r>
          </w:p>
        </w:tc>
        <w:tc>
          <w:tcPr>
            <w:tcW w:w="320" w:type="dxa"/>
            <w:tcBorders/>
            <w:vAlign w:val="center"/>
          </w:tcPr>
          <w:p>
            <w:pPr>
              <w:pStyle w:val="TableContents"/>
              <w:bidi w:val="0"/>
              <w:spacing w:before="0" w:after="0"/>
              <w:ind w:left="0" w:right="0" w:hanging="0"/>
              <w:jc w:val="left"/>
              <w:rPr/>
            </w:pPr>
            <w:r>
              <w:rPr/>
              <w:t>​</w:t>
            </w:r>
          </w:p>
        </w:tc>
      </w:tr>
      <w:tr>
        <w:trPr/>
        <w:tc>
          <w:tcPr>
            <w:tcW w:w="370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20"/>
              </w:rPr>
              <w:t>Dilutive effect of common stock equivalents</w:t>
            </w:r>
            <w:r>
              <w:rPr>
                <w:rFonts w:ascii="Times New Roman;Times;serif" w:hAnsi="Times New Roman;Times;serif"/>
                <w:sz w:val="14"/>
              </w:rPr>
              <w:t xml:space="preserve">(1) (2) </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0"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37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Class A common stock, diluted</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54,931</w:t>
            </w:r>
          </w:p>
        </w:tc>
        <w:tc>
          <w:tcPr>
            <w:tcW w:w="450"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53,050</w:t>
            </w:r>
          </w:p>
        </w:tc>
        <w:tc>
          <w:tcPr>
            <w:tcW w:w="435"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44,708</w:t>
            </w:r>
          </w:p>
        </w:tc>
        <w:tc>
          <w:tcPr>
            <w:tcW w:w="320" w:type="dxa"/>
            <w:tcBorders/>
            <w:vAlign w:val="center"/>
          </w:tcPr>
          <w:p>
            <w:pPr>
              <w:pStyle w:val="TableContents"/>
              <w:bidi w:val="0"/>
              <w:spacing w:before="0" w:after="0"/>
              <w:ind w:left="0" w:right="0" w:hanging="0"/>
              <w:jc w:val="left"/>
              <w:rPr/>
            </w:pPr>
            <w:r>
              <w:rPr/>
              <w:t>​</w:t>
            </w:r>
          </w:p>
        </w:tc>
      </w:tr>
      <w:tr>
        <w:trPr/>
        <w:tc>
          <w:tcPr>
            <w:tcW w:w="37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450"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37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Class A share, basic</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450"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435"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0" w:type="dxa"/>
            <w:tcBorders/>
            <w:vAlign w:val="center"/>
          </w:tcPr>
          <w:p>
            <w:pPr>
              <w:pStyle w:val="TableContents"/>
              <w:bidi w:val="0"/>
              <w:spacing w:before="0" w:after="0"/>
              <w:ind w:left="0" w:right="0" w:hanging="0"/>
              <w:jc w:val="left"/>
              <w:rPr/>
            </w:pPr>
            <w:r>
              <w:rPr/>
              <w:t>​</w:t>
            </w:r>
          </w:p>
        </w:tc>
      </w:tr>
      <w:tr>
        <w:trPr/>
        <w:tc>
          <w:tcPr>
            <w:tcW w:w="37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Class A share,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450"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435"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0"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64"/>
        <w:gridCol w:w="9817"/>
      </w:tblGrid>
      <w:tr>
        <w:trPr/>
        <w:tc>
          <w:tcPr>
            <w:tcW w:w="124"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1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For the three months ended September 30, 2023, the following weighted-average outstanding shares of common stock equivalents by award type were excluded from the computation of diluted net loss per share attributable to Class A stockholders, as the impact of including them would have been anti-dilutive: 7,332</w:t>
            </w:r>
            <w:r>
              <w:rPr>
                <w:caps w:val="false"/>
                <w:smallCaps w:val="false"/>
              </w:rPr>
              <w:t xml:space="preserve"> </w:t>
            </w:r>
            <w:r>
              <w:rPr>
                <w:rFonts w:ascii="Times New Roman;Times;serif" w:hAnsi="Times New Roman;Times;serif"/>
                <w:b w:val="false"/>
                <w:i w:val="false"/>
                <w:caps w:val="false"/>
                <w:smallCaps w:val="false"/>
                <w:sz w:val="18"/>
              </w:rPr>
              <w:t>options (including 307</w:t>
            </w:r>
            <w:r>
              <w:rPr>
                <w:caps w:val="false"/>
                <w:smallCaps w:val="false"/>
              </w:rPr>
              <w:t xml:space="preserve"> </w:t>
            </w:r>
            <w:r>
              <w:rPr>
                <w:rFonts w:ascii="Times New Roman;Times;serif" w:hAnsi="Times New Roman;Times;serif"/>
                <w:b w:val="false"/>
                <w:i w:val="false"/>
                <w:caps w:val="false"/>
                <w:smallCaps w:val="false"/>
                <w:sz w:val="18"/>
              </w:rPr>
              <w:t>out-of-the-money options), 121</w:t>
            </w:r>
            <w:r>
              <w:rPr>
                <w:caps w:val="false"/>
                <w:smallCaps w:val="false"/>
              </w:rPr>
              <w:t xml:space="preserve"> </w:t>
            </w:r>
            <w:r>
              <w:rPr>
                <w:rFonts w:ascii="Times New Roman;Times;serif" w:hAnsi="Times New Roman;Times;serif"/>
                <w:b w:val="false"/>
                <w:i w:val="false"/>
                <w:caps w:val="false"/>
                <w:smallCaps w:val="false"/>
                <w:sz w:val="18"/>
              </w:rPr>
              <w:t>restricted stock awards (“RSAs”), 4,162</w:t>
            </w:r>
            <w:r>
              <w:rPr>
                <w:caps w:val="false"/>
                <w:smallCaps w:val="false"/>
              </w:rPr>
              <w:t xml:space="preserve"> </w:t>
            </w:r>
            <w:r>
              <w:rPr>
                <w:rFonts w:ascii="Times New Roman;Times;serif" w:hAnsi="Times New Roman;Times;serif"/>
                <w:b w:val="false"/>
                <w:i w:val="false"/>
                <w:caps w:val="false"/>
                <w:smallCaps w:val="false"/>
                <w:sz w:val="18"/>
              </w:rPr>
              <w:t>RSUs, and 36</w:t>
            </w:r>
            <w:r>
              <w:rPr>
                <w:caps w:val="false"/>
                <w:smallCaps w:val="false"/>
              </w:rPr>
              <w:t xml:space="preserve"> </w:t>
            </w:r>
            <w:r>
              <w:rPr>
                <w:rFonts w:ascii="Times New Roman;Times;serif" w:hAnsi="Times New Roman;Times;serif"/>
                <w:b w:val="false"/>
                <w:i w:val="false"/>
                <w:caps w:val="false"/>
                <w:smallCaps w:val="false"/>
                <w:sz w:val="18"/>
              </w:rPr>
              <w:t>shares under the ESPP. For the three months ended September</w:t>
            </w:r>
            <w:r>
              <w:rPr>
                <w:caps w:val="false"/>
                <w:smallCaps w:val="false"/>
              </w:rPr>
              <w:t xml:space="preserve"> </w:t>
            </w:r>
            <w:r>
              <w:rPr>
                <w:rFonts w:ascii="Times New Roman;Times;serif" w:hAnsi="Times New Roman;Times;serif"/>
                <w:b w:val="false"/>
                <w:i w:val="false"/>
                <w:caps w:val="false"/>
                <w:smallCaps w:val="false"/>
                <w:sz w:val="18"/>
              </w:rPr>
              <w:t>30, 2022, the following weighted-average outstanding shares of common stock equivalents by award type were excluded from the computation of diluted net loss per share attributable to Class A stockholders, as the impact of including them would have been anti-dilutive: 8,113</w:t>
            </w:r>
            <w:r>
              <w:rPr>
                <w:caps w:val="false"/>
                <w:smallCaps w:val="false"/>
              </w:rPr>
              <w:t xml:space="preserve"> </w:t>
            </w:r>
            <w:r>
              <w:rPr>
                <w:rFonts w:ascii="Times New Roman;Times;serif" w:hAnsi="Times New Roman;Times;serif"/>
                <w:b w:val="false"/>
                <w:i w:val="false"/>
                <w:caps w:val="false"/>
                <w:smallCaps w:val="false"/>
                <w:sz w:val="18"/>
              </w:rPr>
              <w:t>options (including 760</w:t>
            </w:r>
            <w:r>
              <w:rPr>
                <w:caps w:val="false"/>
                <w:smallCaps w:val="false"/>
              </w:rPr>
              <w:t xml:space="preserve"> </w:t>
            </w:r>
            <w:r>
              <w:rPr>
                <w:rFonts w:ascii="Times New Roman;Times;serif" w:hAnsi="Times New Roman;Times;serif"/>
                <w:b w:val="false"/>
                <w:i w:val="false"/>
                <w:caps w:val="false"/>
                <w:smallCaps w:val="false"/>
                <w:sz w:val="18"/>
              </w:rPr>
              <w:t>out-of-the-money options), 273</w:t>
            </w:r>
            <w:r>
              <w:rPr>
                <w:caps w:val="false"/>
                <w:smallCaps w:val="false"/>
              </w:rPr>
              <w:t xml:space="preserve"> </w:t>
            </w:r>
            <w:r>
              <w:rPr>
                <w:rFonts w:ascii="Times New Roman;Times;serif" w:hAnsi="Times New Roman;Times;serif"/>
                <w:b w:val="false"/>
                <w:i w:val="false"/>
                <w:caps w:val="false"/>
                <w:smallCaps w:val="false"/>
                <w:sz w:val="18"/>
              </w:rPr>
              <w:t>RSAs, 2,485</w:t>
            </w:r>
            <w:r>
              <w:rPr>
                <w:caps w:val="false"/>
                <w:smallCaps w:val="false"/>
              </w:rPr>
              <w:t xml:space="preserve"> </w:t>
            </w:r>
            <w:r>
              <w:rPr>
                <w:rFonts w:ascii="Times New Roman;Times;serif" w:hAnsi="Times New Roman;Times;serif"/>
                <w:b w:val="false"/>
                <w:i w:val="false"/>
                <w:caps w:val="false"/>
                <w:smallCaps w:val="false"/>
                <w:sz w:val="18"/>
              </w:rPr>
              <w:t>RSUs, and 53</w:t>
            </w:r>
            <w:r>
              <w:rPr>
                <w:caps w:val="false"/>
                <w:smallCaps w:val="false"/>
              </w:rPr>
              <w:t xml:space="preserve"> </w:t>
            </w:r>
            <w:r>
              <w:rPr>
                <w:rFonts w:ascii="Times New Roman;Times;serif" w:hAnsi="Times New Roman;Times;serif"/>
                <w:b w:val="false"/>
                <w:i w:val="false"/>
                <w:caps w:val="false"/>
                <w:smallCaps w:val="false"/>
                <w:sz w:val="18"/>
              </w:rPr>
              <w:t>shares under the ESPP.</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64"/>
        <w:gridCol w:w="9817"/>
      </w:tblGrid>
      <w:tr>
        <w:trPr/>
        <w:tc>
          <w:tcPr>
            <w:tcW w:w="124"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81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For the nine months ended September</w:t>
            </w:r>
            <w:r>
              <w:rPr>
                <w:caps w:val="false"/>
                <w:smallCaps w:val="false"/>
              </w:rPr>
              <w:t xml:space="preserve"> </w:t>
            </w:r>
            <w:r>
              <w:rPr>
                <w:rFonts w:ascii="Times New Roman;Times;serif" w:hAnsi="Times New Roman;Times;serif"/>
                <w:b w:val="false"/>
                <w:i w:val="false"/>
                <w:caps w:val="false"/>
                <w:smallCaps w:val="false"/>
                <w:sz w:val="18"/>
              </w:rPr>
              <w:t>30, 2023, the following weighted-average outstanding shares of common stock equivalents by award type were excluded from the computation of diluted net loss per share attributable to Class A stockholders, as the impact of including them would have been anti-dilutive: 7,814</w:t>
            </w:r>
            <w:r>
              <w:rPr>
                <w:caps w:val="false"/>
                <w:smallCaps w:val="false"/>
              </w:rPr>
              <w:t xml:space="preserve"> </w:t>
            </w:r>
            <w:r>
              <w:rPr>
                <w:rFonts w:ascii="Times New Roman;Times;serif" w:hAnsi="Times New Roman;Times;serif"/>
                <w:b w:val="false"/>
                <w:i w:val="false"/>
                <w:caps w:val="false"/>
                <w:smallCaps w:val="false"/>
                <w:sz w:val="18"/>
              </w:rPr>
              <w:t>options (including 498</w:t>
            </w:r>
            <w:r>
              <w:rPr>
                <w:caps w:val="false"/>
                <w:smallCaps w:val="false"/>
              </w:rPr>
              <w:t xml:space="preserve"> </w:t>
            </w:r>
            <w:r>
              <w:rPr>
                <w:rFonts w:ascii="Times New Roman;Times;serif" w:hAnsi="Times New Roman;Times;serif"/>
                <w:b w:val="false"/>
                <w:i w:val="false"/>
                <w:caps w:val="false"/>
                <w:smallCaps w:val="false"/>
                <w:sz w:val="18"/>
              </w:rPr>
              <w:t>out-of-the-money options), 193</w:t>
            </w:r>
            <w:r>
              <w:rPr>
                <w:caps w:val="false"/>
                <w:smallCaps w:val="false"/>
              </w:rPr>
              <w:t xml:space="preserve"> </w:t>
            </w:r>
            <w:r>
              <w:rPr>
                <w:rFonts w:ascii="Times New Roman;Times;serif" w:hAnsi="Times New Roman;Times;serif"/>
                <w:b w:val="false"/>
                <w:i w:val="false"/>
                <w:caps w:val="false"/>
                <w:smallCaps w:val="false"/>
                <w:sz w:val="18"/>
              </w:rPr>
              <w:t>RSAs, 3,825</w:t>
            </w:r>
            <w:r>
              <w:rPr>
                <w:caps w:val="false"/>
                <w:smallCaps w:val="false"/>
              </w:rPr>
              <w:t xml:space="preserve"> </w:t>
            </w:r>
            <w:r>
              <w:rPr>
                <w:rFonts w:ascii="Times New Roman;Times;serif" w:hAnsi="Times New Roman;Times;serif"/>
                <w:b w:val="false"/>
                <w:i w:val="false"/>
                <w:caps w:val="false"/>
                <w:smallCaps w:val="false"/>
                <w:sz w:val="18"/>
              </w:rPr>
              <w:t>RSUs, and 43</w:t>
            </w:r>
            <w:r>
              <w:rPr>
                <w:caps w:val="false"/>
                <w:smallCaps w:val="false"/>
              </w:rPr>
              <w:t xml:space="preserve"> </w:t>
            </w:r>
            <w:r>
              <w:rPr>
                <w:rFonts w:ascii="Times New Roman;Times;serif" w:hAnsi="Times New Roman;Times;serif"/>
                <w:b w:val="false"/>
                <w:i w:val="false"/>
                <w:caps w:val="false"/>
                <w:smallCaps w:val="false"/>
                <w:sz w:val="18"/>
              </w:rPr>
              <w:t>shares under the ESPP. For the nine months ended September 30, 2022, the following weighted-average outstanding shares of common stock equivalents by award type were excluded from the computation of diluted net loss per share attributable to Class A stockholders, as the impact of including them would have been anti-dilutive: 8,343</w:t>
            </w:r>
            <w:r>
              <w:rPr>
                <w:caps w:val="false"/>
                <w:smallCaps w:val="false"/>
              </w:rPr>
              <w:t xml:space="preserve"> </w:t>
            </w:r>
            <w:r>
              <w:rPr>
                <w:rFonts w:ascii="Times New Roman;Times;serif" w:hAnsi="Times New Roman;Times;serif"/>
                <w:b w:val="false"/>
                <w:i w:val="false"/>
                <w:caps w:val="false"/>
                <w:smallCaps w:val="false"/>
                <w:sz w:val="18"/>
              </w:rPr>
              <w:t>options (including 764</w:t>
            </w:r>
            <w:r>
              <w:rPr>
                <w:caps w:val="false"/>
                <w:smallCaps w:val="false"/>
              </w:rPr>
              <w:t xml:space="preserve"> </w:t>
            </w:r>
            <w:r>
              <w:rPr>
                <w:rFonts w:ascii="Times New Roman;Times;serif" w:hAnsi="Times New Roman;Times;serif"/>
                <w:b w:val="false"/>
                <w:i w:val="false"/>
                <w:caps w:val="false"/>
                <w:smallCaps w:val="false"/>
                <w:sz w:val="18"/>
              </w:rPr>
              <w:t>out-of-the-money options), 301</w:t>
            </w:r>
            <w:r>
              <w:rPr>
                <w:caps w:val="false"/>
                <w:smallCaps w:val="false"/>
              </w:rPr>
              <w:t xml:space="preserve"> </w:t>
            </w:r>
            <w:r>
              <w:rPr>
                <w:rFonts w:ascii="Times New Roman;Times;serif" w:hAnsi="Times New Roman;Times;serif"/>
                <w:b w:val="false"/>
                <w:i w:val="false"/>
                <w:caps w:val="false"/>
                <w:smallCaps w:val="false"/>
                <w:sz w:val="18"/>
              </w:rPr>
              <w:t>RSAs, 2,153</w:t>
            </w:r>
            <w:r>
              <w:rPr>
                <w:caps w:val="false"/>
                <w:smallCaps w:val="false"/>
              </w:rPr>
              <w:t xml:space="preserve"> </w:t>
            </w:r>
            <w:r>
              <w:rPr>
                <w:rFonts w:ascii="Times New Roman;Times;serif" w:hAnsi="Times New Roman;Times;serif"/>
                <w:b w:val="false"/>
                <w:i w:val="false"/>
                <w:caps w:val="false"/>
                <w:smallCaps w:val="false"/>
                <w:sz w:val="18"/>
              </w:rPr>
              <w:t>RSUs, and 48</w:t>
            </w:r>
            <w:r>
              <w:rPr>
                <w:caps w:val="false"/>
                <w:smallCaps w:val="false"/>
              </w:rPr>
              <w:t xml:space="preserve"> </w:t>
            </w:r>
            <w:r>
              <w:rPr>
                <w:rFonts w:ascii="Times New Roman;Times;serif" w:hAnsi="Times New Roman;Times;serif"/>
                <w:b w:val="false"/>
                <w:i w:val="false"/>
                <w:caps w:val="false"/>
                <w:smallCaps w:val="false"/>
                <w:sz w:val="18"/>
              </w:rPr>
              <w:t>shares under the ESPP.</w:t>
            </w:r>
          </w:p>
        </w:tc>
      </w:tr>
    </w:tbl>
    <w:p>
      <w:pPr>
        <w:pStyle w:val="TextBody"/>
        <w:bidi w:val="0"/>
        <w:spacing w:before="0" w:after="0"/>
        <w:ind w:left="450" w:right="0" w:hanging="0"/>
        <w:jc w:val="left"/>
        <w:rPr/>
      </w:pPr>
      <w:r>
        <w:rPr/>
        <w:t>​</w:t>
      </w:r>
    </w:p>
    <w:p>
      <w:pPr>
        <w:pStyle w:val="TextBody"/>
        <w:pBdr/>
        <w:bidi w:val="0"/>
        <w:spacing w:before="0" w:after="0"/>
        <w:ind w:left="0" w:right="0" w:hanging="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23" w:name="Tc_ZtjST_HBtUGlC2xvncEljg_20_12"/>
      <w:bookmarkStart w:id="1924" w:name="Tc_O9erbTOAEUmaKE3sYbMyvQ_20_9"/>
      <w:bookmarkStart w:id="1925" w:name="Tc_neCmMSHSeUiyEVmTcjHUWw_20_5"/>
      <w:bookmarkStart w:id="1926" w:name="Tc_kOCXEcxEPU-Ckbb2FsWaCw_20_2"/>
      <w:bookmarkStart w:id="1927" w:name="Tc_7ZYcltTETEee9Df-No3NMQ_20_0"/>
      <w:bookmarkStart w:id="1928" w:name="Tc_pcXhbEe2oEOn6yvC4a8t4Q_19_12"/>
      <w:bookmarkStart w:id="1929" w:name="Tc_WidPHsL3lEeEJHxB25R6zQ_19_9"/>
      <w:bookmarkStart w:id="1930" w:name="Tc_N0SkXcjgX0u7-SiYLZW2yg_19_5"/>
      <w:bookmarkStart w:id="1931" w:name="Tc_73uLGejZx0yKyayopvrW3g_19_2"/>
      <w:bookmarkStart w:id="1932" w:name="Tc_ce5pw37eUkePPL0_qRMBhQ_19_0"/>
      <w:bookmarkStart w:id="1933" w:name="Tc_XTfSQIHAS0a7GfnhfWqQnw_17_0"/>
      <w:bookmarkStart w:id="1934" w:name="Tc_dm6O0PgU6kG4fUMw945FYA_16_13"/>
      <w:bookmarkStart w:id="1935" w:name="Tc_YNnFYo0G0Eqq_yxQLr9i9w_16_10"/>
      <w:bookmarkStart w:id="1936" w:name="Tc_zeWec96zlEKLfXVXMph03w_16_6"/>
      <w:bookmarkStart w:id="1937" w:name="Tc_0vFWmF54zUCKYoqmafejYg_16_3"/>
      <w:bookmarkStart w:id="1938" w:name="Tc_UbM697YTA0KdrDFk9ivdtA_16_0"/>
      <w:bookmarkStart w:id="1939" w:name="Tc_fliGTNu2IUuvQYoTQc3dRQ_15_0"/>
      <w:bookmarkStart w:id="1940" w:name="Tc_M_Cvz_1hqEmoy3vviuV3Iw_14_0"/>
      <w:bookmarkStart w:id="1941" w:name="Tc_qsF4LTLcjEOU5SBURLwaMQ_12_12"/>
      <w:bookmarkStart w:id="1942" w:name="Tc_DaMAxaqCtUiRFjNzaoIl8A_12_9"/>
      <w:bookmarkStart w:id="1943" w:name="Tc_96qKmPkYEUKHE_wZSEwgfg_12_5"/>
      <w:bookmarkStart w:id="1944" w:name="Tc_9GTCpQlBLkCCRIt0AYMF_A_12_2"/>
      <w:bookmarkStart w:id="1945" w:name="Tc_iKiWkqXwzUCw8FqtJ4RcNg_12_0"/>
      <w:bookmarkStart w:id="1946" w:name="Tc_BJ-x1gSI1kaIV3Jz6FfOmw_11_14"/>
      <w:bookmarkStart w:id="1947" w:name="Tc_v3lJEL0Ig0mPxndLaiLiAw_11_11"/>
      <w:bookmarkStart w:id="1948" w:name="Tc_ZCmiVJRP80GFtxZNlvqyBg_11_7"/>
      <w:bookmarkStart w:id="1949" w:name="Tc_f8M_RjeW90yObJWfBINJSw_11_4"/>
      <w:bookmarkStart w:id="1950" w:name="Tc_m-Au40Zqf0u8DYkoqA_gTw_11_0"/>
      <w:bookmarkStart w:id="1951" w:name="Tc_GqMbPxMg8k2r_b29vW1EQg_10_12"/>
      <w:bookmarkStart w:id="1952" w:name="Tc_gaAO-8Wa-kW0qeI61XuMVA_10_9"/>
      <w:bookmarkStart w:id="1953" w:name="Tc_Ir7jOsm9XkGa0QkrX0RIAg_10_5"/>
      <w:bookmarkStart w:id="1954" w:name="Tc_HCSeFqGtAESglvfV_gHsCw_10_2"/>
      <w:bookmarkStart w:id="1955" w:name="Tc_7L32n_Z2wESkDdSkF5qu_A_10_0"/>
      <w:bookmarkStart w:id="1956" w:name="Tc_SFr3HH_R_U6OfobD3Ku6cQ_9_0"/>
      <w:bookmarkStart w:id="1957" w:name="Tc_vKGCUsU4akKkg3R6glPkCA_7_12"/>
      <w:bookmarkStart w:id="1958" w:name="Tc_d5n6603KIkWPJe8dek5IDA_7_9"/>
      <w:bookmarkStart w:id="1959" w:name="Tc_H7MOQ2gouki95I0r_w8vDw_7_5"/>
      <w:bookmarkStart w:id="1960" w:name="Tc_Hal9JoRRXE6OGwaneCRKCQ_7_2"/>
      <w:bookmarkStart w:id="1961" w:name="Tc_gu4e_IRAZkaVqLMSUJEfyQ_7_0"/>
      <w:bookmarkStart w:id="1962" w:name="Tc_6-cQ8hWCkkezCDIomrkxjw_6_14"/>
      <w:bookmarkStart w:id="1963" w:name="Tc_bWhX3VZ2LkaVvfeyjocTmg_6_11"/>
      <w:bookmarkStart w:id="1964" w:name="Tc_Qx8k-69TvUKI4JG96gXj5g_6_7"/>
      <w:bookmarkStart w:id="1965" w:name="Tc_CzDK6tGSFEGzcYpcNwMRPw_6_4"/>
      <w:bookmarkStart w:id="1966" w:name="Tc_8INh9oj2ikWVV75OwO7mng_6_0"/>
      <w:bookmarkStart w:id="1967" w:name="Tc_bWDYU1KuikaCjsFrLLy3ww_5_12"/>
      <w:bookmarkStart w:id="1968" w:name="Tc_DCo9DnZDTESCgV27qgRyLg_5_9"/>
      <w:bookmarkStart w:id="1969" w:name="Tc_EHIO-_6NSEi-hQhMwOStaA_5_5"/>
      <w:bookmarkStart w:id="1970" w:name="Tc_BSrtaGUpV0G5W-qf5JS9qw_5_2"/>
      <w:bookmarkStart w:id="1971" w:name="Tc_BVIJ_Wv2nUCEsRSsoBNKcA_5_0"/>
      <w:bookmarkStart w:id="1972" w:name="Tc_YEa30FWLakabLHBPW5wFPw_4_0"/>
      <w:bookmarkStart w:id="1973" w:name="Tc_9dEcfy_GN0CFi8a4qbzNIw_3_9"/>
      <w:bookmarkStart w:id="1974" w:name="Tc_hkW0T0IAQkmvziQXRXtPaA_3_2"/>
      <w:bookmarkStart w:id="1975" w:name="Tc_Knps9EdTiEGu5hlnw7jFaA_2_12"/>
      <w:bookmarkStart w:id="1976" w:name="Tc_TAwqNvJT4EScO_5Gq81k9Q_2_9"/>
      <w:bookmarkStart w:id="1977" w:name="Tc_f21kS7F3e0GEiKbFzEzRjw_2_5"/>
      <w:bookmarkStart w:id="1978" w:name="Tc_ofSzFmADfUC7UOAfJHe13g_2_2"/>
      <w:bookmarkStart w:id="1979" w:name="Tc_FSSk65Pqsk68Ol2IDRCPcw_2_0"/>
      <w:bookmarkStart w:id="1980" w:name="Tc_VXbvzZ_hT0KXq2gv2RBuLQ_1_9"/>
      <w:bookmarkStart w:id="1981" w:name="Tc_JnVJg8DLkEaTDkYxQGtbQA_1_2"/>
      <w:bookmarkStart w:id="1982" w:name="Tc_ZtjST_HBtUGlC2xvncEljg_20_12"/>
      <w:bookmarkStart w:id="1983" w:name="Tc_O9erbTOAEUmaKE3sYbMyvQ_20_9"/>
      <w:bookmarkStart w:id="1984" w:name="Tc_neCmMSHSeUiyEVmTcjHUWw_20_5"/>
      <w:bookmarkStart w:id="1985" w:name="Tc_kOCXEcxEPU-Ckbb2FsWaCw_20_2"/>
      <w:bookmarkStart w:id="1986" w:name="Tc_7ZYcltTETEee9Df-No3NMQ_20_0"/>
      <w:bookmarkStart w:id="1987" w:name="Tc_pcXhbEe2oEOn6yvC4a8t4Q_19_12"/>
      <w:bookmarkStart w:id="1988" w:name="Tc_WidPHsL3lEeEJHxB25R6zQ_19_9"/>
      <w:bookmarkStart w:id="1989" w:name="Tc_N0SkXcjgX0u7-SiYLZW2yg_19_5"/>
      <w:bookmarkStart w:id="1990" w:name="Tc_73uLGejZx0yKyayopvrW3g_19_2"/>
      <w:bookmarkStart w:id="1991" w:name="Tc_ce5pw37eUkePPL0_qRMBhQ_19_0"/>
      <w:bookmarkStart w:id="1992" w:name="Tc_XTfSQIHAS0a7GfnhfWqQnw_17_0"/>
      <w:bookmarkStart w:id="1993" w:name="Tc_dm6O0PgU6kG4fUMw945FYA_16_13"/>
      <w:bookmarkStart w:id="1994" w:name="Tc_YNnFYo0G0Eqq_yxQLr9i9w_16_10"/>
      <w:bookmarkStart w:id="1995" w:name="Tc_zeWec96zlEKLfXVXMph03w_16_6"/>
      <w:bookmarkStart w:id="1996" w:name="Tc_0vFWmF54zUCKYoqmafejYg_16_3"/>
      <w:bookmarkStart w:id="1997" w:name="Tc_UbM697YTA0KdrDFk9ivdtA_16_0"/>
      <w:bookmarkStart w:id="1998" w:name="Tc_fliGTNu2IUuvQYoTQc3dRQ_15_0"/>
      <w:bookmarkStart w:id="1999" w:name="Tc_M_Cvz_1hqEmoy3vviuV3Iw_14_0"/>
      <w:bookmarkStart w:id="2000" w:name="Tc_qsF4LTLcjEOU5SBURLwaMQ_12_12"/>
      <w:bookmarkStart w:id="2001" w:name="Tc_DaMAxaqCtUiRFjNzaoIl8A_12_9"/>
      <w:bookmarkStart w:id="2002" w:name="Tc_96qKmPkYEUKHE_wZSEwgfg_12_5"/>
      <w:bookmarkStart w:id="2003" w:name="Tc_9GTCpQlBLkCCRIt0AYMF_A_12_2"/>
      <w:bookmarkStart w:id="2004" w:name="Tc_iKiWkqXwzUCw8FqtJ4RcNg_12_0"/>
      <w:bookmarkStart w:id="2005" w:name="Tc_BJ-x1gSI1kaIV3Jz6FfOmw_11_14"/>
      <w:bookmarkStart w:id="2006" w:name="Tc_v3lJEL0Ig0mPxndLaiLiAw_11_11"/>
      <w:bookmarkStart w:id="2007" w:name="Tc_ZCmiVJRP80GFtxZNlvqyBg_11_7"/>
      <w:bookmarkStart w:id="2008" w:name="Tc_f8M_RjeW90yObJWfBINJSw_11_4"/>
      <w:bookmarkStart w:id="2009" w:name="Tc_m-Au40Zqf0u8DYkoqA_gTw_11_0"/>
      <w:bookmarkStart w:id="2010" w:name="Tc_GqMbPxMg8k2r_b29vW1EQg_10_12"/>
      <w:bookmarkStart w:id="2011" w:name="Tc_gaAO-8Wa-kW0qeI61XuMVA_10_9"/>
      <w:bookmarkStart w:id="2012" w:name="Tc_Ir7jOsm9XkGa0QkrX0RIAg_10_5"/>
      <w:bookmarkStart w:id="2013" w:name="Tc_HCSeFqGtAESglvfV_gHsCw_10_2"/>
      <w:bookmarkStart w:id="2014" w:name="Tc_7L32n_Z2wESkDdSkF5qu_A_10_0"/>
      <w:bookmarkStart w:id="2015" w:name="Tc_SFr3HH_R_U6OfobD3Ku6cQ_9_0"/>
      <w:bookmarkStart w:id="2016" w:name="Tc_vKGCUsU4akKkg3R6glPkCA_7_12"/>
      <w:bookmarkStart w:id="2017" w:name="Tc_d5n6603KIkWPJe8dek5IDA_7_9"/>
      <w:bookmarkStart w:id="2018" w:name="Tc_H7MOQ2gouki95I0r_w8vDw_7_5"/>
      <w:bookmarkStart w:id="2019" w:name="Tc_Hal9JoRRXE6OGwaneCRKCQ_7_2"/>
      <w:bookmarkStart w:id="2020" w:name="Tc_gu4e_IRAZkaVqLMSUJEfyQ_7_0"/>
      <w:bookmarkStart w:id="2021" w:name="Tc_6-cQ8hWCkkezCDIomrkxjw_6_14"/>
      <w:bookmarkStart w:id="2022" w:name="Tc_bWhX3VZ2LkaVvfeyjocTmg_6_11"/>
      <w:bookmarkStart w:id="2023" w:name="Tc_Qx8k-69TvUKI4JG96gXj5g_6_7"/>
      <w:bookmarkStart w:id="2024" w:name="Tc_CzDK6tGSFEGzcYpcNwMRPw_6_4"/>
      <w:bookmarkStart w:id="2025" w:name="Tc_8INh9oj2ikWVV75OwO7mng_6_0"/>
      <w:bookmarkStart w:id="2026" w:name="Tc_bWDYU1KuikaCjsFrLLy3ww_5_12"/>
      <w:bookmarkStart w:id="2027" w:name="Tc_DCo9DnZDTESCgV27qgRyLg_5_9"/>
      <w:bookmarkStart w:id="2028" w:name="Tc_EHIO-_6NSEi-hQhMwOStaA_5_5"/>
      <w:bookmarkStart w:id="2029" w:name="Tc_BSrtaGUpV0G5W-qf5JS9qw_5_2"/>
      <w:bookmarkStart w:id="2030" w:name="Tc_BVIJ_Wv2nUCEsRSsoBNKcA_5_0"/>
      <w:bookmarkStart w:id="2031" w:name="Tc_YEa30FWLakabLHBPW5wFPw_4_0"/>
      <w:bookmarkStart w:id="2032" w:name="Tc_9dEcfy_GN0CFi8a4qbzNIw_3_9"/>
      <w:bookmarkStart w:id="2033" w:name="Tc_hkW0T0IAQkmvziQXRXtPaA_3_2"/>
      <w:bookmarkStart w:id="2034" w:name="Tc_Knps9EdTiEGu5hlnw7jFaA_2_12"/>
      <w:bookmarkStart w:id="2035" w:name="Tc_TAwqNvJT4EScO_5Gq81k9Q_2_9"/>
      <w:bookmarkStart w:id="2036" w:name="Tc_f21kS7F3e0GEiKbFzEzRjw_2_5"/>
      <w:bookmarkStart w:id="2037" w:name="Tc_ofSzFmADfUC7UOAfJHe13g_2_2"/>
      <w:bookmarkStart w:id="2038" w:name="Tc_FSSk65Pqsk68Ol2IDRCPcw_2_0"/>
      <w:bookmarkStart w:id="2039" w:name="Tc_VXbvzZ_hT0KXq2gv2RBuLQ_1_9"/>
      <w:bookmarkStart w:id="2040" w:name="Tc_JnVJg8DLkEaTDkYxQGtbQA_1_2"/>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p>
    <w:tbl>
      <w:tblPr>
        <w:tblW w:w="10205" w:type="dxa"/>
        <w:jc w:val="left"/>
        <w:tblInd w:w="0" w:type="dxa"/>
        <w:tblLayout w:type="fixed"/>
        <w:tblCellMar>
          <w:top w:w="0" w:type="dxa"/>
          <w:left w:w="0" w:type="dxa"/>
          <w:bottom w:w="0" w:type="dxa"/>
          <w:right w:w="0" w:type="dxa"/>
        </w:tblCellMar>
      </w:tblPr>
      <w:tblGrid>
        <w:gridCol w:w="3630"/>
        <w:gridCol w:w="326"/>
        <w:gridCol w:w="255"/>
        <w:gridCol w:w="829"/>
        <w:gridCol w:w="437"/>
        <w:gridCol w:w="255"/>
        <w:gridCol w:w="946"/>
        <w:gridCol w:w="361"/>
        <w:gridCol w:w="109"/>
        <w:gridCol w:w="247"/>
        <w:gridCol w:w="903"/>
        <w:gridCol w:w="423"/>
        <w:gridCol w:w="247"/>
        <w:gridCol w:w="916"/>
        <w:gridCol w:w="321"/>
      </w:tblGrid>
      <w:tr>
        <w:trPr/>
        <w:tc>
          <w:tcPr>
            <w:tcW w:w="3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305050" cy="175260"/>
                      <wp:effectExtent l="0" t="0" r="0" b="0"/>
                      <wp:wrapNone/>
                      <wp:docPr id="260" name="Frame260"/>
                      <a:graphic xmlns:a="http://schemas.openxmlformats.org/drawingml/2006/main">
                        <a:graphicData uri="http://schemas.microsoft.com/office/word/2010/wordprocessingShape">
                          <wps:wsp>
                            <wps:cNvSpPr txBox="1"/>
                            <wps:spPr>
                              <a:xfrm>
                                <a:off x="0" y="0"/>
                                <a:ext cx="2305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1925" cy="175260"/>
                      <wp:effectExtent l="0" t="0" r="0" b="0"/>
                      <wp:wrapNone/>
                      <wp:docPr id="262" name="Frame26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26415" cy="175260"/>
                      <wp:effectExtent l="0" t="0" r="0" b="0"/>
                      <wp:wrapNone/>
                      <wp:docPr id="263" name="Frame263"/>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77495" cy="175260"/>
                      <wp:effectExtent l="0" t="0" r="0" b="0"/>
                      <wp:wrapNone/>
                      <wp:docPr id="264" name="Frame264"/>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61925" cy="175260"/>
                      <wp:effectExtent l="0" t="0" r="0" b="0"/>
                      <wp:wrapNone/>
                      <wp:docPr id="265" name="Frame26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00710" cy="175260"/>
                      <wp:effectExtent l="0" t="0" r="0" b="0"/>
                      <wp:wrapNone/>
                      <wp:docPr id="266" name="Frame26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29235" cy="175260"/>
                      <wp:effectExtent l="0" t="0" r="0" b="0"/>
                      <wp:wrapNone/>
                      <wp:docPr id="267" name="Frame2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56845" cy="175260"/>
                      <wp:effectExtent l="0" t="0" r="0" b="0"/>
                      <wp:wrapNone/>
                      <wp:docPr id="269" name="Frame269"/>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73405" cy="175260"/>
                      <wp:effectExtent l="0" t="0" r="0" b="0"/>
                      <wp:wrapNone/>
                      <wp:docPr id="270" name="Frame270"/>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68605" cy="175260"/>
                      <wp:effectExtent l="0" t="0" r="0" b="0"/>
                      <wp:wrapNone/>
                      <wp:docPr id="271" name="Frame271"/>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56845" cy="175260"/>
                      <wp:effectExtent l="0" t="0" r="0" b="0"/>
                      <wp:wrapNone/>
                      <wp:docPr id="272" name="Frame27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81660" cy="175260"/>
                      <wp:effectExtent l="0" t="0" r="0" b="0"/>
                      <wp:wrapNone/>
                      <wp:docPr id="273" name="Frame27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3835" cy="175260"/>
                      <wp:effectExtent l="0" t="0" r="0" b="0"/>
                      <wp:wrapNone/>
                      <wp:docPr id="274" name="Frame274"/>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September 30,  </w:t>
            </w:r>
          </w:p>
        </w:tc>
        <w:tc>
          <w:tcPr>
            <w:tcW w:w="321" w:type="dxa"/>
            <w:tcBorders/>
            <w:vAlign w:val="center"/>
          </w:tcPr>
          <w:p>
            <w:pPr>
              <w:pStyle w:val="TableContents"/>
              <w:bidi w:val="0"/>
              <w:spacing w:before="0" w:after="0"/>
              <w:ind w:left="0" w:right="0" w:hanging="0"/>
              <w:jc w:val="left"/>
              <w:rPr/>
            </w:pPr>
            <w:r>
              <w:rPr/>
              <w:t> </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 B common stock:</w:t>
            </w:r>
          </w:p>
        </w:tc>
        <w:tc>
          <w:tcPr>
            <w:tcW w:w="326" w:type="dxa"/>
            <w:tcBorders/>
            <w:vAlign w:val="center"/>
          </w:tcPr>
          <w:p>
            <w:pPr>
              <w:pStyle w:val="TableContents"/>
              <w:bidi w:val="0"/>
              <w:spacing w:before="0" w:after="0"/>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7"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3" w:type="dxa"/>
            <w:tcBorders/>
            <w:vAlign w:val="center"/>
          </w:tcPr>
          <w:p>
            <w:pPr>
              <w:pStyle w:val="TableContents"/>
              <w:bidi w:val="0"/>
              <w:spacing w:before="0" w:after="0"/>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1" w:type="dxa"/>
            <w:tcBorders/>
            <w:vAlign w:val="center"/>
          </w:tcPr>
          <w:p>
            <w:pPr>
              <w:pStyle w:val="TableContents"/>
              <w:bidi w:val="0"/>
              <w:spacing w:before="0" w:after="0"/>
              <w:ind w:left="0" w:right="0" w:hanging="0"/>
              <w:jc w:val="left"/>
              <w:rPr/>
            </w:pPr>
            <w:r>
              <w:rPr/>
              <w:t> </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6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1" w:type="dxa"/>
            <w:tcBorders/>
            <w:vAlign w:val="center"/>
          </w:tcPr>
          <w:p>
            <w:pPr>
              <w:pStyle w:val="TableContents"/>
              <w:bidi w:val="0"/>
              <w:spacing w:before="0" w:after="0"/>
              <w:ind w:left="0" w:right="0" w:hanging="0"/>
              <w:jc w:val="left"/>
              <w:rPr/>
            </w:pPr>
            <w:r>
              <w:rPr/>
              <w:t> </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 basic:</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437"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pPr>
            <w:r>
              <w:rPr/>
              <w:t>  </w:t>
            </w:r>
          </w:p>
        </w:tc>
        <w:tc>
          <w:tcPr>
            <w:tcW w:w="423" w:type="dxa"/>
            <w:tcBorders/>
            <w:shd w:fill="CCEEFF" w:val="clear"/>
            <w:vAlign w:val="center"/>
          </w:tcPr>
          <w:p>
            <w:pPr>
              <w:pStyle w:val="TableContents"/>
              <w:bidi w:val="0"/>
              <w:spacing w:before="0" w:after="0"/>
              <w:ind w:left="0" w:right="0" w:hanging="0"/>
              <w:jc w:val="left"/>
              <w:rPr/>
            </w:pPr>
            <w:r>
              <w:rPr/>
              <w:t> </w:t>
            </w:r>
          </w:p>
        </w:tc>
        <w:tc>
          <w:tcPr>
            <w:tcW w:w="247"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all stockholders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(3,399)</w:t>
            </w:r>
          </w:p>
        </w:tc>
        <w:tc>
          <w:tcPr>
            <w:tcW w:w="437"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(28,427)</w:t>
            </w:r>
          </w:p>
        </w:tc>
        <w:tc>
          <w:tcPr>
            <w:tcW w:w="423"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(6,995)</w:t>
            </w:r>
          </w:p>
        </w:tc>
        <w:tc>
          <w:tcPr>
            <w:tcW w:w="321" w:type="dxa"/>
            <w:tcBorders/>
            <w:vAlign w:val="center"/>
          </w:tcPr>
          <w:p>
            <w:pPr>
              <w:pStyle w:val="TableContents"/>
              <w:bidi w:val="0"/>
              <w:spacing w:before="0" w:after="0"/>
              <w:ind w:left="0" w:right="0" w:hanging="0"/>
              <w:jc w:val="left"/>
              <w:rPr/>
            </w:pPr>
            <w:r>
              <w:rPr/>
              <w:t>​</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common stock as a percentage of total shares outstanding, basic</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63.88</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64.96</w:t>
            </w:r>
          </w:p>
        </w:tc>
        <w:tc>
          <w:tcPr>
            <w:tcW w:w="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70.09</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Class B stockholders, basic</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w:t>
            </w:r>
          </w:p>
        </w:tc>
        <w:tc>
          <w:tcPr>
            <w:tcW w:w="437"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(18,467)</w:t>
            </w:r>
          </w:p>
        </w:tc>
        <w:tc>
          <w:tcPr>
            <w:tcW w:w="423"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(4,903)</w:t>
            </w:r>
          </w:p>
        </w:tc>
        <w:tc>
          <w:tcPr>
            <w:tcW w:w="321" w:type="dxa"/>
            <w:tcBorders/>
            <w:vAlign w:val="center"/>
          </w:tcPr>
          <w:p>
            <w:pPr>
              <w:pStyle w:val="TableContents"/>
              <w:bidi w:val="0"/>
              <w:spacing w:before="0" w:after="0"/>
              <w:ind w:left="0" w:right="0" w:hanging="0"/>
              <w:jc w:val="left"/>
              <w:rPr/>
            </w:pPr>
            <w:r>
              <w:rPr/>
              <w:t>​</w:t>
            </w:r>
          </w:p>
        </w:tc>
      </w:tr>
      <w:tr>
        <w:trPr/>
        <w:tc>
          <w:tcPr>
            <w:tcW w:w="36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437"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 diluted:</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  </w:t>
            </w:r>
          </w:p>
        </w:tc>
        <w:tc>
          <w:tcPr>
            <w:tcW w:w="437"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  </w:t>
            </w:r>
          </w:p>
        </w:tc>
        <w:tc>
          <w:tcPr>
            <w:tcW w:w="423"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pPr>
            <w:r>
              <w:rPr/>
              <w:t>​</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all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(3,399)</w:t>
            </w:r>
          </w:p>
        </w:tc>
        <w:tc>
          <w:tcPr>
            <w:tcW w:w="437"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(28,427)</w:t>
            </w:r>
          </w:p>
        </w:tc>
        <w:tc>
          <w:tcPr>
            <w:tcW w:w="423"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(6,995)</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common stock as a percentage of total shares outstanding, diluted</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63.88</w:t>
            </w:r>
          </w:p>
        </w:tc>
        <w:tc>
          <w:tcPr>
            <w:tcW w:w="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64.96</w:t>
            </w:r>
          </w:p>
        </w:tc>
        <w:tc>
          <w:tcPr>
            <w:tcW w:w="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70.09</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Class B stockholders,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w:t>
            </w:r>
          </w:p>
        </w:tc>
        <w:tc>
          <w:tcPr>
            <w:tcW w:w="437"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(18,467)</w:t>
            </w:r>
          </w:p>
        </w:tc>
        <w:tc>
          <w:tcPr>
            <w:tcW w:w="423"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(4,903)</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36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c>
          <w:tcPr>
            <w:tcW w:w="437"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c>
          <w:tcPr>
            <w:tcW w:w="423"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pPr>
            <w:r>
              <w:rPr/>
              <w:t>  </w:t>
            </w:r>
          </w:p>
        </w:tc>
        <w:tc>
          <w:tcPr>
            <w:tcW w:w="437"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  </w:t>
            </w:r>
          </w:p>
        </w:tc>
        <w:tc>
          <w:tcPr>
            <w:tcW w:w="423"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Class B common stock, basic</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97,145</w:t>
            </w:r>
          </w:p>
        </w:tc>
        <w:tc>
          <w:tcPr>
            <w:tcW w:w="437"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101,307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98,361</w:t>
            </w:r>
          </w:p>
        </w:tc>
        <w:tc>
          <w:tcPr>
            <w:tcW w:w="423"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104,772</w:t>
            </w:r>
          </w:p>
        </w:tc>
        <w:tc>
          <w:tcPr>
            <w:tcW w:w="321" w:type="dxa"/>
            <w:tcBorders/>
            <w:vAlign w:val="center"/>
          </w:tcPr>
          <w:p>
            <w:pPr>
              <w:pStyle w:val="TableContents"/>
              <w:bidi w:val="0"/>
              <w:spacing w:before="0" w:after="0"/>
              <w:ind w:left="0" w:right="0" w:hanging="0"/>
              <w:jc w:val="left"/>
              <w:rPr/>
            </w:pPr>
            <w:r>
              <w:rPr/>
              <w:t>​</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common stock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7"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Class B common stock, diluted</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97,145</w:t>
            </w:r>
          </w:p>
        </w:tc>
        <w:tc>
          <w:tcPr>
            <w:tcW w:w="437"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101,307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98,361</w:t>
            </w:r>
          </w:p>
        </w:tc>
        <w:tc>
          <w:tcPr>
            <w:tcW w:w="423"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104,772</w:t>
            </w:r>
          </w:p>
        </w:tc>
        <w:tc>
          <w:tcPr>
            <w:tcW w:w="321" w:type="dxa"/>
            <w:tcBorders/>
            <w:vAlign w:val="center"/>
          </w:tcPr>
          <w:p>
            <w:pPr>
              <w:pStyle w:val="TableContents"/>
              <w:bidi w:val="0"/>
              <w:spacing w:before="0" w:after="0"/>
              <w:ind w:left="0" w:right="0" w:hanging="0"/>
              <w:jc w:val="left"/>
              <w:rPr/>
            </w:pPr>
            <w:r>
              <w:rPr/>
              <w:t>​</w:t>
            </w:r>
          </w:p>
        </w:tc>
      </w:tr>
      <w:tr>
        <w:trPr/>
        <w:tc>
          <w:tcPr>
            <w:tcW w:w="36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437"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Class B share, basic</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437"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423"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1" w:type="dxa"/>
            <w:tcBorders/>
            <w:vAlign w:val="center"/>
          </w:tcPr>
          <w:p>
            <w:pPr>
              <w:pStyle w:val="TableContents"/>
              <w:bidi w:val="0"/>
              <w:spacing w:before="0" w:after="0"/>
              <w:ind w:left="0" w:right="0" w:hanging="0"/>
              <w:jc w:val="left"/>
              <w:rPr/>
            </w:pPr>
            <w:r>
              <w:rPr/>
              <w:t>​</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Class B share,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437"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423"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41" w:name="Tc_mcZ31dd2xU2FzwJBrtLTbg_11_4"/>
      <w:bookmarkStart w:id="2042" w:name="Tc__7oJjW-9Mke7AQWhP7lLrQ_11_0"/>
      <w:bookmarkStart w:id="2043" w:name="Tc_wugoKFSKc02XQxERlDHfvQ_10_4"/>
      <w:bookmarkStart w:id="2044" w:name="Tc_8GavLj5RNUqTA6x--SyTFw_10_0"/>
      <w:bookmarkStart w:id="2045" w:name="Tc_HI0lj1hqBkOB1j5sJ1thVA_9_4"/>
      <w:bookmarkStart w:id="2046" w:name="Tc_AZX9vV9KM0yNNTIL829eOw_9_0"/>
      <w:bookmarkStart w:id="2047" w:name="Tc_ntHVuHsou0yOQ0P7Qg5KRw_8_4"/>
      <w:bookmarkStart w:id="2048" w:name="Tc_WTo12O7mHk6OfHunsVgzFA_8_0"/>
      <w:bookmarkStart w:id="2049" w:name="Tc_bUCeLj0DzEShX7hNY8cYEA_7_9"/>
      <w:bookmarkStart w:id="2050" w:name="Tc_lrEbhwSzeEulABYJVDmIDg_7_4"/>
      <w:bookmarkStart w:id="2051" w:name="Tc_nrw5tCKwtk6OByxYGgiqGg_7_0"/>
      <w:bookmarkStart w:id="2052" w:name="Tc_wyEizKYJoUanSYQWxsLMFQ_6_5"/>
      <w:bookmarkStart w:id="2053" w:name="Tc_Y7JEBvCpLU6y8O8RteXSgw_5_9"/>
      <w:bookmarkStart w:id="2054" w:name="Tc_C0I79u6nr0S6eyv4x4onXw_5_7"/>
      <w:bookmarkStart w:id="2055" w:name="Tc_gXYFuK2ggU2lSTkNfeaNCw_5_5"/>
      <w:bookmarkStart w:id="2056" w:name="Tc_d5H8ujuttkGcwXjG34Ny6w_5_2"/>
      <w:bookmarkStart w:id="2057" w:name="Tc_NG4xT3n22EqlPKymNB5p1w_5_0"/>
      <w:bookmarkStart w:id="2058" w:name="Tc_Xuaj5NjmJUeTjQkqAZm_Cw_4_9"/>
      <w:bookmarkStart w:id="2059" w:name="Tc_d3rZlq5uRkumPDc70UrNVQ_4_7"/>
      <w:bookmarkStart w:id="2060" w:name="Tc_mrZFKZxOukORRXaogAt_yg_4_5"/>
      <w:bookmarkStart w:id="2061" w:name="Tc__QEeW1YITU-Aq11JtBpV6A_3_9"/>
      <w:bookmarkStart w:id="2062" w:name="Tc_a4aDxQOS0E-hL95M6TJGpA_3_7"/>
      <w:bookmarkStart w:id="2063" w:name="Tc_9uSfSqKD0UWNv0DAxC1fxw_3_5"/>
      <w:bookmarkStart w:id="2064" w:name="Tc_q9ciEUOOsk2oBSH4dIbq9w_2_7"/>
      <w:bookmarkStart w:id="2065" w:name="Tc_ZCbPKh2P7ESbARxk8rcJVw_2_5"/>
      <w:bookmarkStart w:id="2066" w:name="Tc_k6yby4Pdqk6aE4czUjHvhw_1_7"/>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r>
        <w:rPr>
          <w:rFonts w:ascii="Times New Roman;Times;serif" w:hAnsi="Times New Roman;Times;serif"/>
          <w:b/>
          <w:sz w:val="20"/>
        </w:rPr>
        <w:t>10.    STOCK-BASED AWARD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2020 Plan provides the ability to grant cash and equity-based incentive awards to eligible employees, directors and service providers in order to attract, retain and motivate those that make important contributions to the Company. The Company issued stock options, RSAs, and RSUs under the 2020 Plan. As of September 30, 2023, 14,875 shares of Class A common stock were available for issuance under the 2020 Plan.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 xml:space="preserve">Options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activity for options outstanding under the 2020 Plan for the nine months ended September 30, 2023:</w:t>
      </w:r>
    </w:p>
    <w:p>
      <w:pPr>
        <w:pStyle w:val="TextBody"/>
        <w:bidi w:val="0"/>
        <w:spacing w:before="0" w:after="0"/>
        <w:ind w:left="0" w:right="0" w:hanging="0"/>
        <w:jc w:val="left"/>
        <w:rPr/>
      </w:pPr>
      <w:r>
        <w:rPr/>
        <w:t>​</w:t>
      </w:r>
    </w:p>
    <w:tbl>
      <w:tblPr>
        <w:tblW w:w="8722" w:type="dxa"/>
        <w:jc w:val="left"/>
        <w:tblInd w:w="0" w:type="dxa"/>
        <w:tblLayout w:type="fixed"/>
        <w:tblCellMar>
          <w:top w:w="0" w:type="dxa"/>
          <w:left w:w="0" w:type="dxa"/>
          <w:bottom w:w="0" w:type="dxa"/>
          <w:right w:w="0" w:type="dxa"/>
        </w:tblCellMar>
      </w:tblPr>
      <w:tblGrid>
        <w:gridCol w:w="4486"/>
        <w:gridCol w:w="146"/>
        <w:gridCol w:w="691"/>
        <w:gridCol w:w="109"/>
        <w:gridCol w:w="211"/>
        <w:gridCol w:w="796"/>
        <w:gridCol w:w="146"/>
        <w:gridCol w:w="991"/>
        <w:gridCol w:w="109"/>
        <w:gridCol w:w="211"/>
        <w:gridCol w:w="826"/>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848610" cy="175260"/>
                      <wp:effectExtent l="0" t="0" r="0" b="0"/>
                      <wp:wrapNone/>
                      <wp:docPr id="275" name="Frame275"/>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2710" cy="175260"/>
                      <wp:effectExtent l="0" t="0" r="0" b="0"/>
                      <wp:wrapNone/>
                      <wp:docPr id="276" name="Frame2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38785" cy="175260"/>
                      <wp:effectExtent l="0" t="0" r="0" b="0"/>
                      <wp:wrapNone/>
                      <wp:docPr id="277" name="Frame2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78"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05460" cy="175260"/>
                      <wp:effectExtent l="0" t="0" r="0" b="0"/>
                      <wp:wrapNone/>
                      <wp:docPr id="280" name="Frame2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2710" cy="175260"/>
                      <wp:effectExtent l="0" t="0" r="0" b="0"/>
                      <wp:wrapNone/>
                      <wp:docPr id="281" name="Frame2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29285" cy="175260"/>
                      <wp:effectExtent l="0" t="0" r="0" b="0"/>
                      <wp:wrapNone/>
                      <wp:docPr id="282" name="Frame28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24510" cy="175260"/>
                      <wp:effectExtent l="0" t="0" r="0" b="0"/>
                      <wp:wrapNone/>
                      <wp:docPr id="285" name="Frame28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4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2020 Plan Option Activity</w:t>
            </w:r>
          </w:p>
        </w:tc>
        <w:tc>
          <w:tcPr>
            <w:tcW w:w="1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46" w:type="dxa"/>
            <w:tcBorders/>
            <w:vAlign w:val="center"/>
          </w:tcPr>
          <w:p>
            <w:pPr>
              <w:pStyle w:val="TableContents"/>
              <w:bidi w:val="0"/>
              <w:spacing w:before="0" w:after="0"/>
              <w:ind w:left="0" w:right="0" w:hanging="0"/>
              <w:jc w:val="righ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righ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8722"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079"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1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86,514</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outstanding at September 30, 2023</w:t>
            </w:r>
          </w:p>
        </w:tc>
        <w:tc>
          <w:tcPr>
            <w:tcW w:w="14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121,818</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exercisable at September 30, 2023</w:t>
            </w:r>
          </w:p>
        </w:tc>
        <w:tc>
          <w:tcPr>
            <w:tcW w:w="14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99,941</w:t>
            </w:r>
          </w:p>
        </w:tc>
      </w:tr>
      <w:tr>
        <w:trPr/>
        <w:tc>
          <w:tcPr>
            <w:tcW w:w="44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bl>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2067" w:name="Tc_0NpKWkWcyk6zJQA9JUS2RA_10_4"/>
      <w:bookmarkStart w:id="2068" w:name="Tc_YvOseK9zJ0a9xzxzerRHtw_10_0"/>
      <w:bookmarkStart w:id="2069" w:name="Tc_WOmuIkifTUOfz8emu2DgDQ_9_0"/>
      <w:bookmarkStart w:id="2070" w:name="Tc_XZ_iDSuLq0-guEn-ydtCZg_8_0"/>
      <w:bookmarkStart w:id="2071" w:name="Tc_VnZhY6ouhUyRSuJLw0LODA_7_0"/>
      <w:bookmarkStart w:id="2072" w:name="Tc_A-TBOsrDP0OvZOt0vVLegQ_6_4"/>
      <w:bookmarkStart w:id="2073" w:name="Tc_AkYe3fx1_EGnOSVW6FOITQ_6_0"/>
      <w:bookmarkStart w:id="2074" w:name="Tc_X_v_hOPxWki93KW04kYJLQ_5_4"/>
      <w:bookmarkStart w:id="2075" w:name="Tc_4QVThfwWrU2CBu1ayerDDw_5_2"/>
      <w:bookmarkStart w:id="2076" w:name="Tc_g8P-QDgl40-dDy5uzd9fNQ_4_4"/>
      <w:bookmarkStart w:id="2077" w:name="Tc_1WpkXxRsmUSyg9N0kghI_A_3_4"/>
      <w:bookmarkStart w:id="2078" w:name="Tc_LRPBYJLI2k6Z7rNwo2tYsQ_2_4"/>
      <w:bookmarkStart w:id="2079" w:name="Tc_vjGXQOCdrkKIDNVCtYRkVA_19_0"/>
      <w:bookmarkStart w:id="2080" w:name="Tc_rIYWZHgeIkKsHCCBsZbpbw_18_6"/>
      <w:bookmarkStart w:id="2081" w:name="Tc_I8X9aDClRUykTxbXm1pcYg_18_2"/>
      <w:bookmarkStart w:id="2082" w:name="Tc_mSEwCbZWDESx_CX48DP49Q_7_0"/>
      <w:bookmarkStart w:id="2083" w:name="Tc_zPHI1Cm6uUGc24RFoOa2Ng_6_2"/>
      <w:bookmarkStart w:id="2084" w:name="Tc__bDZBA5ylEi947oUkI3WSQ_5_8"/>
      <w:bookmarkStart w:id="2085" w:name="Tc_1ZWLWkQA80GOD0K2QVqvIw_5_6"/>
      <w:bookmarkStart w:id="2086" w:name="Tc_xixZBmSwO0yx_BCfXRNRYA_5_4"/>
      <w:bookmarkStart w:id="2087" w:name="Tc_VakZzqK4NkaW0dQJX7mbsA_5_2"/>
      <w:bookmarkStart w:id="2088" w:name="Tc_v6Giurk8QEOqRa8CXRjF-g_5_0"/>
      <w:bookmarkStart w:id="2089" w:name="Tc_XkYT_5C2RkSoXCib0AeTbw_4_8"/>
      <w:bookmarkStart w:id="2090" w:name="Tc_96djSL7_I0WuYAIk2fHEbw_4_4"/>
      <w:bookmarkStart w:id="2091" w:name="Tc_4-fXmdjj2Uu2IGmDVvgJAw_3_8"/>
      <w:bookmarkStart w:id="2092" w:name="Tc_ANUgBlkIqkmdjTsMoki4tQ_3_4"/>
      <w:bookmarkStart w:id="2093" w:name="Tc_6V9-_UDxcUW_kEf9qlFa3g_2_6"/>
      <w:bookmarkStart w:id="2094" w:name="Tc_bW4WQ8_54Um-6_7u0q9w3Q_2_2"/>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r>
        <w:rPr>
          <w:rFonts w:ascii="Times New Roman;Times;serif" w:hAnsi="Times New Roman;Times;serif"/>
          <w:sz w:val="20"/>
        </w:rPr>
        <w:t>The detail of options outstanding, vested, and exercisable under the 2020 Plan as of September 30, 2023 is as follows:</w:t>
      </w:r>
    </w:p>
    <w:p>
      <w:pPr>
        <w:pStyle w:val="TextBody"/>
        <w:bidi w:val="0"/>
        <w:spacing w:before="0" w:after="0"/>
        <w:ind w:left="0" w:right="0" w:hanging="0"/>
        <w:jc w:val="left"/>
        <w:rPr/>
      </w:pPr>
      <w:r>
        <w:rPr/>
        <w:t>​</w:t>
      </w:r>
    </w:p>
    <w:tbl>
      <w:tblPr>
        <w:tblW w:w="8676" w:type="dxa"/>
        <w:jc w:val="left"/>
        <w:tblInd w:w="0" w:type="dxa"/>
        <w:tblLayout w:type="fixed"/>
        <w:tblCellMar>
          <w:top w:w="0" w:type="dxa"/>
          <w:left w:w="0" w:type="dxa"/>
          <w:bottom w:w="0" w:type="dxa"/>
          <w:right w:w="0" w:type="dxa"/>
        </w:tblCellMar>
      </w:tblPr>
      <w:tblGrid>
        <w:gridCol w:w="3721"/>
        <w:gridCol w:w="326"/>
        <w:gridCol w:w="571"/>
        <w:gridCol w:w="326"/>
        <w:gridCol w:w="976"/>
        <w:gridCol w:w="326"/>
        <w:gridCol w:w="723"/>
        <w:gridCol w:w="413"/>
        <w:gridCol w:w="1294"/>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362835" cy="175260"/>
                      <wp:effectExtent l="0" t="0" r="0" b="0"/>
                      <wp:wrapNone/>
                      <wp:docPr id="286" name="Frame286"/>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62585" cy="175260"/>
                      <wp:effectExtent l="0" t="0" r="0" b="0"/>
                      <wp:wrapNone/>
                      <wp:docPr id="288" name="Frame2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19760" cy="175260"/>
                      <wp:effectExtent l="0" t="0" r="0" b="0"/>
                      <wp:wrapNone/>
                      <wp:docPr id="290" name="Frame29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59105" cy="175260"/>
                      <wp:effectExtent l="0" t="0" r="0" b="0"/>
                      <wp:wrapNone/>
                      <wp:docPr id="292" name="Frame292"/>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62255" cy="175260"/>
                      <wp:effectExtent l="0" t="0" r="0" b="0"/>
                      <wp:wrapNone/>
                      <wp:docPr id="293" name="Frame293"/>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821690" cy="175260"/>
                      <wp:effectExtent l="0" t="0" r="0" b="0"/>
                      <wp:wrapNone/>
                      <wp:docPr id="294" name="Frame294"/>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center"/>
              <w:rPr/>
            </w:pPr>
            <w:r>
              <w:rPr/>
              <w:t>​</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24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Vested and Exercisable</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Exercise Prices</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413" w:type="dxa"/>
            <w:tcBorders/>
            <w:vAlign w:val="center"/>
          </w:tcPr>
          <w:p>
            <w:pPr>
              <w:pStyle w:val="TableContents"/>
              <w:bidi w:val="0"/>
              <w:spacing w:before="0" w:after="0"/>
              <w:ind w:left="0" w:right="0" w:hanging="0"/>
              <w:jc w:val="left"/>
              <w:rPr/>
            </w:pPr>
            <w:r>
              <w:rPr/>
              <w:t>​</w:t>
            </w:r>
          </w:p>
        </w:tc>
        <w:tc>
          <w:tcPr>
            <w:tcW w:w="12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8676"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29"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$0.15 to $0.71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$2.15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$2.50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$2.67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$3.17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$3.73 </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$4.70 </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$18.47 </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$18.96 </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$19.00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$32.16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6,565</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*Amended Options have indefinite contractual lives</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loss over the period during which the participant is required to perform the requisite services. The vesting period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The grant date fair value of options is estimated using the Black-Scholes model.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options issued under the 2020 Plan during the three or nine months ended September 30, 2023 or 2022.</w:t>
      </w:r>
    </w:p>
    <w:p>
      <w:pPr>
        <w:pStyle w:val="TextBody"/>
        <w:bidi w:val="0"/>
        <w:spacing w:before="0" w:after="0"/>
        <w:ind w:left="0" w:right="0" w:firstLine="36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At September 30, 2023, $5,960 of unrecognized compensation expense associated with options is expected to be recognized over a weighted average period of approximately 1.4 years.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RSU activity for the nine months ended September 30, 2023:</w:t>
      </w:r>
    </w:p>
    <w:p>
      <w:pPr>
        <w:pStyle w:val="TextBody"/>
        <w:bidi w:val="0"/>
        <w:spacing w:before="0" w:after="0"/>
        <w:ind w:left="0" w:right="0" w:hanging="0"/>
        <w:jc w:val="left"/>
        <w:rPr/>
      </w:pPr>
      <w:r>
        <w:rPr/>
        <w:t>​</w:t>
      </w:r>
    </w:p>
    <w:tbl>
      <w:tblPr>
        <w:tblW w:w="5560" w:type="dxa"/>
        <w:jc w:val="left"/>
        <w:tblInd w:w="0" w:type="dxa"/>
        <w:tblLayout w:type="fixed"/>
        <w:tblCellMar>
          <w:top w:w="0" w:type="dxa"/>
          <w:left w:w="0" w:type="dxa"/>
          <w:bottom w:w="0" w:type="dxa"/>
          <w:right w:w="0" w:type="dxa"/>
        </w:tblCellMar>
      </w:tblPr>
      <w:tblGrid>
        <w:gridCol w:w="2986"/>
        <w:gridCol w:w="326"/>
        <w:gridCol w:w="571"/>
        <w:gridCol w:w="326"/>
        <w:gridCol w:w="317"/>
        <w:gridCol w:w="1034"/>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896110" cy="175260"/>
                      <wp:effectExtent l="0" t="0" r="0" b="0"/>
                      <wp:wrapNone/>
                      <wp:docPr id="295" name="Frame295"/>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62585" cy="175260"/>
                      <wp:effectExtent l="0" t="0" r="0" b="0"/>
                      <wp:wrapNone/>
                      <wp:docPr id="297" name="Frame2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1295" cy="175260"/>
                      <wp:effectExtent l="0" t="0" r="0" b="0"/>
                      <wp:wrapNone/>
                      <wp:docPr id="299" name="Frame29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56590" cy="175260"/>
                      <wp:effectExtent l="0" t="0" r="0" b="0"/>
                      <wp:wrapNone/>
                      <wp:docPr id="300" name="Frame300"/>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center"/>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center"/>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15.77</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Stock-based compensation cost for RSUs is measured based on the fair value of the Company’s underlying common stock on the date of grant and is recognized on a straight-line basis in the condensed consolidated statements of comprehensive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Vested RSUs are settled by issuing Class A shares or the equivalent value in cash at the Board’s discretion. At September 30, 2023, $48,378 of unrecognized compensation cost for RSUs is expected to be recognized over a weighted average period of approximately 2.7 years.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Taxamo acquisition, certain continuing employees of Taxamo received RSUs with service and performance conditions (“PSUs”). At September 30, 2023, there are 895 shares of our Class A common stock with an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2095" w:name="Tc_3HqoLXpxFEy6CpIJhbOC1A_7_6"/>
      <w:bookmarkStart w:id="2096" w:name="Tc_MG0IcVHS6kOGy0xIw-E93w_7_3"/>
      <w:bookmarkStart w:id="2097" w:name="Tc_tTJuji-CPUe8CGvTcDh0Kg_7_0"/>
      <w:bookmarkStart w:id="2098" w:name="Tc_lDaXgfMc8EqRzUF1s8Bu9Q_6_6"/>
      <w:bookmarkStart w:id="2099" w:name="Tc_awVKKMIqB0iVwyef9il2tw_6_5"/>
      <w:bookmarkStart w:id="2100" w:name="Tc_0upLkfAK2U23v-FOaUx21A_6_3"/>
      <w:bookmarkStart w:id="2101" w:name="Tc_QOUM8ezv_02vu94gqKiA7w_6_2"/>
      <w:bookmarkStart w:id="2102" w:name="Tc_vckZuJ5T4UaL_ZL8reIeZA_6_0"/>
      <w:bookmarkStart w:id="2103" w:name="Tc_SF5kyHs_L0OfL_hEjLVLRg_5_0"/>
      <w:bookmarkStart w:id="2104" w:name="Tc_Z5EvAiYvmEOE8QLJkpc_vw_4_6"/>
      <w:bookmarkStart w:id="2105" w:name="Tc_idrHFrLb3ECBQXTmrmrDDQ_4_3"/>
      <w:bookmarkStart w:id="2106" w:name="Tc_PZCOgAekDkie5xc9IoCBDw_4_0"/>
      <w:bookmarkStart w:id="2107" w:name="Tc_96_EdX4auEOhXDMmP4A8eg_3_4"/>
      <w:bookmarkStart w:id="2108" w:name="Tc_aBR7c3PafUavmTKM66r63w_3_1"/>
      <w:bookmarkStart w:id="2109" w:name="Tc_KvA-tX2wZkmC89CL2HS2gA_3_0"/>
      <w:bookmarkStart w:id="2110" w:name="Tc_Fv1LZyVwzkuAtGn2zGiXSA_2_4"/>
      <w:bookmarkStart w:id="2111" w:name="Tc_oqp_btDFMkW0ANRvqZOLsw_2_1"/>
      <w:bookmarkStart w:id="2112" w:name="Tc_h4dDmnbwBEiFS3lW031ytg_1_2"/>
      <w:bookmarkStart w:id="2113" w:name="Tc_awxC6XaL-UmKKZo-5Yva_Q_9_4"/>
      <w:bookmarkStart w:id="2114" w:name="Tc_P-yOS3A40U2En6q1u_HbnA_9_0"/>
      <w:bookmarkStart w:id="2115" w:name="Tc_UVlzNwCGf0i96HCeHi-yBA_8_0"/>
      <w:bookmarkStart w:id="2116" w:name="Tc_Jyb1xM7uRkGXqA2tXk6J2Q_7_4"/>
      <w:bookmarkStart w:id="2117" w:name="Tc_im1tGcGapECxtzCaRD1FOQ_7_0"/>
      <w:bookmarkStart w:id="2118" w:name="Tc_QHjaf7uMhEaZWBmJb3k1NQ_6_4"/>
      <w:bookmarkStart w:id="2119" w:name="Tc__4O4nls-oUe-VUvLFe0WzA_6_0"/>
      <w:bookmarkStart w:id="2120" w:name="Tc_fCl8v09CbE2-OTn0jrkWmg_5_4"/>
      <w:bookmarkStart w:id="2121" w:name="Tc_4GTZeBXDmkGOyjb9yJU1hQ_5_2"/>
      <w:bookmarkStart w:id="2122" w:name="Tc_8ZMlj1bJ0EOwHYdeDPzkyw_4_4"/>
      <w:bookmarkStart w:id="2123" w:name="Tc_51pC3nmQ0U2PzOloVKjyqg_3_4"/>
      <w:bookmarkStart w:id="2124" w:name="Tc_fOTqZnPUEESFvB7e6ZA9pQ_2_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r>
        <w:rPr>
          <w:rFonts w:ascii="Times New Roman;Times;serif" w:hAnsi="Times New Roman;Times;serif"/>
          <w:sz w:val="20"/>
        </w:rPr>
        <w:t>aggregate grant date fair value of $15,803 that will be accounted for as post-acquisition compensation expense over the vesting period if targets are achieved. The performance-based condition will be satisfied upon meeting certain performance targets for the year ended 2023. As of September 30, 2023, it is not probable that these targets will be met, thus no compensation expense has been recorded to date related to these PSUs.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Awards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RSA activity for the nine months ended September 30, 2023: </w:t>
      </w:r>
    </w:p>
    <w:p>
      <w:pPr>
        <w:pStyle w:val="TextBody"/>
        <w:bidi w:val="0"/>
        <w:spacing w:before="0" w:after="0"/>
        <w:ind w:left="0" w:right="0" w:hanging="0"/>
        <w:jc w:val="left"/>
        <w:rPr/>
      </w:pPr>
      <w:r>
        <w:rPr/>
        <w:t>​</w:t>
      </w:r>
    </w:p>
    <w:tbl>
      <w:tblPr>
        <w:tblW w:w="5313" w:type="dxa"/>
        <w:jc w:val="left"/>
        <w:tblInd w:w="0" w:type="dxa"/>
        <w:tblLayout w:type="fixed"/>
        <w:tblCellMar>
          <w:top w:w="0" w:type="dxa"/>
          <w:left w:w="0" w:type="dxa"/>
          <w:bottom w:w="0" w:type="dxa"/>
          <w:right w:w="0" w:type="dxa"/>
        </w:tblCellMar>
      </w:tblPr>
      <w:tblGrid>
        <w:gridCol w:w="2986"/>
        <w:gridCol w:w="326"/>
        <w:gridCol w:w="541"/>
        <w:gridCol w:w="109"/>
        <w:gridCol w:w="317"/>
        <w:gridCol w:w="1034"/>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896110" cy="175260"/>
                      <wp:effectExtent l="0" t="0" r="0" b="0"/>
                      <wp:wrapNone/>
                      <wp:docPr id="301" name="Frame301"/>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43535" cy="175260"/>
                      <wp:effectExtent l="0" t="0" r="0" b="0"/>
                      <wp:wrapNone/>
                      <wp:docPr id="303" name="Frame30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1295" cy="175260"/>
                      <wp:effectExtent l="0" t="0" r="0" b="0"/>
                      <wp:wrapNone/>
                      <wp:docPr id="305" name="Frame30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56590" cy="175260"/>
                      <wp:effectExtent l="0" t="0" r="0" b="0"/>
                      <wp:wrapNone/>
                      <wp:docPr id="306" name="Frame306"/>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center"/>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September 30, 2023</w:t>
            </w:r>
          </w:p>
        </w:tc>
        <w:tc>
          <w:tcPr>
            <w:tcW w:w="326" w:type="dxa"/>
            <w:tcBorders/>
            <w:vAlign w:val="center"/>
          </w:tcPr>
          <w:p>
            <w:pPr>
              <w:pStyle w:val="TableContents"/>
              <w:bidi w:val="0"/>
              <w:spacing w:before="0" w:after="0"/>
              <w:ind w:left="0" w:right="0" w:hanging="0"/>
              <w:jc w:val="left"/>
              <w:rPr/>
            </w:pPr>
            <w:r>
              <w:rPr/>
              <w:t> </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21.50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Stock-based compensation cost for RSAs is measured based on the fair value of the Company’s underlying common stock on the date of grant and is recognized on a straight-line basis in the condensed consolidated statements of comprehensive loss over the period during which the participants are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At September 30, 2023, $1,444 of unrecognized compensation cost for RSAs is expected to be recognized over a weighted average period of approximately 0.8 years.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Employee Stock Purchase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ESPP provides eligible employees with rights during each six-month ESPP offering period to purchase shares of the Company’s Class A common stock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reflected in accrued salaries and benefits in the condensed consolidated balance sheets until such shares are purchased. Amounts withheld from participants for the offering period ending November 30, 2023 aggregated $1,062 as of September 30, 2023. As of September 30, 2023, 4,984 shares of Class A common stock were available for issuance under the ESPP.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2023 there was approximately $138 of unrecognized ESPP stock-based compensation cost expected to be recognized on a straight-line basis over the remaining term of the six-month offering period ending November 30, 2023.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At September 30, 2023 and 2022, there were two ESPP offering periods open that end November 30, 2023 and 2022, respectively. The fair value of ESPP purchase rights for the offering periods is comprised of the value of the 15% ESPP discount and the value associated with the call or put over the respective ESPP offering period. ESPP offering periods reflected in the September 30, 2023 and 2022 financial statements include the periods noted below in the table. The value of the call or put was estimated using the Black-Scholes model with the following assumptions:</w:t>
      </w:r>
    </w:p>
    <w:p>
      <w:pPr>
        <w:pStyle w:val="TextBody"/>
        <w:bidi w:val="0"/>
        <w:spacing w:before="0" w:after="0"/>
        <w:ind w:left="0" w:right="0" w:firstLine="360"/>
        <w:jc w:val="left"/>
        <w:rPr/>
      </w:pPr>
      <w:r>
        <w:rPr/>
        <w:t>​</w:t>
      </w:r>
    </w:p>
    <w:tbl>
      <w:tblPr>
        <w:tblW w:w="5433" w:type="dxa"/>
        <w:jc w:val="left"/>
        <w:tblInd w:w="0" w:type="dxa"/>
        <w:tblLayout w:type="fixed"/>
        <w:tblCellMar>
          <w:top w:w="0" w:type="dxa"/>
          <w:left w:w="0" w:type="dxa"/>
          <w:bottom w:w="0" w:type="dxa"/>
          <w:right w:w="0" w:type="dxa"/>
        </w:tblCellMar>
      </w:tblPr>
      <w:tblGrid>
        <w:gridCol w:w="2971"/>
        <w:gridCol w:w="247"/>
        <w:gridCol w:w="668"/>
        <w:gridCol w:w="316"/>
        <w:gridCol w:w="247"/>
        <w:gridCol w:w="668"/>
        <w:gridCol w:w="31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886585" cy="175260"/>
                      <wp:effectExtent l="0" t="0" r="0" b="0"/>
                      <wp:wrapNone/>
                      <wp:docPr id="307" name="Frame307"/>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56845" cy="175260"/>
                      <wp:effectExtent l="0" t="0" r="0" b="0"/>
                      <wp:wrapNone/>
                      <wp:docPr id="308" name="Frame308"/>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4180" cy="175260"/>
                      <wp:effectExtent l="0" t="0" r="0" b="0"/>
                      <wp:wrapNone/>
                      <wp:docPr id="309" name="Frame309"/>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0660" cy="175260"/>
                      <wp:effectExtent l="0" t="0" r="0" b="0"/>
                      <wp:wrapNone/>
                      <wp:docPr id="310" name="Frame31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56845" cy="175260"/>
                      <wp:effectExtent l="0" t="0" r="0" b="0"/>
                      <wp:wrapNone/>
                      <wp:docPr id="311" name="Frame31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24180" cy="175260"/>
                      <wp:effectExtent l="0" t="0" r="0" b="0"/>
                      <wp:wrapNone/>
                      <wp:docPr id="312" name="Frame312"/>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0660" cy="175260"/>
                      <wp:effectExtent l="0" t="0" r="0" b="0"/>
                      <wp:wrapNone/>
                      <wp:docPr id="313" name="Frame31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Offering Period Ending</w:t>
            </w:r>
          </w:p>
        </w:tc>
      </w:tr>
      <w:tr>
        <w:trPr/>
        <w:tc>
          <w:tcPr>
            <w:tcW w:w="2971" w:type="dxa"/>
            <w:tcBorders/>
            <w:vAlign w:val="center"/>
          </w:tcPr>
          <w:p>
            <w:pPr>
              <w:pStyle w:val="TableContents"/>
              <w:bidi w:val="0"/>
              <w:spacing w:before="0" w:after="0"/>
              <w:ind w:left="0" w:right="0" w:hanging="0"/>
              <w:jc w:val="left"/>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11/30/2023</w:t>
            </w:r>
          </w:p>
        </w:tc>
        <w:tc>
          <w:tcPr>
            <w:tcW w:w="316" w:type="dxa"/>
            <w:tcBorders/>
            <w:vAlign w:val="center"/>
          </w:tcPr>
          <w:p>
            <w:pPr>
              <w:pStyle w:val="TableContents"/>
              <w:bidi w:val="0"/>
              <w:spacing w:before="0" w:after="0"/>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11/30/2022</w:t>
            </w:r>
          </w:p>
        </w:tc>
        <w:tc>
          <w:tcPr>
            <w:tcW w:w="316" w:type="dxa"/>
            <w:tcBorders/>
            <w:vAlign w:val="center"/>
          </w:tcPr>
          <w:p>
            <w:pPr>
              <w:pStyle w:val="TableContents"/>
              <w:bidi w:val="0"/>
              <w:spacing w:before="0" w:after="0"/>
              <w:ind w:left="0" w:right="0" w:hanging="0"/>
              <w:jc w:val="center"/>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market value of common stock</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c>
          <w:tcPr>
            <w:tcW w:w="31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2125" w:name="Tc_Mrv2ogUsBEGTD42FA6KrxA_10_11"/>
      <w:bookmarkStart w:id="2126" w:name="Tc_XiSPjQgCREKxzyNwXoRdsg_10_8"/>
      <w:bookmarkStart w:id="2127" w:name="Tc_gs7LKRRG-k6SaK_r57AuGQ_10_5"/>
      <w:bookmarkStart w:id="2128" w:name="Tc_f5p-SgThZUmq8UrfO7_adQ_10_2"/>
      <w:bookmarkStart w:id="2129" w:name="Tc_FKADmc5K90quV2QBcGJsuQ_10_0"/>
      <w:bookmarkStart w:id="2130" w:name="Tc_bkYK-5Wrh0Ow8pJ32ioKyQ_9_0"/>
      <w:bookmarkStart w:id="2131" w:name="Tc_jvz1ib4RqUq1TC3dFeM0dA_8_0"/>
      <w:bookmarkStart w:id="2132" w:name="Tc_Z6kNLaXymUqFZPDy8iIgLw_7_0"/>
      <w:bookmarkStart w:id="2133" w:name="Tc_iTFKuyMwsUuc1dZUxxAAEw_6_0"/>
      <w:bookmarkStart w:id="2134" w:name="Tc_4-QO664Y8Eq6Q-Nw-loWJw_5_11"/>
      <w:bookmarkStart w:id="2135" w:name="Tc_tJwcUke8REqJ5CVgnc5G2w_5_8"/>
      <w:bookmarkStart w:id="2136" w:name="Tc_3m1_SAVp3kyszF_c692TKA_5_5"/>
      <w:bookmarkStart w:id="2137" w:name="Tc_uotsprvSbUKkKHbUiyQMjw_5_2"/>
      <w:bookmarkStart w:id="2138" w:name="Tc_Nw7JO0sWy0KcnpvqM9DMLA_5_0"/>
      <w:bookmarkStart w:id="2139" w:name="Tc_piqTL5jHd0Ch4nsJVgLqPA_4_0"/>
      <w:bookmarkStart w:id="2140" w:name="Tc_xOkJsmxPvE-8klbiMu7bFQ_3_8"/>
      <w:bookmarkStart w:id="2141" w:name="Tc_s1gPdRzSXUqzdxc6Qyh4Hw_3_2"/>
      <w:bookmarkStart w:id="2142" w:name="Tc_fyi4fdPttEW8Zo6VqzQvSw_2_11"/>
      <w:bookmarkStart w:id="2143" w:name="Tc_6yTRfYSzgEeqTVjivLNT9w_2_8"/>
      <w:bookmarkStart w:id="2144" w:name="Tc_WRhyOwsZLEGi_KWeXMvaHQ_2_5"/>
      <w:bookmarkStart w:id="2145" w:name="Tc_7mZ-bIyzsk-o3p74BtVwwA_2_2"/>
      <w:bookmarkStart w:id="2146" w:name="Tc_iKYfAfecHEuU9QAX1Iwg8A_1_8"/>
      <w:bookmarkStart w:id="2147" w:name="Tc_ul_CmQWpnk2UszV-m8qFSg_1_2"/>
      <w:bookmarkStart w:id="2148" w:name="Tc_2QerlMBde0Cr53dpx5fFnw_9_11"/>
      <w:bookmarkStart w:id="2149" w:name="Tc_Za5KhD0X-kOKb6MZsjF1yQ_9_8"/>
      <w:bookmarkStart w:id="2150" w:name="Tc_bciTrgpR3UGcKRSuQ7Vl1g_9_5"/>
      <w:bookmarkStart w:id="2151" w:name="Tc_1sAgojD990KWn0DpB_o9uQ_9_2"/>
      <w:bookmarkStart w:id="2152" w:name="Tc_sdFrOlH0KE-7FV67ONTERw_9_0"/>
      <w:bookmarkStart w:id="2153" w:name="Tc_8EgEGLxirkqEus0RAwaRGA_8_0"/>
      <w:bookmarkStart w:id="2154" w:name="Tc_ruFDB4HxuUSv4dL7aLZs-w_7_0"/>
      <w:bookmarkStart w:id="2155" w:name="Tc_3rBTjXtlLEKbiIG08psqOw_6_0"/>
      <w:bookmarkStart w:id="2156" w:name="Tc_ANS-szobcU-eRddpvJJHDg_5_11"/>
      <w:bookmarkStart w:id="2157" w:name="Tc_CbqaRWpVjEybzPzhY5QOyA_5_8"/>
      <w:bookmarkStart w:id="2158" w:name="Tc_YnCrOzssJUC6aAxckrXpfg_5_5"/>
      <w:bookmarkStart w:id="2159" w:name="Tc_3S2ZfZ6S9EO3vgnOfFTXZg_5_2"/>
      <w:bookmarkStart w:id="2160" w:name="Tc_0iHFPHtDBUKVN6NlI2M3EA_5_0"/>
      <w:bookmarkStart w:id="2161" w:name="Tc_Rao4wyZ0Qk2dvKVKRmeiMQ_4_0"/>
      <w:bookmarkStart w:id="2162" w:name="Tc_yP-FLHz6pU2mpRjRCg2hcA_3_8"/>
      <w:bookmarkStart w:id="2163" w:name="Tc_n5S4Ifp9DkWVzHzd8jWXng_3_2"/>
      <w:bookmarkStart w:id="2164" w:name="Tc_3B4Vpht18kKEbuy9U7nf0A_2_11"/>
      <w:bookmarkStart w:id="2165" w:name="Tc_mAVJ_e60qEmRCw0MUEMQ8g_2_8"/>
      <w:bookmarkStart w:id="2166" w:name="Tc_tBW8t7uJTUqplwBkiYmDcQ_2_5"/>
      <w:bookmarkStart w:id="2167" w:name="Tc_0znAqd1Ho0yGndp1rdAXDQ_2_2"/>
      <w:bookmarkStart w:id="2168" w:name="Tc_cNXEMcr8I0aKWmZ1lbT5CA_1_8"/>
      <w:bookmarkStart w:id="2169" w:name="Tc_NM6uw9TzG0qtKbWEqHOj5w_1_2"/>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r>
        <w:rPr>
          <w:rFonts w:ascii="Times New Roman;Times;serif" w:hAnsi="Times New Roman;Times;serif"/>
          <w:sz w:val="20"/>
        </w:rPr>
        <w:t>Volatility is representative of expected stock price volatility over the offering period. Effective with the offering period beginning December 1, 2022, the Company’s volatility was applied and will be applied to future offering periods. Prior to this offering period, volatility was based on the historical and implied volatility of comparable publicly traded companies over a similar expected term for the respective offering periods. The expected term represents the term of the ESPP offering period, which is generally six months. The Company does not expect to pay dividends after the Offering. The risk-free interest rate was based on the rate for a U.S. Treasury zero-coupon issue with a term that closely approximates the expected term of the award at the date nearest the offering term.</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total stock-based compensation cost related to incentive awards, net of forfeitures,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83"/>
        <w:gridCol w:w="109"/>
        <w:gridCol w:w="355"/>
        <w:gridCol w:w="961"/>
        <w:gridCol w:w="548"/>
        <w:gridCol w:w="355"/>
        <w:gridCol w:w="961"/>
        <w:gridCol w:w="326"/>
        <w:gridCol w:w="314"/>
        <w:gridCol w:w="1010"/>
        <w:gridCol w:w="486"/>
        <w:gridCol w:w="314"/>
        <w:gridCol w:w="1083"/>
      </w:tblGrid>
      <w:tr>
        <w:trPr/>
        <w:tc>
          <w:tcPr>
            <w:tcW w:w="3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48205" cy="175260"/>
                      <wp:effectExtent l="0" t="0" r="0" b="0"/>
                      <wp:wrapNone/>
                      <wp:docPr id="314" name="Frame314"/>
                      <a:graphic xmlns:a="http://schemas.openxmlformats.org/drawingml/2006/main">
                        <a:graphicData uri="http://schemas.microsoft.com/office/word/2010/wordprocessingShape">
                          <wps:wsp>
                            <wps:cNvSpPr txBox="1"/>
                            <wps:spPr>
                              <a:xfrm>
                                <a:off x="0" y="0"/>
                                <a:ext cx="2148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25425" cy="175260"/>
                      <wp:effectExtent l="0" t="0" r="0" b="0"/>
                      <wp:wrapNone/>
                      <wp:docPr id="316" name="Frame316"/>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10235" cy="175260"/>
                      <wp:effectExtent l="0" t="0" r="0" b="0"/>
                      <wp:wrapNone/>
                      <wp:docPr id="317" name="Frame31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47980" cy="175260"/>
                      <wp:effectExtent l="0" t="0" r="0" b="0"/>
                      <wp:wrapNone/>
                      <wp:docPr id="318" name="Frame318"/>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25425" cy="175260"/>
                      <wp:effectExtent l="0" t="0" r="0" b="0"/>
                      <wp:wrapNone/>
                      <wp:docPr id="319" name="Frame319"/>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10235" cy="175260"/>
                      <wp:effectExtent l="0" t="0" r="0" b="0"/>
                      <wp:wrapNone/>
                      <wp:docPr id="320" name="Frame32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99390" cy="175260"/>
                      <wp:effectExtent l="0" t="0" r="0" b="0"/>
                      <wp:wrapNone/>
                      <wp:docPr id="322" name="Frame322"/>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1350" cy="175260"/>
                      <wp:effectExtent l="0" t="0" r="0" b="0"/>
                      <wp:wrapNone/>
                      <wp:docPr id="323" name="Frame323"/>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08610" cy="175260"/>
                      <wp:effectExtent l="0" t="0" r="0" b="0"/>
                      <wp:wrapNone/>
                      <wp:docPr id="324" name="Frame324"/>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99390" cy="175260"/>
                      <wp:effectExtent l="0" t="0" r="0" b="0"/>
                      <wp:wrapNone/>
                      <wp:docPr id="325" name="Frame32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87705" cy="175260"/>
                      <wp:effectExtent l="0" t="0" r="0" b="0"/>
                      <wp:wrapNone/>
                      <wp:docPr id="326" name="Frame326"/>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0"/>
              <w:ind w:left="0" w:right="0" w:hanging="0"/>
              <w:jc w:val="left"/>
              <w:rPr/>
            </w:pPr>
            <w:r>
              <w:rPr/>
              <w:t>​</w:t>
            </w:r>
          </w:p>
        </w:tc>
        <w:tc>
          <w:tcPr>
            <w:tcW w:w="32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September 30,  </w:t>
            </w:r>
          </w:p>
        </w:tc>
      </w:tr>
      <w:tr>
        <w:trPr/>
        <w:tc>
          <w:tcPr>
            <w:tcW w:w="33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48" w:type="dxa"/>
            <w:tcBorders/>
            <w:vAlign w:val="center"/>
          </w:tcPr>
          <w:p>
            <w:pPr>
              <w:pStyle w:val="TableContents"/>
              <w:bidi w:val="0"/>
              <w:spacing w:before="0" w:after="0"/>
              <w:ind w:left="0" w:right="0" w:hanging="0"/>
              <w:jc w:val="left"/>
              <w:rPr/>
            </w:pPr>
            <w:r>
              <w:rPr/>
              <w:t>    </w:t>
            </w:r>
          </w:p>
        </w:tc>
        <w:tc>
          <w:tcPr>
            <w:tcW w:w="13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86" w:type="dxa"/>
            <w:tcBorders/>
            <w:vAlign w:val="center"/>
          </w:tcPr>
          <w:p>
            <w:pPr>
              <w:pStyle w:val="TableContents"/>
              <w:bidi w:val="0"/>
              <w:spacing w:before="0" w:after="0"/>
              <w:ind w:left="0" w:right="0" w:hanging="0"/>
              <w:jc w:val="left"/>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320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left"/>
              <w:rPr/>
            </w:pPr>
            <w:r>
              <w:rPr/>
              <w:t>​</w:t>
            </w:r>
          </w:p>
        </w:tc>
      </w:tr>
      <w:tr>
        <w:trPr/>
        <w:tc>
          <w:tcPr>
            <w:tcW w:w="3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54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4,788</w:t>
            </w:r>
          </w:p>
        </w:tc>
        <w:tc>
          <w:tcPr>
            <w:tcW w:w="486" w:type="dxa"/>
            <w:tcBorders/>
            <w:shd w:fill="CCEEFF" w:val="cle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5,250</w:t>
            </w:r>
          </w:p>
        </w:tc>
      </w:tr>
      <w:tr>
        <w:trPr/>
        <w:tc>
          <w:tcPr>
            <w:tcW w:w="3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10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w:t>
            </w:r>
          </w:p>
        </w:tc>
        <w:tc>
          <w:tcPr>
            <w:tcW w:w="54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18,762</w:t>
            </w:r>
          </w:p>
        </w:tc>
        <w:tc>
          <w:tcPr>
            <w:tcW w:w="486"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w:t>
            </w:r>
          </w:p>
        </w:tc>
      </w:tr>
      <w:tr>
        <w:trPr/>
        <w:tc>
          <w:tcPr>
            <w:tcW w:w="3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RSAs</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54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c>
          <w:tcPr>
            <w:tcW w:w="486" w:type="dxa"/>
            <w:tcBorders/>
            <w:shd w:fill="CCEEFF" w:val="cle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r>
      <w:tr>
        <w:trPr/>
        <w:tc>
          <w:tcPr>
            <w:tcW w:w="3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109"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548"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486" w:type="dxa"/>
            <w:tcBorders/>
            <w:vAlign w:val="center"/>
          </w:tcPr>
          <w:p>
            <w:pPr>
              <w:pStyle w:val="TableContents"/>
              <w:bidi w:val="0"/>
              <w:spacing w:before="0" w:after="0"/>
              <w:ind w:left="0" w:right="0" w:hanging="0"/>
              <w:jc w:val="righ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3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7,772</w:t>
            </w:r>
          </w:p>
        </w:tc>
        <w:tc>
          <w:tcPr>
            <w:tcW w:w="548"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5,256</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26,228</w:t>
            </w:r>
          </w:p>
        </w:tc>
        <w:tc>
          <w:tcPr>
            <w:tcW w:w="48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14,383</w:t>
            </w:r>
          </w:p>
        </w:tc>
      </w:tr>
      <w:tr>
        <w:trPr/>
        <w:tc>
          <w:tcPr>
            <w:tcW w:w="33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recognized stock-based compensation cost in the condensed consolidated statements of comprehensive loss as follows: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82"/>
        <w:gridCol w:w="109"/>
        <w:gridCol w:w="355"/>
        <w:gridCol w:w="961"/>
        <w:gridCol w:w="548"/>
        <w:gridCol w:w="355"/>
        <w:gridCol w:w="961"/>
        <w:gridCol w:w="326"/>
        <w:gridCol w:w="304"/>
        <w:gridCol w:w="979"/>
        <w:gridCol w:w="472"/>
        <w:gridCol w:w="304"/>
        <w:gridCol w:w="1149"/>
      </w:tblGrid>
      <w:tr>
        <w:trPr/>
        <w:tc>
          <w:tcPr>
            <w:tcW w:w="3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47570" cy="175260"/>
                      <wp:effectExtent l="0" t="0" r="0" b="0"/>
                      <wp:wrapNone/>
                      <wp:docPr id="327" name="Frame327"/>
                      <a:graphic xmlns:a="http://schemas.openxmlformats.org/drawingml/2006/main">
                        <a:graphicData uri="http://schemas.microsoft.com/office/word/2010/wordprocessingShape">
                          <wps:wsp>
                            <wps:cNvSpPr txBox="1"/>
                            <wps:spPr>
                              <a:xfrm>
                                <a:off x="0" y="0"/>
                                <a:ext cx="214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25425" cy="175260"/>
                      <wp:effectExtent l="0" t="0" r="0" b="0"/>
                      <wp:wrapNone/>
                      <wp:docPr id="329" name="Frame329"/>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10235" cy="175260"/>
                      <wp:effectExtent l="0" t="0" r="0" b="0"/>
                      <wp:wrapNone/>
                      <wp:docPr id="330" name="Frame33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47980" cy="175260"/>
                      <wp:effectExtent l="0" t="0" r="0" b="0"/>
                      <wp:wrapNone/>
                      <wp:docPr id="331" name="Frame331"/>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25425" cy="175260"/>
                      <wp:effectExtent l="0" t="0" r="0" b="0"/>
                      <wp:wrapNone/>
                      <wp:docPr id="332" name="Frame33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10235" cy="175260"/>
                      <wp:effectExtent l="0" t="0" r="0" b="0"/>
                      <wp:wrapNone/>
                      <wp:docPr id="333" name="Frame33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93040" cy="175260"/>
                      <wp:effectExtent l="0" t="0" r="0" b="0"/>
                      <wp:wrapNone/>
                      <wp:docPr id="335" name="Frame33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21665" cy="175260"/>
                      <wp:effectExtent l="0" t="0" r="0" b="0"/>
                      <wp:wrapNone/>
                      <wp:docPr id="336" name="Frame336"/>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99720" cy="175260"/>
                      <wp:effectExtent l="0" t="0" r="0" b="0"/>
                      <wp:wrapNone/>
                      <wp:docPr id="337" name="Frame337"/>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93040" cy="175260"/>
                      <wp:effectExtent l="0" t="0" r="0" b="0"/>
                      <wp:wrapNone/>
                      <wp:docPr id="338" name="Frame33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29615" cy="175260"/>
                      <wp:effectExtent l="0" t="0" r="0" b="0"/>
                      <wp:wrapNone/>
                      <wp:docPr id="339" name="Frame339"/>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0"/>
              <w:ind w:left="0" w:right="0" w:hanging="0"/>
              <w:jc w:val="left"/>
              <w:rPr/>
            </w:pPr>
            <w:r>
              <w:rPr/>
              <w:t>​</w:t>
            </w:r>
          </w:p>
        </w:tc>
        <w:tc>
          <w:tcPr>
            <w:tcW w:w="32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September 30,  </w:t>
            </w:r>
          </w:p>
        </w:tc>
      </w:tr>
      <w:tr>
        <w:trPr/>
        <w:tc>
          <w:tcPr>
            <w:tcW w:w="33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48" w:type="dxa"/>
            <w:tcBorders/>
            <w:vAlign w:val="center"/>
          </w:tcPr>
          <w:p>
            <w:pPr>
              <w:pStyle w:val="TableContents"/>
              <w:bidi w:val="0"/>
              <w:spacing w:before="0" w:after="0"/>
              <w:ind w:left="0" w:right="0" w:hanging="0"/>
              <w:jc w:val="left"/>
              <w:rPr/>
            </w:pPr>
            <w:r>
              <w:rPr/>
              <w:t>    </w:t>
            </w:r>
          </w:p>
        </w:tc>
        <w:tc>
          <w:tcPr>
            <w:tcW w:w="13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2" w:type="dxa"/>
            <w:tcBorders/>
            <w:vAlign w:val="center"/>
          </w:tcPr>
          <w:p>
            <w:pPr>
              <w:pStyle w:val="TableContents"/>
              <w:bidi w:val="0"/>
              <w:spacing w:before="0" w:after="0"/>
              <w:ind w:left="0" w:right="0" w:hanging="0"/>
              <w:jc w:val="left"/>
              <w:rPr/>
            </w:pPr>
            <w:r>
              <w:rPr/>
              <w:t>    </w:t>
            </w:r>
          </w:p>
        </w:tc>
        <w:tc>
          <w:tcPr>
            <w:tcW w:w="14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320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548" w:type="dxa"/>
            <w:tcBorders/>
            <w:vAlign w:val="center"/>
          </w:tcPr>
          <w:p>
            <w:pPr>
              <w:pStyle w:val="TableContents"/>
              <w:bidi w:val="0"/>
              <w:spacing w:before="0" w:after="0"/>
              <w:ind w:left="0" w:right="0" w:hanging="0"/>
              <w:jc w:val="center"/>
              <w:rPr/>
            </w:pPr>
            <w:r>
              <w:rPr/>
              <w:t>​</w:t>
            </w:r>
          </w:p>
        </w:tc>
        <w:tc>
          <w:tcPr>
            <w:tcW w:w="355"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center"/>
              <w:rPr/>
            </w:pPr>
            <w:r>
              <w:rPr/>
              <w:t>​</w:t>
            </w:r>
          </w:p>
        </w:tc>
        <w:tc>
          <w:tcPr>
            <w:tcW w:w="979" w:type="dxa"/>
            <w:tcBorders/>
            <w:vAlign w:val="center"/>
          </w:tcPr>
          <w:p>
            <w:pPr>
              <w:pStyle w:val="TableContents"/>
              <w:bidi w:val="0"/>
              <w:spacing w:before="0" w:after="0"/>
              <w:ind w:left="0" w:right="0" w:hanging="0"/>
              <w:jc w:val="center"/>
              <w:rPr/>
            </w:pPr>
            <w:r>
              <w:rPr/>
              <w:t>​</w:t>
            </w:r>
          </w:p>
        </w:tc>
        <w:tc>
          <w:tcPr>
            <w:tcW w:w="472" w:type="dxa"/>
            <w:tcBorders/>
            <w:vAlign w:val="center"/>
          </w:tcPr>
          <w:p>
            <w:pPr>
              <w:pStyle w:val="TableContents"/>
              <w:bidi w:val="0"/>
              <w:spacing w:before="0" w:after="0"/>
              <w:ind w:left="0" w:right="0" w:hanging="0"/>
              <w:jc w:val="center"/>
              <w:rPr/>
            </w:pPr>
            <w:r>
              <w:rPr/>
              <w:t>​</w:t>
            </w:r>
          </w:p>
        </w:tc>
        <w:tc>
          <w:tcPr>
            <w:tcW w:w="304" w:type="dxa"/>
            <w:tcBorders/>
            <w:vAlign w:val="center"/>
          </w:tcPr>
          <w:p>
            <w:pPr>
              <w:pStyle w:val="TableContents"/>
              <w:bidi w:val="0"/>
              <w:spacing w:before="0" w:after="0"/>
              <w:ind w:left="0" w:right="0" w:hanging="0"/>
              <w:jc w:val="center"/>
              <w:rPr/>
            </w:pPr>
            <w:r>
              <w:rPr/>
              <w:t>​</w:t>
            </w:r>
          </w:p>
        </w:tc>
        <w:tc>
          <w:tcPr>
            <w:tcW w:w="1149" w:type="dxa"/>
            <w:tcBorders/>
            <w:vAlign w:val="center"/>
          </w:tcPr>
          <w:p>
            <w:pPr>
              <w:pStyle w:val="TableContents"/>
              <w:bidi w:val="0"/>
              <w:spacing w:before="0" w:after="0"/>
              <w:ind w:left="0" w:right="0" w:hanging="0"/>
              <w:jc w:val="center"/>
              <w:rPr/>
            </w:pPr>
            <w:r>
              <w:rPr/>
              <w:t>​</w:t>
            </w:r>
          </w:p>
        </w:tc>
      </w:tr>
      <w:tr>
        <w:trPr/>
        <w:tc>
          <w:tcPr>
            <w:tcW w:w="3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54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w:t>
            </w:r>
          </w:p>
        </w:tc>
        <w:tc>
          <w:tcPr>
            <w:tcW w:w="472" w:type="dxa"/>
            <w:tcBorders/>
            <w:shd w:fill="CCEEFF" w:val="clear"/>
            <w:vAlign w:val="center"/>
          </w:tcPr>
          <w:p>
            <w:pPr>
              <w:pStyle w:val="TableContents"/>
              <w:bidi w:val="0"/>
              <w:spacing w:before="0" w:after="0"/>
              <w:ind w:left="0" w:right="0" w:hanging="0"/>
              <w:jc w:val="center"/>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r>
      <w:tr>
        <w:trPr/>
        <w:tc>
          <w:tcPr>
            <w:tcW w:w="3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10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54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472" w:type="dxa"/>
            <w:tcBorders/>
            <w:vAlign w:val="center"/>
          </w:tcPr>
          <w:p>
            <w:pPr>
              <w:pStyle w:val="TableContents"/>
              <w:bidi w:val="0"/>
              <w:spacing w:before="0" w:after="0"/>
              <w:ind w:left="0" w:right="0" w:hanging="0"/>
              <w:jc w:val="center"/>
              <w:rPr/>
            </w:pPr>
            <w:r>
              <w:rPr/>
              <w:t>​</w:t>
            </w:r>
          </w:p>
        </w:tc>
        <w:tc>
          <w:tcPr>
            <w:tcW w:w="304"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r>
      <w:tr>
        <w:trPr/>
        <w:tc>
          <w:tcPr>
            <w:tcW w:w="3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54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w:t>
            </w:r>
          </w:p>
        </w:tc>
        <w:tc>
          <w:tcPr>
            <w:tcW w:w="472" w:type="dxa"/>
            <w:tcBorders/>
            <w:shd w:fill="CCEEFF" w:val="clear"/>
            <w:vAlign w:val="center"/>
          </w:tcPr>
          <w:p>
            <w:pPr>
              <w:pStyle w:val="TableContents"/>
              <w:bidi w:val="0"/>
              <w:spacing w:before="0" w:after="0"/>
              <w:ind w:left="0" w:right="0" w:hanging="0"/>
              <w:jc w:val="center"/>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r>
      <w:tr>
        <w:trPr/>
        <w:tc>
          <w:tcPr>
            <w:tcW w:w="3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10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w:t>
            </w:r>
          </w:p>
        </w:tc>
        <w:tc>
          <w:tcPr>
            <w:tcW w:w="54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6,305</w:t>
            </w:r>
          </w:p>
        </w:tc>
        <w:tc>
          <w:tcPr>
            <w:tcW w:w="472" w:type="dxa"/>
            <w:tcBorders/>
            <w:vAlign w:val="center"/>
          </w:tcPr>
          <w:p>
            <w:pPr>
              <w:pStyle w:val="TableContents"/>
              <w:bidi w:val="0"/>
              <w:spacing w:before="0" w:after="0"/>
              <w:ind w:left="0" w:right="0" w:hanging="0"/>
              <w:jc w:val="center"/>
              <w:rPr/>
            </w:pPr>
            <w:r>
              <w:rPr/>
              <w:t>​</w:t>
            </w:r>
          </w:p>
        </w:tc>
        <w:tc>
          <w:tcPr>
            <w:tcW w:w="304"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r>
      <w:tr>
        <w:trPr/>
        <w:tc>
          <w:tcPr>
            <w:tcW w:w="3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w:t>
            </w:r>
          </w:p>
        </w:tc>
        <w:tc>
          <w:tcPr>
            <w:tcW w:w="548"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11,919</w:t>
            </w:r>
          </w:p>
        </w:tc>
        <w:tc>
          <w:tcPr>
            <w:tcW w:w="472" w:type="dxa"/>
            <w:tcBorders/>
            <w:shd w:fill="CCEEFF" w:val="clear"/>
            <w:vAlign w:val="center"/>
          </w:tcPr>
          <w:p>
            <w:pPr>
              <w:pStyle w:val="TableContents"/>
              <w:bidi w:val="0"/>
              <w:spacing w:before="0" w:after="0"/>
              <w:ind w:left="0" w:right="0" w:hanging="0"/>
              <w:jc w:val="center"/>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6,039</w:t>
            </w:r>
          </w:p>
        </w:tc>
      </w:tr>
      <w:tr>
        <w:trPr/>
        <w:tc>
          <w:tcPr>
            <w:tcW w:w="3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vAlign w:val="center"/>
          </w:tcPr>
          <w:p>
            <w:pPr>
              <w:pStyle w:val="TableContents"/>
              <w:bidi w:val="0"/>
              <w:spacing w:before="0"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7,772</w:t>
            </w:r>
          </w:p>
        </w:tc>
        <w:tc>
          <w:tcPr>
            <w:tcW w:w="548" w:type="dxa"/>
            <w:tcBorders/>
            <w:vAlign w:val="center"/>
          </w:tcPr>
          <w:p>
            <w:pPr>
              <w:pStyle w:val="TableContents"/>
              <w:bidi w:val="0"/>
              <w:spacing w:before="0"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5,256</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26,228</w:t>
            </w:r>
          </w:p>
        </w:tc>
        <w:tc>
          <w:tcPr>
            <w:tcW w:w="472"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14,383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COMMITMENTS AND CONTINGENCIES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pStyle w:val="TextBody"/>
        <w:bidi w:val="0"/>
        <w:spacing w:before="0" w:after="240"/>
        <w:ind w:left="0" w:right="0" w:firstLine="360"/>
        <w:jc w:val="both"/>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12.   INCOME TAXES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reported income tax expense (benefit) of $784 and $(91) for the three months ended September 30, 2023, and 2022, respectively. The Company reported income tax expense of $13,266 and $1,217 for the nine months ended September 30, 2023, and 2022, respectively. The effective income tax rate ("ETR") was (30.0)% for the three months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ended September 30, 2023, compared to 7.4% for the three months ended September 30, 2022. The ETR was (87.5)% for the nine months ended September 30, 2023, compared to (21.1)% for the nine months ended September 30, 2022. The ETR for the three and nine months ended September 30, 2023 and 2022 differ from the U.S. federal statutory income tax rate of 21% primarily due to income tax expense on income allocated to state jurisdictions, differences in tax rates on foreign jurisdiction income or loss, limitations on deductions of certain employees’ compensation under Internal Revenue Code Section 162(m), and tax benefits on exercises and vestings of stock awards. In addition, the ETR for September 30, 2023 includes a valuation allowance recorded on certain foreign deferred tax assets.</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70" w:name="Item2MANAGEMENTSDISCUSSIONANDANALYSIS_19"/>
      <w:bookmarkStart w:id="2171" w:name="_8cc546e5_9586_4a85_b33e_473ce67665b0"/>
      <w:bookmarkStart w:id="2172" w:name="Item2MANAGEMENTSDISCUSSIONANDANALYSIS_19"/>
      <w:bookmarkStart w:id="2173" w:name="_8cc546e5_9586_4a85_b33e_473ce67665b0"/>
      <w:bookmarkEnd w:id="2172"/>
      <w:bookmarkEnd w:id="2173"/>
    </w:p>
    <w:tbl>
      <w:tblPr>
        <w:tblW w:w="10205" w:type="dxa"/>
        <w:jc w:val="left"/>
        <w:tblInd w:w="0" w:type="dxa"/>
        <w:tblLayout w:type="fixed"/>
        <w:tblCellMar>
          <w:top w:w="0" w:type="dxa"/>
          <w:left w:w="0" w:type="dxa"/>
          <w:bottom w:w="0" w:type="dxa"/>
          <w:right w:w="0" w:type="dxa"/>
        </w:tblCellMar>
      </w:tblPr>
      <w:tblGrid>
        <w:gridCol w:w="693"/>
        <w:gridCol w:w="9512"/>
      </w:tblGrid>
      <w:tr>
        <w:trPr/>
        <w:tc>
          <w:tcPr>
            <w:tcW w:w="693"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5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March 10, 2023 (the “2022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2022 Annual Report and as may be subsequently updated by our other SEC filings.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1,400 professionals and serves companies across the globe.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45% and 41% of software subscription revenue from cloud-based subscriptions during the three months ended September 30, 2023 and 2022, respectively, and 44% and 40% for the nine months ended September 30, 2023 and 2022, respectively. While our on-premise software subscription revenue comprised 55% and 59% of our software subscription revenue during the three months ended September 30, 2023 and 2022, respectively, and 56% and 60% for the nine months ended September 30, 2023 and 2022, respectively, it continues to decrease as a percentage of total software subscriptions revenues as cloud-based subscriptions grow.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partner ecosystem is a differentiating, competitive strength in both our software development and our sales and marketing activities. We integrate with key technology partners that span Enterprise Resource Planning (“ERP”), Customer Relationship Management (“CRM”), procurement, billing, Point of Sale (“POS”) and e-commerce. These partners include Adobe/Magento, Coupa, Microsoft Dynamics, NetSuite, Oracle, Salesforce, SAP, SAP Ariba, Workday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Zuora. We also collaborate with numerous accounting firms who have built implementation practices around our software to serve their customer base.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global commerce and the compliance environment provides durable and accelerating growth opportunities for our business. We generated revenue of $145.0 million and $126.2 million for the three months ended September 30, 2023 and 2022, respectively and $417.5 million and $360.5 million for the nine months ended September 30, 2023 and 2022, respectively. We had a net loss of $(3.4) million and $(1.1) million for the three months ended September 30, 2023 and 2022, respectively, and $(28.4) million and $(7.0) million for the nine months ended September 30, 2023 and 2022, respectively. These amounts are presented in accordance with United States (“U.S.”) generally accepted accounting principles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EBITDA as net loss or income before interest, taxes, depreciation, and amortization, as adjusted to exclude charges for asset impairments, stock-based compensation expense, amortization of cloud computing implementation costs, severance expense, acquisition contingent consideration, litigation settlements, and transaction costs (which includes offering costs related to the sale of shares of certain of our Class B shareholders which are not representative of normal business operations). Adjusted EBITDA was $26.6 million and $20.7 million for the three months ended September 30, 2023 and 2022, respectively, and $68.8 million and $57.6 million for the nine months ended September 30, 2023 and 2022,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revenue from software subscriptions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 Effective January 1, 2022, we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remaining estimated period of benefit to the customer.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Selling and Marketing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Selling expenses consist primarily of personnel and related expenses in support of sales and marketing efforts. These costs include salaries, benefits, bonuses and stock-based compensation. In addition, selling expense includes costs related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and other internal support and infrastructure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our general and administrative expenses to increase in absolute dollars as we continue to expand our operations, hire additional personnel, integrate current and future acquisitions, invest in our systems and tools to support improvements in future operating leverage, and incur additional costs associated with being a publicly 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Operating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(income),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(income) expense, net reflects the net amount of our interest expense and interest income within the same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consists primarily of interest incurred related to borrowings, bank credit facility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Limited (“Systax”) acquisition and amortization of the discount on deferred purchase consideration associated with the LCR-Dixon Corporation  acquisition will be recorded as interest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reflects earnings on investments of our cash on hand and our investment securities. Interest income will vary as a result of fluctuations in the future level of funds available for investment and the rate of return available in the market on such funds.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Income Tax Expense (Benefit)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carryforwards, applicable tax rates, and transfer pricing methodologies. Judgments and estimates related to our projections and assumptions are inherently uncertain; therefore, actual results could materially differ from our projections.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2022 Annual Report. The period-to-period comparison of financial results is not necessarily indicative of financial results to be achieved in future periods. The following table sets forth our condensed consolidated statements of comprehensive loss for the periods indicated. </w:t>
      </w:r>
    </w:p>
    <w:tbl>
      <w:tblPr>
        <w:tblW w:w="10205" w:type="dxa"/>
        <w:jc w:val="left"/>
        <w:tblInd w:w="0" w:type="dxa"/>
        <w:tblLayout w:type="fixed"/>
        <w:tblCellMar>
          <w:top w:w="0" w:type="dxa"/>
          <w:left w:w="0" w:type="dxa"/>
          <w:bottom w:w="0" w:type="dxa"/>
          <w:right w:w="0" w:type="dxa"/>
        </w:tblCellMar>
      </w:tblPr>
      <w:tblGrid>
        <w:gridCol w:w="1487"/>
        <w:gridCol w:w="326"/>
        <w:gridCol w:w="196"/>
        <w:gridCol w:w="691"/>
        <w:gridCol w:w="326"/>
        <w:gridCol w:w="196"/>
        <w:gridCol w:w="693"/>
        <w:gridCol w:w="109"/>
        <w:gridCol w:w="217"/>
        <w:gridCol w:w="667"/>
        <w:gridCol w:w="161"/>
        <w:gridCol w:w="569"/>
        <w:gridCol w:w="241"/>
        <w:gridCol w:w="206"/>
        <w:gridCol w:w="196"/>
        <w:gridCol w:w="693"/>
        <w:gridCol w:w="326"/>
        <w:gridCol w:w="196"/>
        <w:gridCol w:w="693"/>
        <w:gridCol w:w="109"/>
        <w:gridCol w:w="202"/>
        <w:gridCol w:w="732"/>
        <w:gridCol w:w="150"/>
        <w:gridCol w:w="530"/>
        <w:gridCol w:w="293"/>
      </w:tblGrid>
      <w:tr>
        <w:trPr/>
        <w:tc>
          <w:tcPr>
            <w:tcW w:w="1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944245" cy="175260"/>
                      <wp:effectExtent l="0" t="0" r="0" b="0"/>
                      <wp:wrapNone/>
                      <wp:docPr id="340" name="Frame340"/>
                      <a:graphic xmlns:a="http://schemas.openxmlformats.org/drawingml/2006/main">
                        <a:graphicData uri="http://schemas.microsoft.com/office/word/2010/wordprocessingShape">
                          <wps:wsp>
                            <wps:cNvSpPr txBox="1"/>
                            <wps:spPr>
                              <a:xfrm>
                                <a:off x="0" y="0"/>
                                <a:ext cx="944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4460" cy="175260"/>
                      <wp:effectExtent l="0" t="0" r="0" b="0"/>
                      <wp:wrapNone/>
                      <wp:docPr id="342" name="Frame3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38785" cy="175260"/>
                      <wp:effectExtent l="0" t="0" r="0" b="0"/>
                      <wp:wrapNone/>
                      <wp:docPr id="343" name="Frame3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24460" cy="175260"/>
                      <wp:effectExtent l="0" t="0" r="0" b="0"/>
                      <wp:wrapNone/>
                      <wp:docPr id="345" name="Frame3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40055" cy="175260"/>
                      <wp:effectExtent l="0" t="0" r="0" b="0"/>
                      <wp:wrapNone/>
                      <wp:docPr id="346" name="Frame346"/>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7795" cy="175260"/>
                      <wp:effectExtent l="0" t="0" r="0" b="0"/>
                      <wp:wrapNone/>
                      <wp:docPr id="348" name="Frame34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23545" cy="175260"/>
                      <wp:effectExtent l="0" t="0" r="0" b="0"/>
                      <wp:wrapNone/>
                      <wp:docPr id="349" name="Frame349"/>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02235" cy="175260"/>
                      <wp:effectExtent l="0" t="0" r="0" b="0"/>
                      <wp:wrapNone/>
                      <wp:docPr id="350" name="Frame350"/>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61315" cy="175260"/>
                      <wp:effectExtent l="0" t="0" r="0" b="0"/>
                      <wp:wrapNone/>
                      <wp:docPr id="351" name="Frame351"/>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53035" cy="175260"/>
                      <wp:effectExtent l="0" t="0" r="0" b="0"/>
                      <wp:wrapNone/>
                      <wp:docPr id="352" name="Frame35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0810" cy="175260"/>
                      <wp:effectExtent l="0" t="0" r="0" b="0"/>
                      <wp:wrapNone/>
                      <wp:docPr id="353" name="Frame3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24460" cy="175260"/>
                      <wp:effectExtent l="0" t="0" r="0" b="0"/>
                      <wp:wrapNone/>
                      <wp:docPr id="354" name="Frame3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40055" cy="175260"/>
                      <wp:effectExtent l="0" t="0" r="0" b="0"/>
                      <wp:wrapNone/>
                      <wp:docPr id="355" name="Frame355"/>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24460" cy="175260"/>
                      <wp:effectExtent l="0" t="0" r="0" b="0"/>
                      <wp:wrapNone/>
                      <wp:docPr id="357" name="Frame3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40055" cy="175260"/>
                      <wp:effectExtent l="0" t="0" r="0" b="0"/>
                      <wp:wrapNone/>
                      <wp:docPr id="358" name="Frame358"/>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28270" cy="175260"/>
                      <wp:effectExtent l="0" t="0" r="0" b="0"/>
                      <wp:wrapNone/>
                      <wp:docPr id="360" name="Frame360"/>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64820" cy="175260"/>
                      <wp:effectExtent l="0" t="0" r="0" b="0"/>
                      <wp:wrapNone/>
                      <wp:docPr id="361" name="Frame361"/>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95250" cy="175260"/>
                      <wp:effectExtent l="0" t="0" r="0" b="0"/>
                      <wp:wrapNone/>
                      <wp:docPr id="362" name="Frame362"/>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36550" cy="175260"/>
                      <wp:effectExtent l="0" t="0" r="0" b="0"/>
                      <wp:wrapNone/>
                      <wp:docPr id="363" name="Frame363"/>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86055" cy="175260"/>
                      <wp:effectExtent l="0" t="0" r="0" b="0"/>
                      <wp:wrapNone/>
                      <wp:docPr id="364" name="Frame364"/>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center"/>
              <w:rPr/>
            </w:pPr>
            <w:r>
              <w:rPr/>
              <w:t>​</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1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pPr>
            <w:r>
              <w:rPr/>
              <w:t>​</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center"/>
              <w:rPr/>
            </w:pPr>
            <w:r>
              <w:rPr/>
              <w:t>​</w:t>
            </w:r>
          </w:p>
        </w:tc>
        <w:tc>
          <w:tcPr>
            <w:tcW w:w="293" w:type="dxa"/>
            <w:tcBorders/>
            <w:vAlign w:val="center"/>
          </w:tcPr>
          <w:p>
            <w:pPr>
              <w:pStyle w:val="TableContents"/>
              <w:bidi w:val="0"/>
              <w:spacing w:before="0" w:after="0"/>
              <w:ind w:left="0" w:right="0" w:hanging="0"/>
              <w:jc w:val="right"/>
              <w:rPr/>
            </w:pPr>
            <w:r>
              <w:rPr/>
              <w:t>​</w:t>
            </w:r>
          </w:p>
        </w:tc>
      </w:tr>
      <w:tr>
        <w:trPr/>
        <w:tc>
          <w:tcPr>
            <w:tcW w:w="14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center"/>
              <w:rPr/>
            </w:pPr>
            <w:r>
              <w:rPr/>
              <w:t>​</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1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pPr>
            <w:r>
              <w:rPr/>
              <w:t>​</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center"/>
              <w:rPr/>
            </w:pPr>
            <w:r>
              <w:rPr/>
              <w:t>​</w:t>
            </w:r>
          </w:p>
        </w:tc>
        <w:tc>
          <w:tcPr>
            <w:tcW w:w="293" w:type="dxa"/>
            <w:tcBorders/>
            <w:vAlign w:val="center"/>
          </w:tcPr>
          <w:p>
            <w:pPr>
              <w:pStyle w:val="TableContents"/>
              <w:bidi w:val="0"/>
              <w:spacing w:before="0" w:after="0"/>
              <w:ind w:left="0" w:right="0" w:hanging="0"/>
              <w:jc w:val="right"/>
              <w:rPr/>
            </w:pPr>
            <w:r>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6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24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6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293" w:type="dxa"/>
            <w:tcBorders/>
            <w:vAlign w:val="center"/>
          </w:tcPr>
          <w:p>
            <w:pPr>
              <w:pStyle w:val="TableContents"/>
              <w:bidi w:val="0"/>
              <w:spacing w:before="0" w:after="0"/>
              <w:ind w:left="0" w:right="0" w:hanging="0"/>
              <w:jc w:val="right"/>
              <w:rPr/>
            </w:pPr>
            <w:r>
              <w:rPr/>
              <w:t>​</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4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center"/>
              <w:rPr/>
            </w:pPr>
            <w:r>
              <w:rPr/>
              <w:t>​</w:t>
            </w:r>
          </w:p>
        </w:tc>
        <w:tc>
          <w:tcPr>
            <w:tcW w:w="161"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1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center"/>
              <w:rPr/>
            </w:pPr>
            <w:r>
              <w:rPr/>
              <w:t>​</w:t>
            </w:r>
          </w:p>
        </w:tc>
        <w:tc>
          <w:tcPr>
            <w:tcW w:w="732" w:type="dxa"/>
            <w:tcBorders/>
            <w:vAlign w:val="center"/>
          </w:tcPr>
          <w:p>
            <w:pPr>
              <w:pStyle w:val="TableContents"/>
              <w:bidi w:val="0"/>
              <w:spacing w:before="0" w:after="0"/>
              <w:ind w:left="0" w:right="0" w:hanging="0"/>
              <w:jc w:val="center"/>
              <w:rPr/>
            </w:pPr>
            <w:r>
              <w:rPr/>
              <w:t>​</w:t>
            </w:r>
          </w:p>
        </w:tc>
        <w:tc>
          <w:tcPr>
            <w:tcW w:w="150" w:type="dxa"/>
            <w:tcBorders/>
            <w:vAlign w:val="center"/>
          </w:tcPr>
          <w:p>
            <w:pPr>
              <w:pStyle w:val="TableContents"/>
              <w:bidi w:val="0"/>
              <w:spacing w:before="0" w:after="0"/>
              <w:ind w:left="0" w:right="0" w:hanging="0"/>
              <w:jc w:val="center"/>
              <w:rPr/>
            </w:pPr>
            <w:r>
              <w:rPr/>
              <w:t>​</w:t>
            </w:r>
          </w:p>
        </w:tc>
        <w:tc>
          <w:tcPr>
            <w:tcW w:w="530" w:type="dxa"/>
            <w:tcBorders/>
            <w:vAlign w:val="center"/>
          </w:tcPr>
          <w:p>
            <w:pPr>
              <w:pStyle w:val="TableContents"/>
              <w:bidi w:val="0"/>
              <w:spacing w:before="0" w:after="0"/>
              <w:ind w:left="0" w:right="0" w:hanging="0"/>
              <w:jc w:val="center"/>
              <w:rPr/>
            </w:pPr>
            <w:r>
              <w:rPr/>
              <w:t>​</w:t>
            </w:r>
          </w:p>
        </w:tc>
        <w:tc>
          <w:tcPr>
            <w:tcW w:w="293" w:type="dxa"/>
            <w:tcBorders/>
            <w:vAlign w:val="center"/>
          </w:tcPr>
          <w:p>
            <w:pPr>
              <w:pStyle w:val="TableContents"/>
              <w:bidi w:val="0"/>
              <w:spacing w:before="0" w:after="0"/>
              <w:ind w:left="0" w:right="0" w:hanging="0"/>
              <w:jc w:val="right"/>
              <w:rPr/>
            </w:pPr>
            <w:r>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Software subscriptions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121,285</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106,368</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14,917</w:t>
            </w:r>
          </w:p>
        </w:tc>
        <w:tc>
          <w:tcPr>
            <w:tcW w:w="161"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350,135</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304,587</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45,548</w:t>
            </w:r>
          </w:p>
        </w:tc>
        <w:tc>
          <w:tcPr>
            <w:tcW w:w="15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19,870</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3,872</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55,911</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11,427</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145,027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126,238</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18,789</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417,473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360,498</w:t>
            </w:r>
          </w:p>
        </w:tc>
        <w:tc>
          <w:tcPr>
            <w:tcW w:w="109"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56,975</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Software subscriptions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41,055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36,638</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4,417</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116,974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105,760</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11,214</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14,020</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1,796</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37,893</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7,630</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 of revenues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56,871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50,658</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6,213</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162,497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143,653</w:t>
            </w:r>
          </w:p>
        </w:tc>
        <w:tc>
          <w:tcPr>
            <w:tcW w:w="109"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18,844</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75,580</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12,576</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254,976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216,845</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38,131</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10,351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6,421</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30,294</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15,020</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and marketing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30,252</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3,667</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103,196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89,683</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13,513</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31,679</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3,706</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90,520</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18,551</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2,936</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9,120</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2,281</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expense ,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(917)</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1,927</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90,174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76,451</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13,723</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269,995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221,544</w:t>
            </w:r>
          </w:p>
        </w:tc>
        <w:tc>
          <w:tcPr>
            <w:tcW w:w="109"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48,451</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(1,147)</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(4,699)</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(10,320)</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219.6</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c>
          <w:tcPr>
            <w:tcW w:w="109"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(937)</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(1,232)</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(1,383)</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(5,778)</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(9,383)</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162.4</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1,217</w:t>
            </w:r>
          </w:p>
        </w:tc>
        <w:tc>
          <w:tcPr>
            <w:tcW w:w="109"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12,049</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(2,258)</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(6,995)</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(21,432)</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306.4</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10,670</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(5,359)</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24,496</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(22,916)</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investments, net of tax</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109"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10,698</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(5,397)</w:t>
            </w:r>
          </w:p>
        </w:tc>
        <w:tc>
          <w:tcPr>
            <w:tcW w:w="16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24,522</w:t>
            </w:r>
          </w:p>
        </w:tc>
        <w:tc>
          <w:tcPr>
            <w:tcW w:w="109"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(22,962)</w:t>
            </w:r>
          </w:p>
        </w:tc>
        <w:tc>
          <w:tcPr>
            <w:tcW w:w="150"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comprehensive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(11,839)</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3,139</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(29,987)</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(31,517)</w:t>
            </w:r>
          </w:p>
        </w:tc>
        <w:tc>
          <w:tcPr>
            <w:tcW w:w="109"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1,530</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4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r>
      <w:tr>
        <w:trPr/>
        <w:tc>
          <w:tcPr>
            <w:tcW w:w="14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Percentage change not meaningful.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r>
    </w:tbl>
    <w:p>
      <w:pPr>
        <w:pStyle w:val="TextBody"/>
        <w:pBdr/>
        <w:bidi w:val="0"/>
        <w:spacing w:before="0" w:after="0"/>
        <w:ind w:left="0" w:right="0" w:hanging="36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7919" w:type="dxa"/>
        <w:jc w:val="left"/>
        <w:tblInd w:w="0" w:type="dxa"/>
        <w:tblLayout w:type="fixed"/>
        <w:tblCellMar>
          <w:top w:w="0" w:type="dxa"/>
          <w:left w:w="0" w:type="dxa"/>
          <w:bottom w:w="0" w:type="dxa"/>
          <w:right w:w="0" w:type="dxa"/>
        </w:tblCellMar>
      </w:tblPr>
      <w:tblGrid>
        <w:gridCol w:w="3451"/>
        <w:gridCol w:w="239"/>
        <w:gridCol w:w="648"/>
        <w:gridCol w:w="370"/>
        <w:gridCol w:w="239"/>
        <w:gridCol w:w="648"/>
        <w:gridCol w:w="109"/>
        <w:gridCol w:w="211"/>
        <w:gridCol w:w="676"/>
        <w:gridCol w:w="326"/>
        <w:gridCol w:w="211"/>
        <w:gridCol w:w="79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1385" cy="175260"/>
                      <wp:effectExtent l="0" t="0" r="0" b="0"/>
                      <wp:wrapNone/>
                      <wp:docPr id="365" name="Frame365"/>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51765" cy="175260"/>
                      <wp:effectExtent l="0" t="0" r="0" b="0"/>
                      <wp:wrapNone/>
                      <wp:docPr id="366" name="Frame36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11480" cy="175260"/>
                      <wp:effectExtent l="0" t="0" r="0" b="0"/>
                      <wp:wrapNone/>
                      <wp:docPr id="367" name="Frame367"/>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34950" cy="175260"/>
                      <wp:effectExtent l="0" t="0" r="0" b="0"/>
                      <wp:wrapNone/>
                      <wp:docPr id="368" name="Frame368"/>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51765" cy="175260"/>
                      <wp:effectExtent l="0" t="0" r="0" b="0"/>
                      <wp:wrapNone/>
                      <wp:docPr id="369" name="Frame36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11480" cy="175260"/>
                      <wp:effectExtent l="0" t="0" r="0" b="0"/>
                      <wp:wrapNone/>
                      <wp:docPr id="370" name="Frame370"/>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71" name="Frame3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29260" cy="175260"/>
                      <wp:effectExtent l="0" t="0" r="0" b="0"/>
                      <wp:wrapNone/>
                      <wp:docPr id="373" name="Frame3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02285" cy="175260"/>
                      <wp:effectExtent l="0" t="0" r="0" b="0"/>
                      <wp:wrapNone/>
                      <wp:docPr id="376" name="Frame37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2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3451"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0"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919"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22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 expense:</w:t>
            </w:r>
          </w:p>
        </w:tc>
        <w:tc>
          <w:tcPr>
            <w:tcW w:w="239"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70"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239"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70"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39"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70"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239"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w:t>
            </w:r>
          </w:p>
        </w:tc>
        <w:tc>
          <w:tcPr>
            <w:tcW w:w="370"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w:t>
            </w:r>
          </w:p>
        </w:tc>
        <w:tc>
          <w:tcPr>
            <w:tcW w:w="370"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7,772</w:t>
            </w:r>
          </w:p>
        </w:tc>
        <w:tc>
          <w:tcPr>
            <w:tcW w:w="370"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14,383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following table sets forth our results of operations as a percentage of our total revenues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16"/>
        <w:gridCol w:w="326"/>
        <w:gridCol w:w="973"/>
        <w:gridCol w:w="614"/>
        <w:gridCol w:w="973"/>
        <w:gridCol w:w="361"/>
        <w:gridCol w:w="109"/>
        <w:gridCol w:w="955"/>
        <w:gridCol w:w="603"/>
        <w:gridCol w:w="955"/>
        <w:gridCol w:w="320"/>
      </w:tblGrid>
      <w:tr>
        <w:trPr/>
        <w:tc>
          <w:tcPr>
            <w:tcW w:w="4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550160" cy="175260"/>
                      <wp:effectExtent l="0" t="0" r="0" b="0"/>
                      <wp:wrapNone/>
                      <wp:docPr id="377" name="Frame377"/>
                      <a:graphic xmlns:a="http://schemas.openxmlformats.org/drawingml/2006/main">
                        <a:graphicData uri="http://schemas.microsoft.com/office/word/2010/wordprocessingShape">
                          <wps:wsp>
                            <wps:cNvSpPr txBox="1"/>
                            <wps:spPr>
                              <a:xfrm>
                                <a:off x="0" y="0"/>
                                <a:ext cx="2550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17855" cy="175260"/>
                      <wp:effectExtent l="0" t="0" r="0" b="0"/>
                      <wp:wrapNone/>
                      <wp:docPr id="379" name="Frame379"/>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389890" cy="175260"/>
                      <wp:effectExtent l="0" t="0" r="0" b="0"/>
                      <wp:wrapNone/>
                      <wp:docPr id="380" name="Frame380"/>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17855" cy="175260"/>
                      <wp:effectExtent l="0" t="0" r="0" b="0"/>
                      <wp:wrapNone/>
                      <wp:docPr id="381" name="Frame381"/>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29235" cy="175260"/>
                      <wp:effectExtent l="0" t="0" r="0" b="0"/>
                      <wp:wrapNone/>
                      <wp:docPr id="382" name="Frame38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83"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06425" cy="175260"/>
                      <wp:effectExtent l="0" t="0" r="0" b="0"/>
                      <wp:wrapNone/>
                      <wp:docPr id="384" name="Frame384"/>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82905" cy="175260"/>
                      <wp:effectExtent l="0" t="0" r="0" b="0"/>
                      <wp:wrapNone/>
                      <wp:docPr id="385" name="Frame385"/>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06425" cy="175260"/>
                      <wp:effectExtent l="0" t="0" r="0" b="0"/>
                      <wp:wrapNone/>
                      <wp:docPr id="386" name="Frame386"/>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3200" cy="175260"/>
                      <wp:effectExtent l="0" t="0" r="0" b="0"/>
                      <wp:wrapNone/>
                      <wp:docPr id="387" name="Frame38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20" w:type="dxa"/>
            <w:tcBorders/>
            <w:vAlign w:val="center"/>
          </w:tcPr>
          <w:p>
            <w:pPr>
              <w:pStyle w:val="TableContents"/>
              <w:bidi w:val="0"/>
              <w:spacing w:before="0" w:after="0"/>
              <w:ind w:left="0" w:right="0" w:hanging="0"/>
              <w:jc w:val="center"/>
              <w:rPr/>
            </w:pPr>
            <w:r>
              <w:rPr/>
              <w:t>​</w:t>
            </w:r>
          </w:p>
        </w:tc>
      </w:tr>
      <w:tr>
        <w:trPr/>
        <w:tc>
          <w:tcPr>
            <w:tcW w:w="4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614" w:type="dxa"/>
            <w:tcBorders/>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603" w:type="dxa"/>
            <w:tcBorders/>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0" w:type="dxa"/>
            <w:tcBorders/>
            <w:vAlign w:val="center"/>
          </w:tcPr>
          <w:p>
            <w:pPr>
              <w:pStyle w:val="TableContents"/>
              <w:bidi w:val="0"/>
              <w:spacing w:before="0" w:after="0"/>
              <w:ind w:left="0" w:right="0" w:hanging="0"/>
              <w:jc w:val="center"/>
              <w:rPr/>
            </w:pPr>
            <w:r>
              <w:rPr/>
              <w:t>​</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251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0" w:type="dxa"/>
            <w:tcBorders/>
            <w:vAlign w:val="center"/>
          </w:tcPr>
          <w:p>
            <w:pPr>
              <w:pStyle w:val="TableContents"/>
              <w:bidi w:val="0"/>
              <w:spacing w:before="0" w:after="0"/>
              <w:ind w:left="0" w:right="0" w:hanging="0"/>
              <w:jc w:val="center"/>
              <w:rPr/>
            </w:pPr>
            <w:r>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  </w:t>
            </w:r>
          </w:p>
        </w:tc>
        <w:tc>
          <w:tcPr>
            <w:tcW w:w="614"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  </w:t>
            </w:r>
          </w:p>
        </w:tc>
        <w:tc>
          <w:tcPr>
            <w:tcW w:w="603"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right"/>
              <w:rPr/>
            </w:pPr>
            <w:r>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w:t>
            </w:r>
          </w:p>
        </w:tc>
        <w:tc>
          <w:tcPr>
            <w:tcW w:w="6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6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  </w:t>
            </w:r>
          </w:p>
        </w:tc>
        <w:tc>
          <w:tcPr>
            <w:tcW w:w="614"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  </w:t>
            </w:r>
          </w:p>
        </w:tc>
        <w:tc>
          <w:tcPr>
            <w:tcW w:w="603"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left"/>
              <w:rPr/>
            </w:pPr>
            <w:r>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6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6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pPr>
            <w:r>
              <w:rPr/>
              <w:t>  </w:t>
            </w:r>
          </w:p>
        </w:tc>
        <w:tc>
          <w:tcPr>
            <w:tcW w:w="614"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  </w:t>
            </w:r>
          </w:p>
        </w:tc>
        <w:tc>
          <w:tcPr>
            <w:tcW w:w="603"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pPr>
            <w:r>
              <w:rPr/>
              <w:t>  </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6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6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 net</w:t>
            </w:r>
          </w:p>
        </w:tc>
        <w:tc>
          <w:tcPr>
            <w:tcW w:w="326" w:type="dxa"/>
            <w:tcBorders/>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6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6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614"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c>
          <w:tcPr>
            <w:tcW w:w="603"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and revaluations, net of tax</w:t>
            </w:r>
          </w:p>
        </w:tc>
        <w:tc>
          <w:tcPr>
            <w:tcW w:w="326"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603"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investments,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3"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tax</w:t>
            </w:r>
          </w:p>
        </w:tc>
        <w:tc>
          <w:tcPr>
            <w:tcW w:w="326" w:type="dxa"/>
            <w:tcBorders/>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6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 xml:space="preserve">Three Months Ended September 30, 2023 Compared to Three Months Ended September 30, 2022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Revenues</w:t>
      </w:r>
    </w:p>
    <w:tbl>
      <w:tblPr>
        <w:tblW w:w="7390" w:type="dxa"/>
        <w:jc w:val="left"/>
        <w:tblInd w:w="0" w:type="dxa"/>
        <w:tblLayout w:type="fixed"/>
        <w:tblCellMar>
          <w:top w:w="0" w:type="dxa"/>
          <w:left w:w="0" w:type="dxa"/>
          <w:bottom w:w="0" w:type="dxa"/>
          <w:right w:w="0" w:type="dxa"/>
        </w:tblCellMar>
      </w:tblPr>
      <w:tblGrid>
        <w:gridCol w:w="1951"/>
        <w:gridCol w:w="326"/>
        <w:gridCol w:w="211"/>
        <w:gridCol w:w="781"/>
        <w:gridCol w:w="326"/>
        <w:gridCol w:w="211"/>
        <w:gridCol w:w="781"/>
        <w:gridCol w:w="326"/>
        <w:gridCol w:w="304"/>
        <w:gridCol w:w="974"/>
        <w:gridCol w:w="210"/>
        <w:gridCol w:w="673"/>
        <w:gridCol w:w="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38885" cy="175260"/>
                      <wp:effectExtent l="0" t="0" r="0" b="0"/>
                      <wp:wrapNone/>
                      <wp:docPr id="388" name="Frame388"/>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95935" cy="175260"/>
                      <wp:effectExtent l="0" t="0" r="0" b="0"/>
                      <wp:wrapNone/>
                      <wp:docPr id="391" name="Frame3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95935" cy="175260"/>
                      <wp:effectExtent l="0" t="0" r="0" b="0"/>
                      <wp:wrapNone/>
                      <wp:docPr id="394" name="Frame3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93040" cy="175260"/>
                      <wp:effectExtent l="0" t="0" r="0" b="0"/>
                      <wp:wrapNone/>
                      <wp:docPr id="396" name="Frame396"/>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18490" cy="175260"/>
                      <wp:effectExtent l="0" t="0" r="0" b="0"/>
                      <wp:wrapNone/>
                      <wp:docPr id="397" name="Frame39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350" cy="175260"/>
                      <wp:effectExtent l="0" t="0" r="0" b="0"/>
                      <wp:wrapNone/>
                      <wp:docPr id="398" name="Frame398"/>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27355" cy="175260"/>
                      <wp:effectExtent l="0" t="0" r="0" b="0"/>
                      <wp:wrapNone/>
                      <wp:docPr id="399" name="Frame399"/>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0660" cy="175260"/>
                      <wp:effectExtent l="0" t="0" r="0" b="0"/>
                      <wp:wrapNone/>
                      <wp:docPr id="400" name="Frame4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106,368</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210"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19,870</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w:t>
            </w:r>
          </w:p>
        </w:tc>
        <w:tc>
          <w:tcPr>
            <w:tcW w:w="210"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126,238</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18,789</w:t>
            </w:r>
          </w:p>
        </w:tc>
        <w:tc>
          <w:tcPr>
            <w:tcW w:w="210" w:type="dxa"/>
            <w:tcBorders/>
            <w:shd w:fill="CCEEFF" w:val="clear"/>
            <w:vAlign w:val="center"/>
          </w:tcPr>
          <w:p>
            <w:pPr>
              <w:pStyle w:val="TableContents"/>
              <w:bidi w:val="0"/>
              <w:spacing w:before="0" w:after="0"/>
              <w:ind w:left="0" w:right="0" w:hanging="0"/>
              <w:jc w:val="left"/>
              <w:rPr/>
            </w:pPr>
            <w:r>
              <w:rPr/>
              <w:t> </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2174" w:name="_Hlk79409928"/>
      <w:bookmarkEnd w:id="2174"/>
      <w:r>
        <w:rPr>
          <w:rFonts w:ascii="Times New Roman;Times;serif" w:hAnsi="Times New Roman;Times;serif"/>
          <w:sz w:val="20"/>
        </w:rPr>
        <w:t>Revenues increased $18.8 million, or 14.9%, to $145.0 million for the three months ended September 30, 2023 compared to $126.2 million for the three months ended September 30, 2022. The increase in software subscriptions revenues of $14.9 million, or 14.0%, was primarily driven by increases from our existing customers in cross selling new products to existing customers, and to a lesser extent, increases due to expanded use and price increases. Software subscriptions revenues derived from new customers averaged 6.5% and 7.5% of total software subscriptions revenues in the three months ended September 30, 2023 and 2022,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$3.9 million increase in services revenues was primarily driven by an increase of $3.4 million in software subscription-related services associated with the growth in subscription revenues, which includes new customers implementing our solutions and existing customers upgrading to newer versions of our solutions. In addition, our managed services offering experienced a $0.5 million increase in recurring services revenues over the prior year due to returns processing volume increases related to customer business growth and regulatory changes as customers expanded their tax filings into more jurisdictions.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Cost of Software Subscriptions Revenues </w:t>
      </w:r>
    </w:p>
    <w:tbl>
      <w:tblPr>
        <w:tblW w:w="8588" w:type="dxa"/>
        <w:jc w:val="left"/>
        <w:tblInd w:w="0" w:type="dxa"/>
        <w:tblLayout w:type="fixed"/>
        <w:tblCellMar>
          <w:top w:w="0" w:type="dxa"/>
          <w:left w:w="0" w:type="dxa"/>
          <w:bottom w:w="0" w:type="dxa"/>
          <w:right w:w="0" w:type="dxa"/>
        </w:tblCellMar>
      </w:tblPr>
      <w:tblGrid>
        <w:gridCol w:w="3316"/>
        <w:gridCol w:w="326"/>
        <w:gridCol w:w="215"/>
        <w:gridCol w:w="690"/>
        <w:gridCol w:w="333"/>
        <w:gridCol w:w="215"/>
        <w:gridCol w:w="690"/>
        <w:gridCol w:w="326"/>
        <w:gridCol w:w="327"/>
        <w:gridCol w:w="885"/>
        <w:gridCol w:w="226"/>
        <w:gridCol w:w="723"/>
        <w:gridCol w:w="31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05660" cy="175260"/>
                      <wp:effectExtent l="0" t="0" r="0" b="0"/>
                      <wp:wrapNone/>
                      <wp:docPr id="401" name="Frame401"/>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6525" cy="175260"/>
                      <wp:effectExtent l="0" t="0" r="0" b="0"/>
                      <wp:wrapNone/>
                      <wp:docPr id="403" name="Frame40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38150" cy="175260"/>
                      <wp:effectExtent l="0" t="0" r="0" b="0"/>
                      <wp:wrapNone/>
                      <wp:docPr id="404" name="Frame40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1455" cy="175260"/>
                      <wp:effectExtent l="0" t="0" r="0" b="0"/>
                      <wp:wrapNone/>
                      <wp:docPr id="405" name="Frame40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6525" cy="175260"/>
                      <wp:effectExtent l="0" t="0" r="0" b="0"/>
                      <wp:wrapNone/>
                      <wp:docPr id="406" name="Frame40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38150" cy="175260"/>
                      <wp:effectExtent l="0" t="0" r="0" b="0"/>
                      <wp:wrapNone/>
                      <wp:docPr id="407" name="Frame40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645" cy="175260"/>
                      <wp:effectExtent l="0" t="0" r="0" b="0"/>
                      <wp:wrapNone/>
                      <wp:docPr id="409" name="Frame40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61975" cy="175260"/>
                      <wp:effectExtent l="0" t="0" r="0" b="0"/>
                      <wp:wrapNone/>
                      <wp:docPr id="410" name="Frame410"/>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43510" cy="175260"/>
                      <wp:effectExtent l="0" t="0" r="0" b="0"/>
                      <wp:wrapNone/>
                      <wp:docPr id="411" name="Frame4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59105" cy="175260"/>
                      <wp:effectExtent l="0" t="0" r="0" b="0"/>
                      <wp:wrapNone/>
                      <wp:docPr id="412" name="Frame412"/>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0660" cy="175260"/>
                      <wp:effectExtent l="0" t="0" r="0" b="0"/>
                      <wp:wrapNone/>
                      <wp:docPr id="413" name="Frame41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software subscriptions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41,055</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36,638</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revenues increased $4.4 million, or 12.1%, to $41.1 million for the three months ended September 30, 2023 compared to $36.6 million for the three months ended September 30, 2022. This was driven by a $1.5 million increase in costs of personnel supporting period-over-period growth of sales and customers and ongoing infrastructure investments and support costs to enable the continued expansion of customer transaction volumes for our cloud-based subscription customers.  In addition, this included an increase in depreciation and amortization of capitalized software and acquired intangible assets of $2.9 million associated with our ongoing investments in internal-use software for cloud-based subscription solutions, software developed for sale for new products and enhancements to existing products, and costs associated with the amortization of acquired intangible assets. As a percentage of software subscriptions revenues, the cost of software subscriptions revenues decreased to 33.9% in the three months ended September 30, 2023 compared to 34.4% for the same period in 2022.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Cost of Services Revenues </w:t>
      </w:r>
    </w:p>
    <w:tbl>
      <w:tblPr>
        <w:tblW w:w="7433" w:type="dxa"/>
        <w:jc w:val="left"/>
        <w:tblInd w:w="0" w:type="dxa"/>
        <w:tblLayout w:type="fixed"/>
        <w:tblCellMar>
          <w:top w:w="0" w:type="dxa"/>
          <w:left w:w="0" w:type="dxa"/>
          <w:bottom w:w="0" w:type="dxa"/>
          <w:right w:w="0" w:type="dxa"/>
        </w:tblCellMar>
      </w:tblPr>
      <w:tblGrid>
        <w:gridCol w:w="2161"/>
        <w:gridCol w:w="326"/>
        <w:gridCol w:w="215"/>
        <w:gridCol w:w="690"/>
        <w:gridCol w:w="333"/>
        <w:gridCol w:w="215"/>
        <w:gridCol w:w="690"/>
        <w:gridCol w:w="326"/>
        <w:gridCol w:w="327"/>
        <w:gridCol w:w="885"/>
        <w:gridCol w:w="226"/>
        <w:gridCol w:w="723"/>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72235" cy="175260"/>
                      <wp:effectExtent l="0" t="0" r="0" b="0"/>
                      <wp:wrapNone/>
                      <wp:docPr id="414" name="Frame41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6525" cy="175260"/>
                      <wp:effectExtent l="0" t="0" r="0" b="0"/>
                      <wp:wrapNone/>
                      <wp:docPr id="416" name="Frame41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38150" cy="175260"/>
                      <wp:effectExtent l="0" t="0" r="0" b="0"/>
                      <wp:wrapNone/>
                      <wp:docPr id="417" name="Frame41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1455" cy="175260"/>
                      <wp:effectExtent l="0" t="0" r="0" b="0"/>
                      <wp:wrapNone/>
                      <wp:docPr id="418" name="Frame41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6525" cy="175260"/>
                      <wp:effectExtent l="0" t="0" r="0" b="0"/>
                      <wp:wrapNone/>
                      <wp:docPr id="419" name="Frame41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38150" cy="175260"/>
                      <wp:effectExtent l="0" t="0" r="0" b="0"/>
                      <wp:wrapNone/>
                      <wp:docPr id="420" name="Frame42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645" cy="175260"/>
                      <wp:effectExtent l="0" t="0" r="0" b="0"/>
                      <wp:wrapNone/>
                      <wp:docPr id="422" name="Frame422"/>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61975" cy="175260"/>
                      <wp:effectExtent l="0" t="0" r="0" b="0"/>
                      <wp:wrapNone/>
                      <wp:docPr id="423" name="Frame423"/>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43510" cy="175260"/>
                      <wp:effectExtent l="0" t="0" r="0" b="0"/>
                      <wp:wrapNone/>
                      <wp:docPr id="424" name="Frame4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59105" cy="175260"/>
                      <wp:effectExtent l="0" t="0" r="0" b="0"/>
                      <wp:wrapNone/>
                      <wp:docPr id="425" name="Frame425"/>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0660" cy="175260"/>
                      <wp:effectExtent l="0" t="0" r="0" b="0"/>
                      <wp:wrapNone/>
                      <wp:docPr id="426" name="Frame42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15,816</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14,020</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services revenues increased $1.8 million, or 12.8%, to $15.8 million for the three months ended September 30, 2023 compared to $14.0 million for the three months ended September 30, 2022. The increase in cost of services revenues was primarily due to an increase in costs of service delivery personnel to support revenue growth in software subscription-related services and our managed services offering. As a percentage of services revenues, cost of services revenues decreased to 66.6% in the three months ended September 30, 2023 compared to 70.6% for the same period in 2022.</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Research and Development </w:t>
      </w:r>
    </w:p>
    <w:tbl>
      <w:tblPr>
        <w:tblW w:w="7583" w:type="dxa"/>
        <w:jc w:val="left"/>
        <w:tblInd w:w="0" w:type="dxa"/>
        <w:tblLayout w:type="fixed"/>
        <w:tblCellMar>
          <w:top w:w="0" w:type="dxa"/>
          <w:left w:w="0" w:type="dxa"/>
          <w:bottom w:w="0" w:type="dxa"/>
          <w:right w:w="0" w:type="dxa"/>
        </w:tblCellMar>
      </w:tblPr>
      <w:tblGrid>
        <w:gridCol w:w="2311"/>
        <w:gridCol w:w="326"/>
        <w:gridCol w:w="215"/>
        <w:gridCol w:w="690"/>
        <w:gridCol w:w="333"/>
        <w:gridCol w:w="215"/>
        <w:gridCol w:w="690"/>
        <w:gridCol w:w="326"/>
        <w:gridCol w:w="327"/>
        <w:gridCol w:w="885"/>
        <w:gridCol w:w="226"/>
        <w:gridCol w:w="72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467485" cy="175260"/>
                      <wp:effectExtent l="0" t="0" r="0" b="0"/>
                      <wp:wrapNone/>
                      <wp:docPr id="427" name="Frame42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6525" cy="175260"/>
                      <wp:effectExtent l="0" t="0" r="0" b="0"/>
                      <wp:wrapNone/>
                      <wp:docPr id="429" name="Frame42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38150" cy="175260"/>
                      <wp:effectExtent l="0" t="0" r="0" b="0"/>
                      <wp:wrapNone/>
                      <wp:docPr id="430" name="Frame43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1455" cy="175260"/>
                      <wp:effectExtent l="0" t="0" r="0" b="0"/>
                      <wp:wrapNone/>
                      <wp:docPr id="431" name="Frame431"/>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6525" cy="175260"/>
                      <wp:effectExtent l="0" t="0" r="0" b="0"/>
                      <wp:wrapNone/>
                      <wp:docPr id="432" name="Frame43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38150" cy="175260"/>
                      <wp:effectExtent l="0" t="0" r="0" b="0"/>
                      <wp:wrapNone/>
                      <wp:docPr id="433" name="Frame43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645" cy="175260"/>
                      <wp:effectExtent l="0" t="0" r="0" b="0"/>
                      <wp:wrapNone/>
                      <wp:docPr id="435" name="Frame43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61975" cy="175260"/>
                      <wp:effectExtent l="0" t="0" r="0" b="0"/>
                      <wp:wrapNone/>
                      <wp:docPr id="436" name="Frame436"/>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43510" cy="175260"/>
                      <wp:effectExtent l="0" t="0" r="0" b="0"/>
                      <wp:wrapNone/>
                      <wp:docPr id="437" name="Frame4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59105" cy="175260"/>
                      <wp:effectExtent l="0" t="0" r="0" b="0"/>
                      <wp:wrapNone/>
                      <wp:docPr id="438" name="Frame438"/>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0660" cy="175260"/>
                      <wp:effectExtent l="0" t="0" r="0" b="0"/>
                      <wp:wrapNone/>
                      <wp:docPr id="439" name="Frame43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16,772</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6,421</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$6.4 million, or 62.0%, to $16.8 million for the three months ended September 30, 2023 compared to $10.4 million for the three months ended September 30, 2022. The increase in research and development expenses is due primarily to an increase in personnel costs related to development work associated with new solutions to address end-to-end data analysis and compliance needs of our customers, and continued expansion of connectors and application program interfaces (“APIs”) to customer ERP and other software platforms. As a percentage of total revenues, research and development expenses increased to 11.6% in the three months ended September 30, 2023 compared to 8.2% for the same period in 2022. Research and development expense excludes those costs that have been capitalized for solutions that have met our capitalization policy.</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Selling and Marketing </w:t>
      </w:r>
    </w:p>
    <w:tbl>
      <w:tblPr>
        <w:tblW w:w="7193" w:type="dxa"/>
        <w:jc w:val="left"/>
        <w:tblInd w:w="0" w:type="dxa"/>
        <w:tblLayout w:type="fixed"/>
        <w:tblCellMar>
          <w:top w:w="0" w:type="dxa"/>
          <w:left w:w="0" w:type="dxa"/>
          <w:bottom w:w="0" w:type="dxa"/>
          <w:right w:w="0" w:type="dxa"/>
        </w:tblCellMar>
      </w:tblPr>
      <w:tblGrid>
        <w:gridCol w:w="1921"/>
        <w:gridCol w:w="326"/>
        <w:gridCol w:w="215"/>
        <w:gridCol w:w="690"/>
        <w:gridCol w:w="333"/>
        <w:gridCol w:w="215"/>
        <w:gridCol w:w="690"/>
        <w:gridCol w:w="326"/>
        <w:gridCol w:w="327"/>
        <w:gridCol w:w="885"/>
        <w:gridCol w:w="226"/>
        <w:gridCol w:w="723"/>
        <w:gridCol w:w="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219835" cy="175260"/>
                      <wp:effectExtent l="0" t="0" r="0" b="0"/>
                      <wp:wrapNone/>
                      <wp:docPr id="440" name="Frame440"/>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6525" cy="175260"/>
                      <wp:effectExtent l="0" t="0" r="0" b="0"/>
                      <wp:wrapNone/>
                      <wp:docPr id="442" name="Frame44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38150" cy="175260"/>
                      <wp:effectExtent l="0" t="0" r="0" b="0"/>
                      <wp:wrapNone/>
                      <wp:docPr id="443" name="Frame44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1455" cy="175260"/>
                      <wp:effectExtent l="0" t="0" r="0" b="0"/>
                      <wp:wrapNone/>
                      <wp:docPr id="444" name="Frame444"/>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6525" cy="175260"/>
                      <wp:effectExtent l="0" t="0" r="0" b="0"/>
                      <wp:wrapNone/>
                      <wp:docPr id="445" name="Frame44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38150" cy="175260"/>
                      <wp:effectExtent l="0" t="0" r="0" b="0"/>
                      <wp:wrapNone/>
                      <wp:docPr id="446" name="Frame44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645" cy="175260"/>
                      <wp:effectExtent l="0" t="0" r="0" b="0"/>
                      <wp:wrapNone/>
                      <wp:docPr id="448" name="Frame448"/>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61975" cy="175260"/>
                      <wp:effectExtent l="0" t="0" r="0" b="0"/>
                      <wp:wrapNone/>
                      <wp:docPr id="449" name="Frame449"/>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43510" cy="175260"/>
                      <wp:effectExtent l="0" t="0" r="0" b="0"/>
                      <wp:wrapNone/>
                      <wp:docPr id="450" name="Frame4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59105" cy="175260"/>
                      <wp:effectExtent l="0" t="0" r="0" b="0"/>
                      <wp:wrapNone/>
                      <wp:docPr id="451" name="Frame451"/>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0660" cy="175260"/>
                      <wp:effectExtent l="0" t="0" r="0" b="0"/>
                      <wp:wrapNone/>
                      <wp:docPr id="452" name="Frame4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33,919</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30,252</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increased $3.7 million, or 12.1%, to $33.9 million for the three months ended September 30, 2023 compared to $30.3 million for the same period in 2022.  This increase was primarily driven by a $3.8 million increase in payroll and related expenses associated with the growth in period-over-period subscription sales and services revenues and expansion of our partner and channel management programs. This was partly offset by a decrease of $0.2 million in amortization of acquired intangible assets associated with prior acquisitions. As a percentage of total revenues, selling and marketing expenses decreased to 23.4% in the three months ended September 30, 2023 compared to 24.0% for the same period in 2022.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tbl>
      <w:tblPr>
        <w:tblW w:w="7583" w:type="dxa"/>
        <w:jc w:val="left"/>
        <w:tblInd w:w="0" w:type="dxa"/>
        <w:tblLayout w:type="fixed"/>
        <w:tblCellMar>
          <w:top w:w="0" w:type="dxa"/>
          <w:left w:w="0" w:type="dxa"/>
          <w:bottom w:w="0" w:type="dxa"/>
          <w:right w:w="0" w:type="dxa"/>
        </w:tblCellMar>
      </w:tblPr>
      <w:tblGrid>
        <w:gridCol w:w="2311"/>
        <w:gridCol w:w="326"/>
        <w:gridCol w:w="215"/>
        <w:gridCol w:w="690"/>
        <w:gridCol w:w="333"/>
        <w:gridCol w:w="215"/>
        <w:gridCol w:w="690"/>
        <w:gridCol w:w="326"/>
        <w:gridCol w:w="327"/>
        <w:gridCol w:w="885"/>
        <w:gridCol w:w="226"/>
        <w:gridCol w:w="72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467485" cy="175260"/>
                      <wp:effectExtent l="0" t="0" r="0" b="0"/>
                      <wp:wrapNone/>
                      <wp:docPr id="453" name="Frame45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6525" cy="175260"/>
                      <wp:effectExtent l="0" t="0" r="0" b="0"/>
                      <wp:wrapNone/>
                      <wp:docPr id="455" name="Frame45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38150" cy="175260"/>
                      <wp:effectExtent l="0" t="0" r="0" b="0"/>
                      <wp:wrapNone/>
                      <wp:docPr id="456" name="Frame45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1455" cy="175260"/>
                      <wp:effectExtent l="0" t="0" r="0" b="0"/>
                      <wp:wrapNone/>
                      <wp:docPr id="457" name="Frame457"/>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6525" cy="175260"/>
                      <wp:effectExtent l="0" t="0" r="0" b="0"/>
                      <wp:wrapNone/>
                      <wp:docPr id="458" name="Frame45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38150" cy="175260"/>
                      <wp:effectExtent l="0" t="0" r="0" b="0"/>
                      <wp:wrapNone/>
                      <wp:docPr id="459" name="Frame459"/>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645" cy="175260"/>
                      <wp:effectExtent l="0" t="0" r="0" b="0"/>
                      <wp:wrapNone/>
                      <wp:docPr id="461" name="Frame46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61975" cy="175260"/>
                      <wp:effectExtent l="0" t="0" r="0" b="0"/>
                      <wp:wrapNone/>
                      <wp:docPr id="462" name="Frame462"/>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43510" cy="175260"/>
                      <wp:effectExtent l="0" t="0" r="0" b="0"/>
                      <wp:wrapNone/>
                      <wp:docPr id="463" name="Frame4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59105" cy="175260"/>
                      <wp:effectExtent l="0" t="0" r="0" b="0"/>
                      <wp:wrapNone/>
                      <wp:docPr id="464" name="Frame464"/>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0660" cy="175260"/>
                      <wp:effectExtent l="0" t="0" r="0" b="0"/>
                      <wp:wrapNone/>
                      <wp:docPr id="465" name="Frame4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35,385</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31,679</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3,706</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$3.7 million, or 11.7%, to $35.4 million for the three months ended September 30, 2023 compared to $31.7 million for the same period in 2022. General and administrative expenses increased $2.8 million due to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Additionally, there was an increase of $0.9 million for the amortization of capitalized cloud computing implementation costs related to our ERP modernization initiative.  As a percentage of total revenues, general and administrative expenses decreased to 24.4% in the three months ended September 30, 2023 compared to 25.1% for the same period in 2022.</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 </w:t>
      </w:r>
      <w:r>
        <w:rPr>
          <w:rFonts w:ascii="Times New Roman;Times;serif" w:hAnsi="Times New Roman;Times;serif"/>
          <w:b/>
          <w:sz w:val="20"/>
        </w:rPr>
        <w:t>Depreciation and Amortization</w:t>
      </w:r>
    </w:p>
    <w:tbl>
      <w:tblPr>
        <w:tblW w:w="7824" w:type="dxa"/>
        <w:jc w:val="left"/>
        <w:tblInd w:w="0" w:type="dxa"/>
        <w:tblLayout w:type="fixed"/>
        <w:tblCellMar>
          <w:top w:w="0" w:type="dxa"/>
          <w:left w:w="0" w:type="dxa"/>
          <w:bottom w:w="0" w:type="dxa"/>
          <w:right w:w="0" w:type="dxa"/>
        </w:tblCellMar>
      </w:tblPr>
      <w:tblGrid>
        <w:gridCol w:w="2596"/>
        <w:gridCol w:w="326"/>
        <w:gridCol w:w="239"/>
        <w:gridCol w:w="648"/>
        <w:gridCol w:w="370"/>
        <w:gridCol w:w="239"/>
        <w:gridCol w:w="648"/>
        <w:gridCol w:w="326"/>
        <w:gridCol w:w="313"/>
        <w:gridCol w:w="625"/>
        <w:gridCol w:w="484"/>
        <w:gridCol w:w="694"/>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648460" cy="175260"/>
                      <wp:effectExtent l="0" t="0" r="0" b="0"/>
                      <wp:wrapNone/>
                      <wp:docPr id="466" name="Frame46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51765" cy="175260"/>
                      <wp:effectExtent l="0" t="0" r="0" b="0"/>
                      <wp:wrapNone/>
                      <wp:docPr id="468" name="Frame46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11480" cy="175260"/>
                      <wp:effectExtent l="0" t="0" r="0" b="0"/>
                      <wp:wrapNone/>
                      <wp:docPr id="469" name="Frame469"/>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34950" cy="175260"/>
                      <wp:effectExtent l="0" t="0" r="0" b="0"/>
                      <wp:wrapNone/>
                      <wp:docPr id="470" name="Frame470"/>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51765" cy="175260"/>
                      <wp:effectExtent l="0" t="0" r="0" b="0"/>
                      <wp:wrapNone/>
                      <wp:docPr id="471" name="Frame47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11480" cy="175260"/>
                      <wp:effectExtent l="0" t="0" r="0" b="0"/>
                      <wp:wrapNone/>
                      <wp:docPr id="472" name="Frame472"/>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98755" cy="175260"/>
                      <wp:effectExtent l="0" t="0" r="0" b="0"/>
                      <wp:wrapNone/>
                      <wp:docPr id="474" name="Frame474"/>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96875" cy="175260"/>
                      <wp:effectExtent l="0" t="0" r="0" b="0"/>
                      <wp:wrapNone/>
                      <wp:docPr id="475" name="Frame475"/>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07340" cy="175260"/>
                      <wp:effectExtent l="0" t="0" r="0" b="0"/>
                      <wp:wrapNone/>
                      <wp:docPr id="476" name="Frame476"/>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40690" cy="175260"/>
                      <wp:effectExtent l="0" t="0" r="0" b="0"/>
                      <wp:wrapNone/>
                      <wp:docPr id="477" name="Frame477"/>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0660" cy="175260"/>
                      <wp:effectExtent l="0" t="0" r="0" b="0"/>
                      <wp:wrapNone/>
                      <wp:docPr id="478" name="Frame4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center"/>
              <w:rPr/>
            </w:pPr>
            <w:r>
              <w:rPr/>
              <w:t>​</w:t>
            </w:r>
          </w:p>
        </w:tc>
        <w:tc>
          <w:tcPr>
            <w:tcW w:w="48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center"/>
              <w:rPr/>
            </w:pPr>
            <w:r>
              <w:rPr/>
              <w:t>​</w:t>
            </w:r>
          </w:p>
        </w:tc>
        <w:tc>
          <w:tcPr>
            <w:tcW w:w="48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0"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1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3,782</w:t>
            </w:r>
          </w:p>
        </w:tc>
        <w:tc>
          <w:tcPr>
            <w:tcW w:w="370"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w:t>
            </w:r>
          </w:p>
        </w:tc>
        <w:tc>
          <w:tcPr>
            <w:tcW w:w="484"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increased $0.8 million, or 28.8%, to $3.8 million for the three months ended September 30, 2023 compared to $2.9 million for the same period in 2022. The increase was primarily due to the impact of infrastructure and technology purchases and other capitalized costs to support our growth. As a percentage of total revenues, depreciation and amortization expenses increased to 2.6% in the three months ended September 30, 2023 compared to 2.3% for the same period in 2022.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Other Operating Expense, Net</w:t>
      </w:r>
    </w:p>
    <w:tbl>
      <w:tblPr>
        <w:tblW w:w="7765" w:type="dxa"/>
        <w:jc w:val="left"/>
        <w:tblInd w:w="0" w:type="dxa"/>
        <w:tblLayout w:type="fixed"/>
        <w:tblCellMar>
          <w:top w:w="0" w:type="dxa"/>
          <w:left w:w="0" w:type="dxa"/>
          <w:bottom w:w="0" w:type="dxa"/>
          <w:right w:w="0" w:type="dxa"/>
        </w:tblCellMar>
      </w:tblPr>
      <w:tblGrid>
        <w:gridCol w:w="2491"/>
        <w:gridCol w:w="326"/>
        <w:gridCol w:w="260"/>
        <w:gridCol w:w="519"/>
        <w:gridCol w:w="402"/>
        <w:gridCol w:w="260"/>
        <w:gridCol w:w="704"/>
        <w:gridCol w:w="326"/>
        <w:gridCol w:w="295"/>
        <w:gridCol w:w="673"/>
        <w:gridCol w:w="456"/>
        <w:gridCol w:w="737"/>
        <w:gridCol w:w="31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581785" cy="175260"/>
                      <wp:effectExtent l="0" t="0" r="0" b="0"/>
                      <wp:wrapNone/>
                      <wp:docPr id="479" name="Frame479"/>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65100" cy="175260"/>
                      <wp:effectExtent l="0" t="0" r="0" b="0"/>
                      <wp:wrapNone/>
                      <wp:docPr id="481" name="Frame48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29565" cy="175260"/>
                      <wp:effectExtent l="0" t="0" r="0" b="0"/>
                      <wp:wrapNone/>
                      <wp:docPr id="482" name="Frame482"/>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55270" cy="175260"/>
                      <wp:effectExtent l="0" t="0" r="0" b="0"/>
                      <wp:wrapNone/>
                      <wp:docPr id="483" name="Frame483"/>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65100" cy="175260"/>
                      <wp:effectExtent l="0" t="0" r="0" b="0"/>
                      <wp:wrapNone/>
                      <wp:docPr id="484" name="Frame48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47040" cy="175260"/>
                      <wp:effectExtent l="0" t="0" r="0" b="0"/>
                      <wp:wrapNone/>
                      <wp:docPr id="485" name="Frame485"/>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87325" cy="175260"/>
                      <wp:effectExtent l="0" t="0" r="0" b="0"/>
                      <wp:wrapNone/>
                      <wp:docPr id="487" name="Frame48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27355" cy="175260"/>
                      <wp:effectExtent l="0" t="0" r="0" b="0"/>
                      <wp:wrapNone/>
                      <wp:docPr id="488" name="Frame488"/>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89560" cy="175260"/>
                      <wp:effectExtent l="0" t="0" r="0" b="0"/>
                      <wp:wrapNone/>
                      <wp:docPr id="489" name="Frame489"/>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67995" cy="175260"/>
                      <wp:effectExtent l="0" t="0" r="0" b="0"/>
                      <wp:wrapNone/>
                      <wp:docPr id="490" name="Frame490"/>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0660" cy="175260"/>
                      <wp:effectExtent l="0" t="0" r="0" b="0"/>
                      <wp:wrapNone/>
                      <wp:docPr id="491" name="Frame4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45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45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2" w:type="dxa"/>
            <w:tcBorders/>
            <w:vAlign w:val="center"/>
          </w:tcPr>
          <w:p>
            <w:pPr>
              <w:pStyle w:val="TableContents"/>
              <w:bidi w:val="0"/>
              <w:spacing w:before="0" w:after="0"/>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 net</w:t>
            </w:r>
          </w:p>
        </w:tc>
        <w:tc>
          <w:tcPr>
            <w:tcW w:w="3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402"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w:t>
            </w:r>
          </w:p>
        </w:tc>
        <w:tc>
          <w:tcPr>
            <w:tcW w:w="456"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net decreased to expense of $0.3 million, net for the three months ended September 30, 2023 compared to $1.2 million of expense, net for the same period in 2022.  Other operating expense, net for the three months ended September 30, 2023 included a 0.9 million increase in the contingent consideration liability for the Tellutax, Inc. acquisition (“Tellutax”) partly offset by $0.6 million in foreign currency gains. Other operating expense, net for the three months ended September 30, 2022 was primarily comprised of a $1.3 million increase in the contingent consideration liability for the Tellutax, Inc. acquisition. As a percentage of total revenues, other operating expense, net decreased to 0.2% for the three months ended September 30, 2023 compared to 1.0% in 2022.</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Interest Expense, Net </w:t>
      </w:r>
    </w:p>
    <w:tbl>
      <w:tblPr>
        <w:tblW w:w="7043" w:type="dxa"/>
        <w:jc w:val="left"/>
        <w:tblInd w:w="0" w:type="dxa"/>
        <w:tblLayout w:type="fixed"/>
        <w:tblCellMar>
          <w:top w:w="0" w:type="dxa"/>
          <w:left w:w="0" w:type="dxa"/>
          <w:bottom w:w="0" w:type="dxa"/>
          <w:right w:w="0" w:type="dxa"/>
        </w:tblCellMar>
      </w:tblPr>
      <w:tblGrid>
        <w:gridCol w:w="1771"/>
        <w:gridCol w:w="326"/>
        <w:gridCol w:w="284"/>
        <w:gridCol w:w="568"/>
        <w:gridCol w:w="439"/>
        <w:gridCol w:w="284"/>
        <w:gridCol w:w="568"/>
        <w:gridCol w:w="326"/>
        <w:gridCol w:w="320"/>
        <w:gridCol w:w="638"/>
        <w:gridCol w:w="494"/>
        <w:gridCol w:w="709"/>
        <w:gridCol w:w="31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124585" cy="175260"/>
                      <wp:effectExtent l="0" t="0" r="0" b="0"/>
                      <wp:wrapNone/>
                      <wp:docPr id="492" name="Frame492"/>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80340" cy="175260"/>
                      <wp:effectExtent l="0" t="0" r="0" b="0"/>
                      <wp:wrapNone/>
                      <wp:docPr id="494" name="Frame494"/>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60680" cy="175260"/>
                      <wp:effectExtent l="0" t="0" r="0" b="0"/>
                      <wp:wrapNone/>
                      <wp:docPr id="495" name="Frame495"/>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78765" cy="175260"/>
                      <wp:effectExtent l="0" t="0" r="0" b="0"/>
                      <wp:wrapNone/>
                      <wp:docPr id="496" name="Frame496"/>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80340" cy="175260"/>
                      <wp:effectExtent l="0" t="0" r="0" b="0"/>
                      <wp:wrapNone/>
                      <wp:docPr id="497" name="Frame497"/>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60680" cy="175260"/>
                      <wp:effectExtent l="0" t="0" r="0" b="0"/>
                      <wp:wrapNone/>
                      <wp:docPr id="498" name="Frame498"/>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3200" cy="175260"/>
                      <wp:effectExtent l="0" t="0" r="0" b="0"/>
                      <wp:wrapNone/>
                      <wp:docPr id="500" name="Frame50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05130" cy="175260"/>
                      <wp:effectExtent l="0" t="0" r="0" b="0"/>
                      <wp:wrapNone/>
                      <wp:docPr id="501" name="Frame501"/>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313690" cy="175260"/>
                      <wp:effectExtent l="0" t="0" r="0" b="0"/>
                      <wp:wrapNone/>
                      <wp:docPr id="502" name="Frame502"/>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50215" cy="175260"/>
                      <wp:effectExtent l="0" t="0" r="0" b="0"/>
                      <wp:wrapNone/>
                      <wp:docPr id="503" name="Frame503"/>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0660" cy="175260"/>
                      <wp:effectExtent l="0" t="0" r="0" b="0"/>
                      <wp:wrapNone/>
                      <wp:docPr id="504" name="Frame50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pPr>
            <w:r>
              <w:rPr/>
              <w:t>​</w:t>
            </w:r>
          </w:p>
        </w:tc>
        <w:tc>
          <w:tcPr>
            <w:tcW w:w="494"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pPr>
            <w:r>
              <w:rPr/>
              <w:t>​</w:t>
            </w:r>
          </w:p>
        </w:tc>
        <w:tc>
          <w:tcPr>
            <w:tcW w:w="494"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9" w:type="dxa"/>
            <w:tcBorders/>
            <w:vAlign w:val="center"/>
          </w:tcPr>
          <w:p>
            <w:pPr>
              <w:pStyle w:val="TableContents"/>
              <w:bidi w:val="0"/>
              <w:spacing w:before="0" w:after="0"/>
              <w:ind w:left="0" w:right="0" w:hanging="0"/>
              <w:jc w:val="left"/>
              <w:rPr/>
            </w:pPr>
            <w:r>
              <w:rPr/>
              <w:t>    </w:t>
            </w:r>
          </w:p>
        </w:tc>
        <w:tc>
          <w:tcPr>
            <w:tcW w:w="8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439" w:type="dxa"/>
            <w:tcBorders/>
            <w:shd w:fill="CCEEFF" w:val="clear"/>
            <w:vAlign w:val="center"/>
          </w:tcPr>
          <w:p>
            <w:pPr>
              <w:pStyle w:val="TableContents"/>
              <w:bidi w:val="0"/>
              <w:spacing w:before="0" w:after="0"/>
              <w:ind w:left="0" w:right="0" w:hanging="0"/>
              <w:jc w:val="left"/>
              <w:rPr/>
            </w:pPr>
            <w:r>
              <w:rPr/>
              <w:t>    </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    </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494"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net increased to $0.6 million for the three months ended September 30, 2023, compared to $0.4 million for the same period in 2022. Interest expense related to bank debt increased $0.2 million during the three months ended September 30, 2023 associated with the amendment to the credit agreement entered into in March 2022 (“Second Amendment to the Credit Agreement”). The valuation of our foreign currency forward contracts decreased $0.3 million as a result of market fluctuations.  This was partially offset by  a $0.3 million increase in interest income due to the increase in interest rates and dollars invested associated with investment securities in 2023. </w:t>
      </w:r>
    </w:p>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Income Tax Expense (Benefit) </w:t>
      </w:r>
    </w:p>
    <w:tbl>
      <w:tblPr>
        <w:tblW w:w="7733" w:type="dxa"/>
        <w:jc w:val="left"/>
        <w:tblInd w:w="0" w:type="dxa"/>
        <w:tblLayout w:type="fixed"/>
        <w:tblCellMar>
          <w:top w:w="0" w:type="dxa"/>
          <w:left w:w="0" w:type="dxa"/>
          <w:bottom w:w="0" w:type="dxa"/>
          <w:right w:w="0" w:type="dxa"/>
        </w:tblCellMar>
      </w:tblPr>
      <w:tblGrid>
        <w:gridCol w:w="2461"/>
        <w:gridCol w:w="326"/>
        <w:gridCol w:w="282"/>
        <w:gridCol w:w="562"/>
        <w:gridCol w:w="435"/>
        <w:gridCol w:w="282"/>
        <w:gridCol w:w="582"/>
        <w:gridCol w:w="326"/>
        <w:gridCol w:w="286"/>
        <w:gridCol w:w="572"/>
        <w:gridCol w:w="443"/>
        <w:gridCol w:w="860"/>
        <w:gridCol w:w="31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562735" cy="175260"/>
                      <wp:effectExtent l="0" t="0" r="0" b="0"/>
                      <wp:wrapNone/>
                      <wp:docPr id="505" name="Frame505"/>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6"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79070" cy="175260"/>
                      <wp:effectExtent l="0" t="0" r="0" b="0"/>
                      <wp:wrapNone/>
                      <wp:docPr id="507" name="Frame50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356870" cy="175260"/>
                      <wp:effectExtent l="0" t="0" r="0" b="0"/>
                      <wp:wrapNone/>
                      <wp:docPr id="508" name="Frame508"/>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76225" cy="175260"/>
                      <wp:effectExtent l="0" t="0" r="0" b="0"/>
                      <wp:wrapNone/>
                      <wp:docPr id="509" name="Frame509"/>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79070" cy="175260"/>
                      <wp:effectExtent l="0" t="0" r="0" b="0"/>
                      <wp:wrapNone/>
                      <wp:docPr id="510" name="Frame51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369570" cy="175260"/>
                      <wp:effectExtent l="0" t="0" r="0" b="0"/>
                      <wp:wrapNone/>
                      <wp:docPr id="511" name="Frame511"/>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81610" cy="175260"/>
                      <wp:effectExtent l="0" t="0" r="0" b="0"/>
                      <wp:wrapNone/>
                      <wp:docPr id="513" name="Frame51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363220" cy="175260"/>
                      <wp:effectExtent l="0" t="0" r="0" b="0"/>
                      <wp:wrapNone/>
                      <wp:docPr id="514" name="Frame514"/>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81305" cy="175260"/>
                      <wp:effectExtent l="0" t="0" r="0" b="0"/>
                      <wp:wrapNone/>
                      <wp:docPr id="515" name="Frame515"/>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46100" cy="175260"/>
                      <wp:effectExtent l="0" t="0" r="0" b="0"/>
                      <wp:wrapNone/>
                      <wp:docPr id="516" name="Frame516"/>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0660" cy="175260"/>
                      <wp:effectExtent l="0" t="0" r="0" b="0"/>
                      <wp:wrapNone/>
                      <wp:docPr id="517" name="Frame51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443"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443"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5" w:type="dxa"/>
            <w:tcBorders/>
            <w:vAlign w:val="center"/>
          </w:tcPr>
          <w:p>
            <w:pPr>
              <w:pStyle w:val="TableContents"/>
              <w:bidi w:val="0"/>
              <w:spacing w:before="0" w:after="0"/>
              <w:ind w:left="0" w:right="0" w:hanging="0"/>
              <w:jc w:val="left"/>
              <w:rPr/>
            </w:pPr>
            <w:r>
              <w:rPr/>
              <w:t>    </w:t>
            </w:r>
          </w:p>
        </w:tc>
        <w:tc>
          <w:tcPr>
            <w:tcW w:w="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435"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443"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increased to $0.8 million for the three months ended September 30, 2023 compared to an income tax (benefit) of ($0.1) million for the same period in 2022. The increase in tax expense was primarily driven by changes in state income taxes, differences in tax rates on foreign jurisdiction income or loss, limitations on deductions of certain employees’ compensation under Internal Revenue Code Section 162(m), and tax benefits on exercise and vestings of stock awards, and valuation allowances on net deferred tax assets established for certain foreign jurisdictions.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Nine Months Ended September 30, 2023 Compared to Nine Months Ended September 30, 2022 </w:t>
      </w:r>
    </w:p>
    <w:p>
      <w:pPr>
        <w:pStyle w:val="TextBody"/>
        <w:bidi w:val="0"/>
        <w:spacing w:before="0" w:after="0"/>
        <w:ind w:left="0" w:right="0" w:hanging="0"/>
        <w:jc w:val="center"/>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Revenues</w:t>
      </w:r>
    </w:p>
    <w:tbl>
      <w:tblPr>
        <w:tblW w:w="7148" w:type="dxa"/>
        <w:jc w:val="left"/>
        <w:tblInd w:w="0" w:type="dxa"/>
        <w:tblLayout w:type="fixed"/>
        <w:tblCellMar>
          <w:top w:w="0" w:type="dxa"/>
          <w:left w:w="0" w:type="dxa"/>
          <w:bottom w:w="0" w:type="dxa"/>
          <w:right w:w="0" w:type="dxa"/>
        </w:tblCellMar>
      </w:tblPr>
      <w:tblGrid>
        <w:gridCol w:w="1951"/>
        <w:gridCol w:w="326"/>
        <w:gridCol w:w="211"/>
        <w:gridCol w:w="781"/>
        <w:gridCol w:w="326"/>
        <w:gridCol w:w="211"/>
        <w:gridCol w:w="781"/>
        <w:gridCol w:w="326"/>
        <w:gridCol w:w="241"/>
        <w:gridCol w:w="773"/>
        <w:gridCol w:w="372"/>
        <w:gridCol w:w="533"/>
        <w:gridCol w:w="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238885" cy="175260"/>
                      <wp:effectExtent l="0" t="0" r="0" b="0"/>
                      <wp:wrapNone/>
                      <wp:docPr id="518" name="Frame518"/>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33985" cy="175260"/>
                      <wp:effectExtent l="0" t="0" r="0" b="0"/>
                      <wp:wrapNone/>
                      <wp:docPr id="520" name="Frame5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95935" cy="175260"/>
                      <wp:effectExtent l="0" t="0" r="0" b="0"/>
                      <wp:wrapNone/>
                      <wp:docPr id="521" name="Frame5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23"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95935" cy="175260"/>
                      <wp:effectExtent l="0" t="0" r="0" b="0"/>
                      <wp:wrapNone/>
                      <wp:docPr id="524" name="Frame5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5"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53035" cy="175260"/>
                      <wp:effectExtent l="0" t="0" r="0" b="0"/>
                      <wp:wrapNone/>
                      <wp:docPr id="526" name="Frame52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90855" cy="175260"/>
                      <wp:effectExtent l="0" t="0" r="0" b="0"/>
                      <wp:wrapNone/>
                      <wp:docPr id="527" name="Frame527"/>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36220" cy="175260"/>
                      <wp:effectExtent l="0" t="0" r="0" b="0"/>
                      <wp:wrapNone/>
                      <wp:docPr id="528" name="Frame52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338455" cy="175260"/>
                      <wp:effectExtent l="0" t="0" r="0" b="0"/>
                      <wp:wrapNone/>
                      <wp:docPr id="529" name="Frame529"/>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0660" cy="175260"/>
                      <wp:effectExtent l="0" t="0" r="0" b="0"/>
                      <wp:wrapNone/>
                      <wp:docPr id="530" name="Frame53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304,587</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45,548</w:t>
            </w:r>
          </w:p>
        </w:tc>
        <w:tc>
          <w:tcPr>
            <w:tcW w:w="372"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55,911</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11,427</w:t>
            </w:r>
          </w:p>
        </w:tc>
        <w:tc>
          <w:tcPr>
            <w:tcW w:w="372" w:type="dxa"/>
            <w:tcBorders/>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360,498</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56,975</w:t>
            </w:r>
          </w:p>
        </w:tc>
        <w:tc>
          <w:tcPr>
            <w:tcW w:w="372" w:type="dxa"/>
            <w:tcBorders/>
            <w:shd w:fill="CCEEFF" w:val="clear"/>
            <w:vAlign w:val="center"/>
          </w:tcPr>
          <w:p>
            <w:pPr>
              <w:pStyle w:val="TableContents"/>
              <w:bidi w:val="0"/>
              <w:spacing w:before="0" w:after="0"/>
              <w:ind w:left="0" w:right="0" w:hanging="0"/>
              <w:jc w:val="left"/>
              <w:rPr/>
            </w:pPr>
            <w:r>
              <w:rPr/>
              <w:t> </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Revenues increased $57.0 million, or 15.8%, to $417.5 million for the nine months ended September 30, 2023 compared to $360.5 million for the nine months ended September 30, 2022. The increase in software subscriptions revenues of $45.5 million, or 15.0%, was primarily driven by increases from our existing customers in cross selling new products to existing customers, and to a lesser extent, increases due to expanded use and price increases. Software subscriptions revenues derived from new customers averaged 6.5% and 8.0% of total software subscriptions revenues in 2023 and 2022, respectively.</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$11.4 million increase in services revenues was primarily driven by an increase of $7.9 million in software subscription-related services associated with the growth in subscription revenues, which includes new customers implementing our solutions, existing customers upgrading to newer versions of our solutions, and our premium support services. In addition, our managed services offering experienced a $3.6 million increase in recurring services revenues over the prior year due to returns processing volume increases related to customer business growth and regulatory changes resulting in customers expanding their tax filings into more jurisdictions.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Cost of Software Subscriptions Revenues</w:t>
      </w:r>
    </w:p>
    <w:tbl>
      <w:tblPr>
        <w:tblW w:w="8513" w:type="dxa"/>
        <w:jc w:val="left"/>
        <w:tblInd w:w="0" w:type="dxa"/>
        <w:tblLayout w:type="fixed"/>
        <w:tblCellMar>
          <w:top w:w="0" w:type="dxa"/>
          <w:left w:w="0" w:type="dxa"/>
          <w:bottom w:w="0" w:type="dxa"/>
          <w:right w:w="0" w:type="dxa"/>
        </w:tblCellMar>
      </w:tblPr>
      <w:tblGrid>
        <w:gridCol w:w="3316"/>
        <w:gridCol w:w="326"/>
        <w:gridCol w:w="211"/>
        <w:gridCol w:w="781"/>
        <w:gridCol w:w="326"/>
        <w:gridCol w:w="211"/>
        <w:gridCol w:w="781"/>
        <w:gridCol w:w="326"/>
        <w:gridCol w:w="241"/>
        <w:gridCol w:w="773"/>
        <w:gridCol w:w="372"/>
        <w:gridCol w:w="533"/>
        <w:gridCol w:w="31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05660" cy="175260"/>
                      <wp:effectExtent l="0" t="0" r="0" b="0"/>
                      <wp:wrapNone/>
                      <wp:docPr id="531" name="Frame531"/>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33985" cy="175260"/>
                      <wp:effectExtent l="0" t="0" r="0" b="0"/>
                      <wp:wrapNone/>
                      <wp:docPr id="533" name="Frame5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95935" cy="175260"/>
                      <wp:effectExtent l="0" t="0" r="0" b="0"/>
                      <wp:wrapNone/>
                      <wp:docPr id="534" name="Frame5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3985" cy="175260"/>
                      <wp:effectExtent l="0" t="0" r="0" b="0"/>
                      <wp:wrapNone/>
                      <wp:docPr id="536" name="Frame5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95935" cy="175260"/>
                      <wp:effectExtent l="0" t="0" r="0" b="0"/>
                      <wp:wrapNone/>
                      <wp:docPr id="537" name="Frame5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53035" cy="175260"/>
                      <wp:effectExtent l="0" t="0" r="0" b="0"/>
                      <wp:wrapNone/>
                      <wp:docPr id="539" name="Frame53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90855" cy="175260"/>
                      <wp:effectExtent l="0" t="0" r="0" b="0"/>
                      <wp:wrapNone/>
                      <wp:docPr id="540" name="Frame540"/>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36220" cy="175260"/>
                      <wp:effectExtent l="0" t="0" r="0" b="0"/>
                      <wp:wrapNone/>
                      <wp:docPr id="541" name="Frame541"/>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338455" cy="175260"/>
                      <wp:effectExtent l="0" t="0" r="0" b="0"/>
                      <wp:wrapNone/>
                      <wp:docPr id="542" name="Frame542"/>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0660" cy="175260"/>
                      <wp:effectExtent l="0" t="0" r="0" b="0"/>
                      <wp:wrapNone/>
                      <wp:docPr id="543" name="Frame5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software subscriptions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116,974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105,760</w:t>
            </w:r>
          </w:p>
        </w:tc>
        <w:tc>
          <w:tcPr>
            <w:tcW w:w="32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11,214</w:t>
            </w:r>
          </w:p>
        </w:tc>
        <w:tc>
          <w:tcPr>
            <w:tcW w:w="372"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revenues increased $11.2 million, or 10.6%, to $117.0 million for the nine months ended September 30, 2023 compared to $105.8 million for the nine months ended September 30, 2022. This was driven by a $4.7 million increase in costs of personnel supporting period-over-period growth of sales and customers and ongoing infrastructure investments and support costs to enable the continued expansion of customer transaction volumes for our cloud-based subscription customers. In addition, this included an increase in depreciation and amortization of capitalized software and acquired intangible assets of $5.9 million associated with our ongoing investments in internal-use software for cloud-based subscription solutions, software developed for sale for new products and enhancements to existing products, and costs associated with the amortization of acquired intangible assets. Lastly, stock-based compensation increased by $0.6 million for the nine months ended September 30, 2023 over the same period in 2022. As a percentage of software subscriptions revenues, the cost of software subscriptions revenues decreased to 33.4% in the nine months ended September 30, 2023 compared to 34.7% for the same period in 2022. After excluding stock-based compensation expense, as a percentage of software subscriptions revenue, cost of software subscriptions revenues decreased to 32.8% for the nine months ended September 30, 2023 compared to 34.2% for the same period in 2022.</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Cost of Services Revenues</w:t>
      </w:r>
    </w:p>
    <w:tbl>
      <w:tblPr>
        <w:tblW w:w="7147" w:type="dxa"/>
        <w:jc w:val="left"/>
        <w:tblInd w:w="0" w:type="dxa"/>
        <w:tblLayout w:type="fixed"/>
        <w:tblCellMar>
          <w:top w:w="0" w:type="dxa"/>
          <w:left w:w="0" w:type="dxa"/>
          <w:bottom w:w="0" w:type="dxa"/>
          <w:right w:w="0" w:type="dxa"/>
        </w:tblCellMar>
      </w:tblPr>
      <w:tblGrid>
        <w:gridCol w:w="2161"/>
        <w:gridCol w:w="326"/>
        <w:gridCol w:w="211"/>
        <w:gridCol w:w="676"/>
        <w:gridCol w:w="326"/>
        <w:gridCol w:w="211"/>
        <w:gridCol w:w="676"/>
        <w:gridCol w:w="326"/>
        <w:gridCol w:w="257"/>
        <w:gridCol w:w="696"/>
        <w:gridCol w:w="397"/>
        <w:gridCol w:w="568"/>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72235" cy="175260"/>
                      <wp:effectExtent l="0" t="0" r="0" b="0"/>
                      <wp:wrapNone/>
                      <wp:docPr id="544" name="Frame54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5" name="Frame5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33985" cy="175260"/>
                      <wp:effectExtent l="0" t="0" r="0" b="0"/>
                      <wp:wrapNone/>
                      <wp:docPr id="546" name="Frame5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429260" cy="175260"/>
                      <wp:effectExtent l="0" t="0" r="0" b="0"/>
                      <wp:wrapNone/>
                      <wp:docPr id="547" name="Frame5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8" name="Frame5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9" name="Frame5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29260" cy="175260"/>
                      <wp:effectExtent l="0" t="0" r="0" b="0"/>
                      <wp:wrapNone/>
                      <wp:docPr id="550" name="Frame5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63195" cy="175260"/>
                      <wp:effectExtent l="0" t="0" r="0" b="0"/>
                      <wp:wrapNone/>
                      <wp:docPr id="552" name="Frame55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41960" cy="175260"/>
                      <wp:effectExtent l="0" t="0" r="0" b="0"/>
                      <wp:wrapNone/>
                      <wp:docPr id="553" name="Frame553"/>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52095" cy="175260"/>
                      <wp:effectExtent l="0" t="0" r="0" b="0"/>
                      <wp:wrapNone/>
                      <wp:docPr id="554" name="Frame554"/>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360680" cy="175260"/>
                      <wp:effectExtent l="0" t="0" r="0" b="0"/>
                      <wp:wrapNone/>
                      <wp:docPr id="555" name="Frame555"/>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00660" cy="175260"/>
                      <wp:effectExtent l="0" t="0" r="0" b="0"/>
                      <wp:wrapNone/>
                      <wp:docPr id="556" name="Frame55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center"/>
              <w:rPr/>
            </w:pPr>
            <w:r>
              <w:rPr/>
              <w:t>​</w:t>
            </w:r>
          </w:p>
        </w:tc>
        <w:tc>
          <w:tcPr>
            <w:tcW w:w="397"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center"/>
              <w:rPr/>
            </w:pPr>
            <w:r>
              <w:rPr/>
              <w:t>​</w:t>
            </w:r>
          </w:p>
        </w:tc>
        <w:tc>
          <w:tcPr>
            <w:tcW w:w="397"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9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37,893</w:t>
            </w:r>
          </w:p>
        </w:tc>
        <w:tc>
          <w:tcPr>
            <w:tcW w:w="326"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7,630</w:t>
            </w:r>
          </w:p>
        </w:tc>
        <w:tc>
          <w:tcPr>
            <w:tcW w:w="397" w:type="dxa"/>
            <w:tcBorders/>
            <w:shd w:fill="CCEEFF" w:val="clear"/>
            <w:vAlign w:val="center"/>
          </w:tcPr>
          <w:p>
            <w:pPr>
              <w:pStyle w:val="TableContents"/>
              <w:bidi w:val="0"/>
              <w:spacing w:before="0" w:after="0"/>
              <w:ind w:left="0" w:right="0" w:hanging="0"/>
              <w:jc w:val="left"/>
              <w:rPr/>
            </w:pPr>
            <w:r>
              <w:rPr/>
              <w:t>    </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services revenues increased $7.6 million, or 20.1%, to $45.5 million for the nine months ended September 30, 2023 compared to $37.9 million for the nine months ended September 30, 2022. The increase in cost of services revenues was primarily due to a $7.2 million increase in costs of service delivery personnel to support revenue growth in software subscription-related services and our managed services offering. In addition, this includes an increase in stock-based compensation of $0.4 million for the nine months ended September 30, 2023 over the same period in 2022. As a percentage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services revenues, cost of services revenues increased to 67.6% in the nine months ended September 30, 2023 compared to 67.8% for the same period in 2022. After excluding stock-based compensation expense, as a percentage of services revenues, cost of services revenues decreased to 65.4% in the nine months ended September 30, 2023 compared to 65.9% for the same period in 2022.</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Research and Development</w:t>
      </w:r>
    </w:p>
    <w:tbl>
      <w:tblPr>
        <w:tblW w:w="7299" w:type="dxa"/>
        <w:jc w:val="left"/>
        <w:tblInd w:w="0" w:type="dxa"/>
        <w:tblLayout w:type="fixed"/>
        <w:tblCellMar>
          <w:top w:w="0" w:type="dxa"/>
          <w:left w:w="0" w:type="dxa"/>
          <w:bottom w:w="0" w:type="dxa"/>
          <w:right w:w="0" w:type="dxa"/>
        </w:tblCellMar>
      </w:tblPr>
      <w:tblGrid>
        <w:gridCol w:w="2311"/>
        <w:gridCol w:w="326"/>
        <w:gridCol w:w="211"/>
        <w:gridCol w:w="676"/>
        <w:gridCol w:w="326"/>
        <w:gridCol w:w="211"/>
        <w:gridCol w:w="676"/>
        <w:gridCol w:w="326"/>
        <w:gridCol w:w="270"/>
        <w:gridCol w:w="866"/>
        <w:gridCol w:w="187"/>
        <w:gridCol w:w="597"/>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467485" cy="175260"/>
                      <wp:effectExtent l="0" t="0" r="0" b="0"/>
                      <wp:wrapNone/>
                      <wp:docPr id="557" name="Frame55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9" name="Frame5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29260" cy="175260"/>
                      <wp:effectExtent l="0" t="0" r="0" b="0"/>
                      <wp:wrapNone/>
                      <wp:docPr id="560" name="Frame5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62"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29260" cy="175260"/>
                      <wp:effectExtent l="0" t="0" r="0" b="0"/>
                      <wp:wrapNone/>
                      <wp:docPr id="563" name="Frame5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71450" cy="175260"/>
                      <wp:effectExtent l="0" t="0" r="0" b="0"/>
                      <wp:wrapNone/>
                      <wp:docPr id="565" name="Frame56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549910" cy="175260"/>
                      <wp:effectExtent l="0" t="0" r="0" b="0"/>
                      <wp:wrapNone/>
                      <wp:docPr id="566" name="Frame566"/>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18745" cy="175260"/>
                      <wp:effectExtent l="0" t="0" r="0" b="0"/>
                      <wp:wrapNone/>
                      <wp:docPr id="567" name="Frame567"/>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379095" cy="175260"/>
                      <wp:effectExtent l="0" t="0" r="0" b="0"/>
                      <wp:wrapNone/>
                      <wp:docPr id="568" name="Frame568"/>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0660" cy="175260"/>
                      <wp:effectExtent l="0" t="0" r="0" b="0"/>
                      <wp:wrapNone/>
                      <wp:docPr id="569" name="Frame5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center"/>
              <w:rPr/>
            </w:pPr>
            <w:r>
              <w:rPr/>
              <w:t>​</w:t>
            </w:r>
          </w:p>
        </w:tc>
        <w:tc>
          <w:tcPr>
            <w:tcW w:w="187"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center"/>
              <w:rPr/>
            </w:pPr>
            <w:r>
              <w:rPr/>
              <w:t>​</w:t>
            </w:r>
          </w:p>
        </w:tc>
        <w:tc>
          <w:tcPr>
            <w:tcW w:w="187"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92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45,314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30,294</w:t>
            </w:r>
          </w:p>
        </w:tc>
        <w:tc>
          <w:tcPr>
            <w:tcW w:w="32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15,020</w:t>
            </w:r>
          </w:p>
        </w:tc>
        <w:tc>
          <w:tcPr>
            <w:tcW w:w="187" w:type="dxa"/>
            <w:tcBorders/>
            <w:shd w:fill="CCEEFF" w:val="clear"/>
            <w:vAlign w:val="center"/>
          </w:tcPr>
          <w:p>
            <w:pPr>
              <w:pStyle w:val="TableContents"/>
              <w:bidi w:val="0"/>
              <w:spacing w:before="0" w:after="0"/>
              <w:ind w:left="0" w:right="0" w:hanging="0"/>
              <w:jc w:val="left"/>
              <w:rPr/>
            </w:pPr>
            <w:r>
              <w:rPr/>
              <w:t> </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$15.0 million, or 49.6%, to $45.3 million for the nine months ended September 30, 2023 compared to $30.3 million for the nine months ended September 30, 2022. The increase in research and development expenses is due to a $11.8 million increase in personnel costs related to development work associated with new solutions to address end-to-end data analysis and compliance needs of our customers and continued expansion of connectors and APIs to customer ERP and other software platforms. In addition, this includes an increase in stock-based compensation of $3.2 million for the nine months ended September 30, 2023 over the same period in 2022.  As a percentage of total revenues, research and development expenses increased to 10.9% in the nine months ended September 30, 2023 compared to 8.4% for the same period in 2022. After excluding stock-based compensation expense, as a percentage of total revenues, research and development expenses increased to 9.8% in the nine months ended September 30, 2023 compared to 8.1% for the same period in 2022.  Research and development expense excludes those costs that have been capitalized for solutions that have met our capitalization policy.</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Selling and Marketing</w:t>
      </w:r>
    </w:p>
    <w:tbl>
      <w:tblPr>
        <w:tblW w:w="7013" w:type="dxa"/>
        <w:jc w:val="left"/>
        <w:tblInd w:w="0" w:type="dxa"/>
        <w:tblLayout w:type="fixed"/>
        <w:tblCellMar>
          <w:top w:w="0" w:type="dxa"/>
          <w:left w:w="0" w:type="dxa"/>
          <w:bottom w:w="0" w:type="dxa"/>
          <w:right w:w="0" w:type="dxa"/>
        </w:tblCellMar>
      </w:tblPr>
      <w:tblGrid>
        <w:gridCol w:w="1921"/>
        <w:gridCol w:w="326"/>
        <w:gridCol w:w="211"/>
        <w:gridCol w:w="781"/>
        <w:gridCol w:w="326"/>
        <w:gridCol w:w="211"/>
        <w:gridCol w:w="676"/>
        <w:gridCol w:w="326"/>
        <w:gridCol w:w="241"/>
        <w:gridCol w:w="773"/>
        <w:gridCol w:w="372"/>
        <w:gridCol w:w="533"/>
        <w:gridCol w:w="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219835" cy="175260"/>
                      <wp:effectExtent l="0" t="0" r="0" b="0"/>
                      <wp:wrapNone/>
                      <wp:docPr id="570" name="Frame570"/>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71" name="Frame5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33985" cy="175260"/>
                      <wp:effectExtent l="0" t="0" r="0" b="0"/>
                      <wp:wrapNone/>
                      <wp:docPr id="572" name="Frame5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495935" cy="175260"/>
                      <wp:effectExtent l="0" t="0" r="0" b="0"/>
                      <wp:wrapNone/>
                      <wp:docPr id="573" name="Frame5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7010" cy="175260"/>
                      <wp:effectExtent l="0" t="0" r="0" b="0"/>
                      <wp:wrapNone/>
                      <wp:docPr id="574"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33985" cy="175260"/>
                      <wp:effectExtent l="0" t="0" r="0" b="0"/>
                      <wp:wrapNone/>
                      <wp:docPr id="575" name="Frame5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429260" cy="175260"/>
                      <wp:effectExtent l="0" t="0" r="0" b="0"/>
                      <wp:wrapNone/>
                      <wp:docPr id="576" name="Frame5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7"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53035" cy="175260"/>
                      <wp:effectExtent l="0" t="0" r="0" b="0"/>
                      <wp:wrapNone/>
                      <wp:docPr id="578" name="Frame57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90855" cy="175260"/>
                      <wp:effectExtent l="0" t="0" r="0" b="0"/>
                      <wp:wrapNone/>
                      <wp:docPr id="579" name="Frame579"/>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36220" cy="175260"/>
                      <wp:effectExtent l="0" t="0" r="0" b="0"/>
                      <wp:wrapNone/>
                      <wp:docPr id="580" name="Frame580"/>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338455" cy="175260"/>
                      <wp:effectExtent l="0" t="0" r="0" b="0"/>
                      <wp:wrapNone/>
                      <wp:docPr id="581" name="Frame581"/>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0660" cy="175260"/>
                      <wp:effectExtent l="0" t="0" r="0" b="0"/>
                      <wp:wrapNone/>
                      <wp:docPr id="582" name="Frame58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 </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103,196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89,683</w:t>
            </w:r>
          </w:p>
        </w:tc>
        <w:tc>
          <w:tcPr>
            <w:tcW w:w="32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13,513</w:t>
            </w:r>
          </w:p>
        </w:tc>
        <w:tc>
          <w:tcPr>
            <w:tcW w:w="372"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increased $13.5 million, or 15.1%, to $103.2 million for the nine months ended September 30, 2023 compared to $89.7 million for the same period in 2022. This increase was primarily driven by a $12.8 million increase in payroll and related expenses associated with the growth in period-over-period subscription sales and services revenues and expansion of our partner and channel management programs. In addition, there was an increase in stock-based compensation of $1.7 million. This was partly offset by a decrease of $1.0 million associated with amortization of acquired intangible assets associated with prior acquisitions for the nine months ended September 30, 2023 compared to the same period in 2022.  As a percentage of total revenues, selling and marketing expense decreased to 24.7% in the nine months ended September 30, 2023 compared 24.9% for the same period in 2022. After excluding stock-based compensation expense, as a percentage of total revenues, selling and marketing expenses decreased to 23.2% in the nine months ended September 30, 2023 compared to 23.6% for the same period in 2022.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tbl>
      <w:tblPr>
        <w:tblW w:w="7403" w:type="dxa"/>
        <w:jc w:val="left"/>
        <w:tblInd w:w="0" w:type="dxa"/>
        <w:tblLayout w:type="fixed"/>
        <w:tblCellMar>
          <w:top w:w="0" w:type="dxa"/>
          <w:left w:w="0" w:type="dxa"/>
          <w:bottom w:w="0" w:type="dxa"/>
          <w:right w:w="0" w:type="dxa"/>
        </w:tblCellMar>
      </w:tblPr>
      <w:tblGrid>
        <w:gridCol w:w="2311"/>
        <w:gridCol w:w="326"/>
        <w:gridCol w:w="211"/>
        <w:gridCol w:w="781"/>
        <w:gridCol w:w="326"/>
        <w:gridCol w:w="211"/>
        <w:gridCol w:w="676"/>
        <w:gridCol w:w="326"/>
        <w:gridCol w:w="241"/>
        <w:gridCol w:w="773"/>
        <w:gridCol w:w="372"/>
        <w:gridCol w:w="53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467485" cy="175260"/>
                      <wp:effectExtent l="0" t="0" r="0" b="0"/>
                      <wp:wrapNone/>
                      <wp:docPr id="583" name="Frame58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7010" cy="175260"/>
                      <wp:effectExtent l="0" t="0" r="0" b="0"/>
                      <wp:wrapNone/>
                      <wp:docPr id="584" name="Frame5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33985" cy="175260"/>
                      <wp:effectExtent l="0" t="0" r="0" b="0"/>
                      <wp:wrapNone/>
                      <wp:docPr id="585" name="Frame5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495935" cy="175260"/>
                      <wp:effectExtent l="0" t="0" r="0" b="0"/>
                      <wp:wrapNone/>
                      <wp:docPr id="586" name="Frame5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87" name="Frame5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3985" cy="175260"/>
                      <wp:effectExtent l="0" t="0" r="0" b="0"/>
                      <wp:wrapNone/>
                      <wp:docPr id="588"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29260" cy="175260"/>
                      <wp:effectExtent l="0" t="0" r="0" b="0"/>
                      <wp:wrapNone/>
                      <wp:docPr id="589" name="Frame5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7010" cy="175260"/>
                      <wp:effectExtent l="0" t="0" r="0" b="0"/>
                      <wp:wrapNone/>
                      <wp:docPr id="590" name="Frame5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53035" cy="175260"/>
                      <wp:effectExtent l="0" t="0" r="0" b="0"/>
                      <wp:wrapNone/>
                      <wp:docPr id="591" name="Frame59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90855" cy="175260"/>
                      <wp:effectExtent l="0" t="0" r="0" b="0"/>
                      <wp:wrapNone/>
                      <wp:docPr id="592" name="Frame592"/>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36220" cy="175260"/>
                      <wp:effectExtent l="0" t="0" r="0" b="0"/>
                      <wp:wrapNone/>
                      <wp:docPr id="593" name="Frame593"/>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338455" cy="175260"/>
                      <wp:effectExtent l="0" t="0" r="0" b="0"/>
                      <wp:wrapNone/>
                      <wp:docPr id="594" name="Frame594"/>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0660" cy="175260"/>
                      <wp:effectExtent l="0" t="0" r="0" b="0"/>
                      <wp:wrapNone/>
                      <wp:docPr id="595" name="Frame59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109,071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90,520</w:t>
            </w:r>
          </w:p>
        </w:tc>
        <w:tc>
          <w:tcPr>
            <w:tcW w:w="32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18,551</w:t>
            </w:r>
          </w:p>
        </w:tc>
        <w:tc>
          <w:tcPr>
            <w:tcW w:w="372"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$18.6 million, or 20.5%, to $109.1 million for the nine months ended September 30, 2023 compared to $90.5 million for the same period in 2022. General and administrative expenses increased $11.1 million primarily driven by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Additionally, there was an increase of $1.6 million for the amortization of capitalized cloud computing implementation costs related to our ERP modernization initiative.  Lastly, there was an increase in stock-based compensation of $5.9 million for the nine months ended September 30, 2023 over the same period in 2022. As a percentage of total revenues, general and administrative expenses increased to 26.1% in the nine months ended September 30, 2023 compared to 25.1% for the same period in 2022. After excluding stock-based compensation expense, as a percentage of total revenues, general and administrative expenses were 23.3% for the nine months ended September 30, 2023 compared to 23.4% for the same period in 2022.</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tbl>
      <w:tblPr>
        <w:tblW w:w="7551" w:type="dxa"/>
        <w:jc w:val="left"/>
        <w:tblInd w:w="0" w:type="dxa"/>
        <w:tblLayout w:type="fixed"/>
        <w:tblCellMar>
          <w:top w:w="0" w:type="dxa"/>
          <w:left w:w="0" w:type="dxa"/>
          <w:bottom w:w="0" w:type="dxa"/>
          <w:right w:w="0" w:type="dxa"/>
        </w:tblCellMar>
      </w:tblPr>
      <w:tblGrid>
        <w:gridCol w:w="2596"/>
        <w:gridCol w:w="326"/>
        <w:gridCol w:w="219"/>
        <w:gridCol w:w="701"/>
        <w:gridCol w:w="338"/>
        <w:gridCol w:w="219"/>
        <w:gridCol w:w="592"/>
        <w:gridCol w:w="326"/>
        <w:gridCol w:w="257"/>
        <w:gridCol w:w="696"/>
        <w:gridCol w:w="397"/>
        <w:gridCol w:w="568"/>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648460" cy="175260"/>
                      <wp:effectExtent l="0" t="0" r="0" b="0"/>
                      <wp:wrapNone/>
                      <wp:docPr id="596" name="Frame59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07010" cy="175260"/>
                      <wp:effectExtent l="0" t="0" r="0" b="0"/>
                      <wp:wrapNone/>
                      <wp:docPr id="597" name="Frame5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39065" cy="175260"/>
                      <wp:effectExtent l="0" t="0" r="0" b="0"/>
                      <wp:wrapNone/>
                      <wp:docPr id="598" name="Frame59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445135" cy="175260"/>
                      <wp:effectExtent l="0" t="0" r="0" b="0"/>
                      <wp:wrapNone/>
                      <wp:docPr id="599" name="Frame599"/>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4630" cy="175260"/>
                      <wp:effectExtent l="0" t="0" r="0" b="0"/>
                      <wp:wrapNone/>
                      <wp:docPr id="600" name="Frame60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9065" cy="175260"/>
                      <wp:effectExtent l="0" t="0" r="0" b="0"/>
                      <wp:wrapNone/>
                      <wp:docPr id="601" name="Frame60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375920" cy="175260"/>
                      <wp:effectExtent l="0" t="0" r="0" b="0"/>
                      <wp:wrapNone/>
                      <wp:docPr id="602" name="Frame602"/>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603" name="Frame6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63195" cy="175260"/>
                      <wp:effectExtent l="0" t="0" r="0" b="0"/>
                      <wp:wrapNone/>
                      <wp:docPr id="604" name="Frame60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441960" cy="175260"/>
                      <wp:effectExtent l="0" t="0" r="0" b="0"/>
                      <wp:wrapNone/>
                      <wp:docPr id="605" name="Frame605"/>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52095" cy="175260"/>
                      <wp:effectExtent l="0" t="0" r="0" b="0"/>
                      <wp:wrapNone/>
                      <wp:docPr id="606" name="Frame606"/>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360680" cy="175260"/>
                      <wp:effectExtent l="0" t="0" r="0" b="0"/>
                      <wp:wrapNone/>
                      <wp:docPr id="607" name="Frame607"/>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00660" cy="175260"/>
                      <wp:effectExtent l="0" t="0" r="0" b="0"/>
                      <wp:wrapNone/>
                      <wp:docPr id="608" name="Frame60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center"/>
              <w:rPr/>
            </w:pPr>
            <w:r>
              <w:rPr/>
              <w:t>​</w:t>
            </w:r>
          </w:p>
        </w:tc>
        <w:tc>
          <w:tcPr>
            <w:tcW w:w="397"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center"/>
              <w:rPr/>
            </w:pPr>
            <w:r>
              <w:rPr/>
              <w:t>​</w:t>
            </w:r>
          </w:p>
        </w:tc>
        <w:tc>
          <w:tcPr>
            <w:tcW w:w="397"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8"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9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11,401</w:t>
            </w:r>
          </w:p>
        </w:tc>
        <w:tc>
          <w:tcPr>
            <w:tcW w:w="338"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9,120</w:t>
            </w:r>
          </w:p>
        </w:tc>
        <w:tc>
          <w:tcPr>
            <w:tcW w:w="326"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w:t>
            </w:r>
          </w:p>
        </w:tc>
        <w:tc>
          <w:tcPr>
            <w:tcW w:w="397" w:type="dxa"/>
            <w:tcBorders/>
            <w:shd w:fill="CCEEFF" w:val="clear"/>
            <w:vAlign w:val="center"/>
          </w:tcPr>
          <w:p>
            <w:pPr>
              <w:pStyle w:val="TableContents"/>
              <w:bidi w:val="0"/>
              <w:spacing w:before="0" w:after="0"/>
              <w:ind w:left="0" w:right="0" w:hanging="0"/>
              <w:jc w:val="left"/>
              <w:rPr/>
            </w:pPr>
            <w:r>
              <w:rPr/>
              <w:t>    </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increased $2.3 million, or 25.0%, to $11.4 million for the nine months ended September 30, 2023 compared to $9.1 million for the same period in 2022. The increase was primarily due to the impact of infrastructure and technology purchases and other capitalized costs to support our growth. As a percentage of revenues, depreciation expense increased to 2.7% in the nine months ended September 30, 2023 compared to 2.5% for the same period in 2022.</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Other Operating Expense, Net</w:t>
      </w:r>
    </w:p>
    <w:tbl>
      <w:tblPr>
        <w:tblW w:w="7402" w:type="dxa"/>
        <w:jc w:val="left"/>
        <w:tblInd w:w="0" w:type="dxa"/>
        <w:tblLayout w:type="fixed"/>
        <w:tblCellMar>
          <w:top w:w="0" w:type="dxa"/>
          <w:left w:w="0" w:type="dxa"/>
          <w:bottom w:w="0" w:type="dxa"/>
          <w:right w:w="0" w:type="dxa"/>
        </w:tblCellMar>
      </w:tblPr>
      <w:tblGrid>
        <w:gridCol w:w="2446"/>
        <w:gridCol w:w="326"/>
        <w:gridCol w:w="231"/>
        <w:gridCol w:w="625"/>
        <w:gridCol w:w="357"/>
        <w:gridCol w:w="231"/>
        <w:gridCol w:w="625"/>
        <w:gridCol w:w="326"/>
        <w:gridCol w:w="243"/>
        <w:gridCol w:w="624"/>
        <w:gridCol w:w="376"/>
        <w:gridCol w:w="676"/>
        <w:gridCol w:w="31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553210" cy="175260"/>
                      <wp:effectExtent l="0" t="0" r="0" b="0"/>
                      <wp:wrapNone/>
                      <wp:docPr id="609" name="Frame609"/>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07010" cy="175260"/>
                      <wp:effectExtent l="0" t="0" r="0" b="0"/>
                      <wp:wrapNone/>
                      <wp:docPr id="610" name="Frame6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46685" cy="175260"/>
                      <wp:effectExtent l="0" t="0" r="0" b="0"/>
                      <wp:wrapNone/>
                      <wp:docPr id="611" name="Frame61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396875" cy="175260"/>
                      <wp:effectExtent l="0" t="0" r="0" b="0"/>
                      <wp:wrapNone/>
                      <wp:docPr id="612" name="Frame612"/>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26695" cy="175260"/>
                      <wp:effectExtent l="0" t="0" r="0" b="0"/>
                      <wp:wrapNone/>
                      <wp:docPr id="613" name="Frame61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46685" cy="175260"/>
                      <wp:effectExtent l="0" t="0" r="0" b="0"/>
                      <wp:wrapNone/>
                      <wp:docPr id="614" name="Frame61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396875" cy="175260"/>
                      <wp:effectExtent l="0" t="0" r="0" b="0"/>
                      <wp:wrapNone/>
                      <wp:docPr id="615" name="Frame615"/>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16" name="Frame6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54305" cy="175260"/>
                      <wp:effectExtent l="0" t="0" r="0" b="0"/>
                      <wp:wrapNone/>
                      <wp:docPr id="617" name="Frame61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396240" cy="175260"/>
                      <wp:effectExtent l="0" t="0" r="0" b="0"/>
                      <wp:wrapNone/>
                      <wp:docPr id="618" name="Frame618"/>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38760" cy="175260"/>
                      <wp:effectExtent l="0" t="0" r="0" b="0"/>
                      <wp:wrapNone/>
                      <wp:docPr id="619" name="Frame619"/>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429260" cy="175260"/>
                      <wp:effectExtent l="0" t="0" r="0" b="0"/>
                      <wp:wrapNone/>
                      <wp:docPr id="620" name="Frame6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0660" cy="175260"/>
                      <wp:effectExtent l="0" t="0" r="0" b="0"/>
                      <wp:wrapNone/>
                      <wp:docPr id="621" name="Frame62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7"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357"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w:t>
            </w:r>
          </w:p>
        </w:tc>
        <w:tc>
          <w:tcPr>
            <w:tcW w:w="32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7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operating expense, net decreased $0.9 million, or (47.4)% for the nine months ended September 30, 2023 compared to $1.9 million for the same period in 2022. Other operating expense, net for the nine months ended September 30, 2023 included a $1.3 million increase in the contingent consideration liability for the Tellutax acquisition, which was partly offset by $0.3 million in foreign currency gains. Other operating expense, net for the nine months ended September 30, 2022 was primarily comprised of a $2.0 million increase in the contingent consideration liability for the Tellutax acquisition. As a percentage of total revenues, other operating expense, net decreased to 0.2% in the nine months ended September 30, 2023 compared to 0.5% for the same period in 2022.</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Interest Expense, Net </w:t>
      </w:r>
    </w:p>
    <w:tbl>
      <w:tblPr>
        <w:tblW w:w="6728" w:type="dxa"/>
        <w:jc w:val="left"/>
        <w:tblInd w:w="0" w:type="dxa"/>
        <w:tblLayout w:type="fixed"/>
        <w:tblCellMar>
          <w:top w:w="0" w:type="dxa"/>
          <w:left w:w="0" w:type="dxa"/>
          <w:bottom w:w="0" w:type="dxa"/>
          <w:right w:w="0" w:type="dxa"/>
        </w:tblCellMar>
      </w:tblPr>
      <w:tblGrid>
        <w:gridCol w:w="1771"/>
        <w:gridCol w:w="326"/>
        <w:gridCol w:w="251"/>
        <w:gridCol w:w="501"/>
        <w:gridCol w:w="388"/>
        <w:gridCol w:w="251"/>
        <w:gridCol w:w="679"/>
        <w:gridCol w:w="326"/>
        <w:gridCol w:w="243"/>
        <w:gridCol w:w="624"/>
        <w:gridCol w:w="376"/>
        <w:gridCol w:w="676"/>
        <w:gridCol w:w="31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124585" cy="175260"/>
                      <wp:effectExtent l="0" t="0" r="0" b="0"/>
                      <wp:wrapNone/>
                      <wp:docPr id="622" name="Frame622"/>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07010" cy="175260"/>
                      <wp:effectExtent l="0" t="0" r="0" b="0"/>
                      <wp:wrapNone/>
                      <wp:docPr id="623" name="Frame6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59385" cy="175260"/>
                      <wp:effectExtent l="0" t="0" r="0" b="0"/>
                      <wp:wrapNone/>
                      <wp:docPr id="624" name="Frame62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318135" cy="175260"/>
                      <wp:effectExtent l="0" t="0" r="0" b="0"/>
                      <wp:wrapNone/>
                      <wp:docPr id="625" name="Frame625"/>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46380" cy="175260"/>
                      <wp:effectExtent l="0" t="0" r="0" b="0"/>
                      <wp:wrapNone/>
                      <wp:docPr id="626" name="Frame626"/>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59385" cy="175260"/>
                      <wp:effectExtent l="0" t="0" r="0" b="0"/>
                      <wp:wrapNone/>
                      <wp:docPr id="627" name="Frame62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31165" cy="175260"/>
                      <wp:effectExtent l="0" t="0" r="0" b="0"/>
                      <wp:wrapNone/>
                      <wp:docPr id="628" name="Frame628"/>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07010" cy="175260"/>
                      <wp:effectExtent l="0" t="0" r="0" b="0"/>
                      <wp:wrapNone/>
                      <wp:docPr id="629" name="Frame6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54305" cy="175260"/>
                      <wp:effectExtent l="0" t="0" r="0" b="0"/>
                      <wp:wrapNone/>
                      <wp:docPr id="630" name="Frame63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396240" cy="175260"/>
                      <wp:effectExtent l="0" t="0" r="0" b="0"/>
                      <wp:wrapNone/>
                      <wp:docPr id="631" name="Frame631"/>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38760" cy="175260"/>
                      <wp:effectExtent l="0" t="0" r="0" b="0"/>
                      <wp:wrapNone/>
                      <wp:docPr id="632" name="Frame63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429260" cy="175260"/>
                      <wp:effectExtent l="0" t="0" r="0" b="0"/>
                      <wp:wrapNone/>
                      <wp:docPr id="633" name="Frame6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00660" cy="175260"/>
                      <wp:effectExtent l="0" t="0" r="0" b="0"/>
                      <wp:wrapNone/>
                      <wp:docPr id="634" name="Frame63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8"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88" w:type="dxa"/>
            <w:tcBorders/>
            <w:shd w:fill="CCEEFF" w:val="clear"/>
            <w:vAlign w:val="center"/>
          </w:tcPr>
          <w:p>
            <w:pPr>
              <w:pStyle w:val="TableContents"/>
              <w:bidi w:val="0"/>
              <w:spacing w:before="0" w:after="0"/>
              <w:ind w:left="0" w:right="0" w:hanging="0"/>
              <w:jc w:val="left"/>
              <w:rPr/>
            </w:pPr>
            <w:r>
              <w:rPr/>
              <w:t>    </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c>
          <w:tcPr>
            <w:tcW w:w="32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w:t>
            </w:r>
          </w:p>
        </w:tc>
        <w:tc>
          <w:tcPr>
            <w:tcW w:w="37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net decreased $0.9 million, or (86.8)% to $0.1 million, net for the nine months ended September 30, 2023 compared to $1.1 million of interest expense, net for the same period in 2022. Interest expense for the nine months ended September 30, 2023 increased $1.3 million over the prior comparable period related to bank debt  associated with the Second Amendment to the Credit Agreement due to increases in the interest rates on such debt as well as the debt being outstanding for the full period in 2023. The valuation of the forward currency contracts increased $0.2 million as a result of market fluctuations. This increase in expense was offset by a $2.0 million increase in interest income due to the increase in interest rates and dollars invested associated with investment securities and a $0.4 million decrease in deferred financing costs associated with the Second Amendment to the Credit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Income Tax Expense</w:t>
      </w:r>
    </w:p>
    <w:p>
      <w:pPr>
        <w:pStyle w:val="TextBody"/>
        <w:bidi w:val="0"/>
        <w:spacing w:before="0" w:after="0"/>
        <w:ind w:left="0" w:right="0" w:firstLine="360"/>
        <w:jc w:val="both"/>
        <w:rPr/>
      </w:pPr>
      <w:r>
        <w:rPr/>
        <w:t>​</w:t>
      </w:r>
    </w:p>
    <w:tbl>
      <w:tblPr>
        <w:tblW w:w="6682" w:type="dxa"/>
        <w:jc w:val="left"/>
        <w:tblInd w:w="0" w:type="dxa"/>
        <w:tblLayout w:type="fixed"/>
        <w:tblCellMar>
          <w:top w:w="0" w:type="dxa"/>
          <w:left w:w="0" w:type="dxa"/>
          <w:bottom w:w="0" w:type="dxa"/>
          <w:right w:w="0" w:type="dxa"/>
        </w:tblCellMar>
      </w:tblPr>
      <w:tblGrid>
        <w:gridCol w:w="1726"/>
        <w:gridCol w:w="326"/>
        <w:gridCol w:w="219"/>
        <w:gridCol w:w="701"/>
        <w:gridCol w:w="338"/>
        <w:gridCol w:w="219"/>
        <w:gridCol w:w="592"/>
        <w:gridCol w:w="326"/>
        <w:gridCol w:w="227"/>
        <w:gridCol w:w="727"/>
        <w:gridCol w:w="351"/>
        <w:gridCol w:w="614"/>
        <w:gridCol w:w="316"/>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096010" cy="175260"/>
                      <wp:effectExtent l="0" t="0" r="0" b="0"/>
                      <wp:wrapNone/>
                      <wp:docPr id="635" name="Frame635"/>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07010" cy="175260"/>
                      <wp:effectExtent l="0" t="0" r="0" b="0"/>
                      <wp:wrapNone/>
                      <wp:docPr id="636" name="Frame6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39065" cy="175260"/>
                      <wp:effectExtent l="0" t="0" r="0" b="0"/>
                      <wp:wrapNone/>
                      <wp:docPr id="637" name="Frame637"/>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45135" cy="175260"/>
                      <wp:effectExtent l="0" t="0" r="0" b="0"/>
                      <wp:wrapNone/>
                      <wp:docPr id="638" name="Frame638"/>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14630" cy="175260"/>
                      <wp:effectExtent l="0" t="0" r="0" b="0"/>
                      <wp:wrapNone/>
                      <wp:docPr id="639" name="Frame639"/>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39065" cy="175260"/>
                      <wp:effectExtent l="0" t="0" r="0" b="0"/>
                      <wp:wrapNone/>
                      <wp:docPr id="640" name="Frame64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375920" cy="175260"/>
                      <wp:effectExtent l="0" t="0" r="0" b="0"/>
                      <wp:wrapNone/>
                      <wp:docPr id="641" name="Frame641"/>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7010" cy="175260"/>
                      <wp:effectExtent l="0" t="0" r="0" b="0"/>
                      <wp:wrapNone/>
                      <wp:docPr id="642" name="Frame6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44145" cy="175260"/>
                      <wp:effectExtent l="0" t="0" r="0" b="0"/>
                      <wp:wrapNone/>
                      <wp:docPr id="643" name="Frame64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461645" cy="175260"/>
                      <wp:effectExtent l="0" t="0" r="0" b="0"/>
                      <wp:wrapNone/>
                      <wp:docPr id="644" name="Frame644"/>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22885" cy="175260"/>
                      <wp:effectExtent l="0" t="0" r="0" b="0"/>
                      <wp:wrapNone/>
                      <wp:docPr id="645" name="Frame645"/>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389890" cy="175260"/>
                      <wp:effectExtent l="0" t="0" r="0" b="0"/>
                      <wp:wrapNone/>
                      <wp:docPr id="646" name="Frame646"/>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0660" cy="175260"/>
                      <wp:effectExtent l="0" t="0" r="0" b="0"/>
                      <wp:wrapNone/>
                      <wp:docPr id="647" name="Frame64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center"/>
              <w:rPr/>
            </w:pPr>
            <w:r>
              <w:rPr/>
              <w:t>​</w:t>
            </w:r>
          </w:p>
        </w:tc>
        <w:tc>
          <w:tcPr>
            <w:tcW w:w="351"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center"/>
              <w:rPr/>
            </w:pPr>
            <w:r>
              <w:rPr/>
              <w:t>​</w:t>
            </w:r>
          </w:p>
        </w:tc>
        <w:tc>
          <w:tcPr>
            <w:tcW w:w="351"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8"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13,266</w:t>
            </w:r>
          </w:p>
        </w:tc>
        <w:tc>
          <w:tcPr>
            <w:tcW w:w="338"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12,049</w:t>
            </w:r>
          </w:p>
        </w:tc>
        <w:tc>
          <w:tcPr>
            <w:tcW w:w="351"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increased to $13.3 million for the nine months ended September 30, 2023 compared to $1.2 million for the same period in 2022. The increase in tax expense was primarily driven by changes in state income taxes, differences in tax rates on foreign jurisdiction income or loss, limitations on deductions of certain employees’ compensation under Internal Revenue Code Section 162(m), tax benefits on exercises and vestings of stock awards, and valuation allowances on net deferred tax assets established for certain foreign jurisdictions.</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2023, we had unrestricted cash and cash equivalents of $49.5 million and an accumulated deficit of $15.9 million. In addition, we had $8.3 million in investment securities with a maturity date exceeding three months as of September 30, 2023, not included in unrestricted cash and cash equivalents. Our primary sources of capital to date have been from sales of our solutions, proceeds from bank lending facilities and the initial public offering of our Class A common stock in July 2020 (the “Offering”). On March 8, 2022, we entered into a second amendment to our credit agreement with a banking syndicate (the “Second Amendment to the Credit Agreement”), which provided a $250.0 million facility consisting of a $50.0 million term loan (the “Term Loan”) and a $200.0 million line of credit (the “Line of Credit”). The proceeds from the Term Loan were available for use for working capital, capital expenditures, permitted acquisitions, and general corporate purposes.</w:t>
      </w:r>
    </w:p>
    <w:p>
      <w:pPr>
        <w:pStyle w:val="TextBody"/>
        <w:bidi w:val="0"/>
        <w:spacing w:lineRule="auto" w:line="304" w:before="0" w:after="0"/>
        <w:ind w:left="60" w:right="79" w:firstLine="324"/>
        <w:jc w:val="both"/>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believe that our existing cash resources and our bank Line of Credit will be sufficient to meet our capital requirements and fund our operations for the next 12 months as well as our longer-term liquidity needs.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a summary of our cash flows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48"/>
        <w:gridCol w:w="432"/>
        <w:gridCol w:w="279"/>
        <w:gridCol w:w="1005"/>
        <w:gridCol w:w="432"/>
        <w:gridCol w:w="279"/>
        <w:gridCol w:w="1005"/>
        <w:gridCol w:w="144"/>
        <w:gridCol w:w="428"/>
        <w:gridCol w:w="144"/>
        <w:gridCol w:w="283"/>
        <w:gridCol w:w="1020"/>
        <w:gridCol w:w="1080"/>
        <w:gridCol w:w="426"/>
      </w:tblGrid>
      <w:tr>
        <w:trPr/>
        <w:tc>
          <w:tcPr>
            <w:tcW w:w="3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062480" cy="175260"/>
                      <wp:effectExtent l="0" t="0" r="0" b="0"/>
                      <wp:wrapNone/>
                      <wp:docPr id="648" name="Frame648"/>
                      <a:graphic xmlns:a="http://schemas.openxmlformats.org/drawingml/2006/main">
                        <a:graphicData uri="http://schemas.microsoft.com/office/word/2010/wordprocessingShape">
                          <wps:wsp>
                            <wps:cNvSpPr txBox="1"/>
                            <wps:spPr>
                              <a:xfrm>
                                <a:off x="0" y="0"/>
                                <a:ext cx="206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74320" cy="175260"/>
                      <wp:effectExtent l="0" t="0" r="0" b="0"/>
                      <wp:wrapNone/>
                      <wp:docPr id="649" name="Frame649"/>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77165" cy="175260"/>
                      <wp:effectExtent l="0" t="0" r="0" b="0"/>
                      <wp:wrapNone/>
                      <wp:docPr id="650" name="Frame650"/>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38175" cy="175260"/>
                      <wp:effectExtent l="0" t="0" r="0" b="0"/>
                      <wp:wrapNone/>
                      <wp:docPr id="651" name="Frame651"/>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74320" cy="175260"/>
                      <wp:effectExtent l="0" t="0" r="0" b="0"/>
                      <wp:wrapNone/>
                      <wp:docPr id="652" name="Frame652"/>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77165" cy="175260"/>
                      <wp:effectExtent l="0" t="0" r="0" b="0"/>
                      <wp:wrapNone/>
                      <wp:docPr id="653" name="Frame65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38175" cy="175260"/>
                      <wp:effectExtent l="0" t="0" r="0" b="0"/>
                      <wp:wrapNone/>
                      <wp:docPr id="654" name="Frame654"/>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91440" cy="175260"/>
                      <wp:effectExtent l="0" t="0" r="0" b="0"/>
                      <wp:wrapNone/>
                      <wp:docPr id="655" name="Frame655"/>
                      <a:graphic xmlns:a="http://schemas.openxmlformats.org/drawingml/2006/main">
                        <a:graphicData uri="http://schemas.microsoft.com/office/word/2010/wordprocessingShape">
                          <wps:wsp>
                            <wps:cNvSpPr txBox="1"/>
                            <wps:spPr>
                              <a:xfrm>
                                <a:off x="0" y="0"/>
                                <a:ext cx="9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71780" cy="175260"/>
                      <wp:effectExtent l="0" t="0" r="0" b="0"/>
                      <wp:wrapNone/>
                      <wp:docPr id="656" name="Frame656"/>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91440" cy="175260"/>
                      <wp:effectExtent l="0" t="0" r="0" b="0"/>
                      <wp:wrapNone/>
                      <wp:docPr id="657" name="Frame657"/>
                      <a:graphic xmlns:a="http://schemas.openxmlformats.org/drawingml/2006/main">
                        <a:graphicData uri="http://schemas.microsoft.com/office/word/2010/wordprocessingShape">
                          <wps:wsp>
                            <wps:cNvSpPr txBox="1"/>
                            <wps:spPr>
                              <a:xfrm>
                                <a:off x="0" y="0"/>
                                <a:ext cx="9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179705" cy="175260"/>
                      <wp:effectExtent l="0" t="0" r="0" b="0"/>
                      <wp:wrapNone/>
                      <wp:docPr id="658" name="Frame658"/>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47700" cy="175260"/>
                      <wp:effectExtent l="0" t="0" r="0" b="0"/>
                      <wp:wrapNone/>
                      <wp:docPr id="659" name="Frame659"/>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85800" cy="175260"/>
                      <wp:effectExtent l="0" t="0" r="0" b="0"/>
                      <wp:wrapNone/>
                      <wp:docPr id="660" name="Frame660"/>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70510" cy="175260"/>
                      <wp:effectExtent l="0" t="0" r="0" b="0"/>
                      <wp:wrapNone/>
                      <wp:docPr id="661" name="Frame661"/>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8" w:type="dxa"/>
            <w:tcBorders/>
            <w:vAlign w:val="center"/>
          </w:tcPr>
          <w:p>
            <w:pPr>
              <w:pStyle w:val="TableContents"/>
              <w:bidi w:val="0"/>
              <w:spacing w:before="0" w:after="0"/>
              <w:ind w:left="0" w:right="0" w:hanging="0"/>
              <w:jc w:val="left"/>
              <w:rPr/>
            </w:pPr>
            <w:r>
              <w:rPr/>
              <w:t>​</w:t>
            </w:r>
          </w:p>
        </w:tc>
        <w:tc>
          <w:tcPr>
            <w:tcW w:w="432" w:type="dxa"/>
            <w:tcBorders/>
            <w:vAlign w:val="center"/>
          </w:tcPr>
          <w:p>
            <w:pPr>
              <w:pStyle w:val="TableContents"/>
              <w:bidi w:val="0"/>
              <w:spacing w:before="0" w:after="0"/>
              <w:ind w:left="0" w:right="0" w:hanging="0"/>
              <w:jc w:val="center"/>
              <w:rPr/>
            </w:pPr>
            <w:r>
              <w:rPr/>
              <w:t>​</w:t>
            </w:r>
          </w:p>
        </w:tc>
        <w:tc>
          <w:tcPr>
            <w:tcW w:w="3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144" w:type="dxa"/>
            <w:tcBorders/>
            <w:vAlign w:val="center"/>
          </w:tcPr>
          <w:p>
            <w:pPr>
              <w:pStyle w:val="TableContents"/>
              <w:bidi w:val="0"/>
              <w:spacing w:before="0" w:after="0"/>
              <w:ind w:left="0" w:right="0" w:hanging="0"/>
              <w:jc w:val="center"/>
              <w:rPr/>
            </w:pPr>
            <w:r>
              <w:rPr/>
              <w:t>​</w:t>
            </w:r>
          </w:p>
        </w:tc>
        <w:tc>
          <w:tcPr>
            <w:tcW w:w="428" w:type="dxa"/>
            <w:tcBorders/>
            <w:vAlign w:val="center"/>
          </w:tcPr>
          <w:p>
            <w:pPr>
              <w:pStyle w:val="TableContents"/>
              <w:bidi w:val="0"/>
              <w:spacing w:before="0" w:after="0"/>
              <w:ind w:left="0" w:right="0" w:hanging="0"/>
              <w:jc w:val="center"/>
              <w:rPr/>
            </w:pPr>
            <w:r>
              <w:rPr/>
              <w:t>​</w:t>
            </w:r>
          </w:p>
        </w:tc>
        <w:tc>
          <w:tcPr>
            <w:tcW w:w="144" w:type="dxa"/>
            <w:tcBorders/>
            <w:vAlign w:val="center"/>
          </w:tcPr>
          <w:p>
            <w:pPr>
              <w:pStyle w:val="TableContents"/>
              <w:bidi w:val="0"/>
              <w:spacing w:before="0" w:after="0"/>
              <w:ind w:left="0" w:right="0" w:hanging="0"/>
              <w:jc w:val="center"/>
              <w:rPr/>
            </w:pPr>
            <w:r>
              <w:rPr/>
              <w:t>​</w:t>
            </w:r>
          </w:p>
        </w:tc>
        <w:tc>
          <w:tcPr>
            <w:tcW w:w="283" w:type="dxa"/>
            <w:tcBorders/>
            <w:vAlign w:val="center"/>
          </w:tcPr>
          <w:p>
            <w:pPr>
              <w:pStyle w:val="TableContents"/>
              <w:bidi w:val="0"/>
              <w:spacing w:before="0" w:after="0"/>
              <w:ind w:left="0" w:right="0" w:hanging="0"/>
              <w:jc w:val="center"/>
              <w:rPr/>
            </w:pPr>
            <w:r>
              <w:rPr/>
              <w:t>​</w:t>
            </w:r>
          </w:p>
        </w:tc>
        <w:tc>
          <w:tcPr>
            <w:tcW w:w="1020"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pPr>
            <w:r>
              <w:rPr/>
              <w:t>​</w:t>
            </w:r>
          </w:p>
        </w:tc>
        <w:tc>
          <w:tcPr>
            <w:tcW w:w="426" w:type="dxa"/>
            <w:tcBorders/>
            <w:vAlign w:val="center"/>
          </w:tcPr>
          <w:p>
            <w:pPr>
              <w:pStyle w:val="TableContents"/>
              <w:bidi w:val="0"/>
              <w:spacing w:before="0" w:after="0"/>
              <w:ind w:left="0" w:right="0" w:hanging="0"/>
              <w:jc w:val="center"/>
              <w:rPr/>
            </w:pPr>
            <w:r>
              <w:rPr/>
              <w:t>​</w:t>
            </w:r>
          </w:p>
        </w:tc>
      </w:tr>
      <w:tr>
        <w:trPr/>
        <w:tc>
          <w:tcPr>
            <w:tcW w:w="3248" w:type="dxa"/>
            <w:tcBorders/>
            <w:vAlign w:val="center"/>
          </w:tcPr>
          <w:p>
            <w:pPr>
              <w:pStyle w:val="TableContents"/>
              <w:bidi w:val="0"/>
              <w:spacing w:before="0" w:after="0"/>
              <w:ind w:left="0" w:right="0" w:hanging="0"/>
              <w:jc w:val="left"/>
              <w:rPr/>
            </w:pPr>
            <w:r>
              <w:rPr/>
              <w:t>​</w:t>
            </w:r>
          </w:p>
        </w:tc>
        <w:tc>
          <w:tcPr>
            <w:tcW w:w="432" w:type="dxa"/>
            <w:tcBorders/>
            <w:vAlign w:val="center"/>
          </w:tcPr>
          <w:p>
            <w:pPr>
              <w:pStyle w:val="TableContents"/>
              <w:bidi w:val="0"/>
              <w:spacing w:before="0" w:after="0"/>
              <w:ind w:left="0" w:right="0" w:hanging="0"/>
              <w:jc w:val="center"/>
              <w:rPr/>
            </w:pPr>
            <w:r>
              <w:rPr/>
              <w:t>​</w:t>
            </w:r>
          </w:p>
        </w:tc>
        <w:tc>
          <w:tcPr>
            <w:tcW w:w="3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4" w:type="dxa"/>
            <w:tcBorders/>
            <w:vAlign w:val="center"/>
          </w:tcPr>
          <w:p>
            <w:pPr>
              <w:pStyle w:val="TableContents"/>
              <w:bidi w:val="0"/>
              <w:spacing w:before="0" w:after="0"/>
              <w:ind w:left="0" w:right="0" w:hanging="0"/>
              <w:jc w:val="center"/>
              <w:rPr/>
            </w:pPr>
            <w:r>
              <w:rPr/>
              <w:t>​</w:t>
            </w:r>
          </w:p>
        </w:tc>
        <w:tc>
          <w:tcPr>
            <w:tcW w:w="428" w:type="dxa"/>
            <w:tcBorders/>
            <w:vAlign w:val="center"/>
          </w:tcPr>
          <w:p>
            <w:pPr>
              <w:pStyle w:val="TableContents"/>
              <w:bidi w:val="0"/>
              <w:spacing w:before="0" w:after="0"/>
              <w:ind w:left="0" w:right="0" w:hanging="0"/>
              <w:jc w:val="center"/>
              <w:rPr/>
            </w:pPr>
            <w:r>
              <w:rPr/>
              <w:t>​</w:t>
            </w:r>
          </w:p>
        </w:tc>
        <w:tc>
          <w:tcPr>
            <w:tcW w:w="144" w:type="dxa"/>
            <w:tcBorders/>
            <w:vAlign w:val="center"/>
          </w:tcPr>
          <w:p>
            <w:pPr>
              <w:pStyle w:val="TableContents"/>
              <w:bidi w:val="0"/>
              <w:spacing w:before="0" w:after="0"/>
              <w:ind w:left="0" w:right="0" w:hanging="0"/>
              <w:jc w:val="center"/>
              <w:rPr/>
            </w:pPr>
            <w:r>
              <w:rPr/>
              <w:t>​</w:t>
            </w:r>
          </w:p>
        </w:tc>
        <w:tc>
          <w:tcPr>
            <w:tcW w:w="283" w:type="dxa"/>
            <w:tcBorders/>
            <w:vAlign w:val="center"/>
          </w:tcPr>
          <w:p>
            <w:pPr>
              <w:pStyle w:val="TableContents"/>
              <w:bidi w:val="0"/>
              <w:spacing w:before="0" w:after="0"/>
              <w:ind w:left="0" w:right="0" w:hanging="0"/>
              <w:jc w:val="center"/>
              <w:rPr/>
            </w:pPr>
            <w:r>
              <w:rPr/>
              <w:t>​</w:t>
            </w:r>
          </w:p>
        </w:tc>
        <w:tc>
          <w:tcPr>
            <w:tcW w:w="1020"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pPr>
            <w:r>
              <w:rPr/>
              <w:t>​</w:t>
            </w:r>
          </w:p>
        </w:tc>
        <w:tc>
          <w:tcPr>
            <w:tcW w:w="426" w:type="dxa"/>
            <w:tcBorders/>
            <w:vAlign w:val="center"/>
          </w:tcPr>
          <w:p>
            <w:pPr>
              <w:pStyle w:val="TableContents"/>
              <w:bidi w:val="0"/>
              <w:spacing w:before="0" w:after="0"/>
              <w:ind w:left="0" w:right="0" w:hanging="0"/>
              <w:jc w:val="center"/>
              <w:rPr/>
            </w:pPr>
            <w:r>
              <w:rPr/>
              <w:t>​</w:t>
            </w:r>
          </w:p>
        </w:tc>
      </w:tr>
      <w:tr>
        <w:trPr/>
        <w:tc>
          <w:tcPr>
            <w:tcW w:w="324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432" w:type="dxa"/>
            <w:tcBorders/>
            <w:vAlign w:val="center"/>
          </w:tcPr>
          <w:p>
            <w:pPr>
              <w:pStyle w:val="TableContents"/>
              <w:bidi w:val="0"/>
              <w:spacing w:before="0" w:after="0"/>
              <w:ind w:left="0" w:right="0" w:hanging="0"/>
              <w:jc w:val="center"/>
              <w:rPr/>
            </w:pPr>
            <w:r>
              <w:rPr/>
              <w:t>​</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2" w:type="dxa"/>
            <w:tcBorders/>
            <w:vAlign w:val="center"/>
          </w:tcPr>
          <w:p>
            <w:pPr>
              <w:pStyle w:val="TableContents"/>
              <w:bidi w:val="0"/>
              <w:spacing w:before="0" w:after="0"/>
              <w:ind w:left="0" w:right="0" w:hanging="0"/>
              <w:jc w:val="center"/>
              <w:rPr/>
            </w:pPr>
            <w:r>
              <w:rPr/>
              <w:t>​</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4" w:type="dxa"/>
            <w:tcBorders/>
            <w:vAlign w:val="center"/>
          </w:tcPr>
          <w:p>
            <w:pPr>
              <w:pStyle w:val="TableContents"/>
              <w:bidi w:val="0"/>
              <w:spacing w:before="0" w:after="0"/>
              <w:ind w:left="0" w:right="0" w:hanging="0"/>
              <w:jc w:val="center"/>
              <w:rPr/>
            </w:pPr>
            <w:r>
              <w:rPr/>
              <w:t>​</w:t>
            </w:r>
          </w:p>
        </w:tc>
        <w:tc>
          <w:tcPr>
            <w:tcW w:w="428" w:type="dxa"/>
            <w:tcBorders/>
            <w:vAlign w:val="center"/>
          </w:tcPr>
          <w:p>
            <w:pPr>
              <w:pStyle w:val="TableContents"/>
              <w:bidi w:val="0"/>
              <w:spacing w:before="0" w:after="0"/>
              <w:ind w:left="0" w:right="0" w:hanging="0"/>
              <w:jc w:val="center"/>
              <w:rPr/>
            </w:pPr>
            <w:r>
              <w:rPr/>
              <w:t>​</w:t>
            </w:r>
          </w:p>
        </w:tc>
        <w:tc>
          <w:tcPr>
            <w:tcW w:w="144" w:type="dxa"/>
            <w:tcBorders/>
            <w:vAlign w:val="center"/>
          </w:tcPr>
          <w:p>
            <w:pPr>
              <w:pStyle w:val="TableContents"/>
              <w:bidi w:val="0"/>
              <w:spacing w:before="0" w:after="0"/>
              <w:ind w:left="0" w:right="0" w:hanging="0"/>
              <w:jc w:val="center"/>
              <w:rPr/>
            </w:pPr>
            <w:r>
              <w:rPr/>
              <w:t>​</w:t>
            </w:r>
          </w:p>
        </w:tc>
        <w:tc>
          <w:tcPr>
            <w:tcW w:w="23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4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432"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26,696</w:t>
            </w:r>
          </w:p>
        </w:tc>
        <w:tc>
          <w:tcPr>
            <w:tcW w:w="432"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23,599</w:t>
            </w:r>
          </w:p>
        </w:tc>
        <w:tc>
          <w:tcPr>
            <w:tcW w:w="144" w:type="dxa"/>
            <w:tcBorders/>
            <w:shd w:fill="CCEEFF" w:val="clear"/>
            <w:vAlign w:val="center"/>
          </w:tcPr>
          <w:p>
            <w:pPr>
              <w:pStyle w:val="TableContents"/>
              <w:bidi w:val="0"/>
              <w:spacing w:before="0" w:after="0"/>
              <w:ind w:left="0" w:right="0" w:hanging="0"/>
              <w:jc w:val="right"/>
              <w:rPr/>
            </w:pPr>
            <w:r>
              <w:rPr/>
              <w:t>​</w:t>
            </w:r>
          </w:p>
        </w:tc>
        <w:tc>
          <w:tcPr>
            <w:tcW w:w="4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w:t>
            </w:r>
          </w:p>
        </w:tc>
        <w:tc>
          <w:tcPr>
            <w:tcW w:w="144"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432"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(46,264)</w:t>
            </w:r>
          </w:p>
        </w:tc>
        <w:tc>
          <w:tcPr>
            <w:tcW w:w="432"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(50,435)</w:t>
            </w:r>
          </w:p>
        </w:tc>
        <w:tc>
          <w:tcPr>
            <w:tcW w:w="144" w:type="dxa"/>
            <w:tcBorders/>
            <w:vAlign w:val="center"/>
          </w:tcPr>
          <w:p>
            <w:pPr>
              <w:pStyle w:val="TableContents"/>
              <w:bidi w:val="0"/>
              <w:spacing w:before="0" w:after="0"/>
              <w:ind w:left="0" w:right="0" w:hanging="0"/>
              <w:jc w:val="right"/>
              <w:rPr/>
            </w:pPr>
            <w:r>
              <w:rPr/>
              <w:t>​</w:t>
            </w:r>
          </w:p>
        </w:tc>
        <w:tc>
          <w:tcPr>
            <w:tcW w:w="4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w:t>
            </w:r>
          </w:p>
        </w:tc>
        <w:tc>
          <w:tcPr>
            <w:tcW w:w="144"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4,171</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(6,003)</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25,977</w:t>
            </w:r>
          </w:p>
        </w:tc>
        <w:tc>
          <w:tcPr>
            <w:tcW w:w="144" w:type="dxa"/>
            <w:tcBorders/>
            <w:shd w:fill="CCEEFF" w:val="clear"/>
            <w:vAlign w:val="center"/>
          </w:tcPr>
          <w:p>
            <w:pPr>
              <w:pStyle w:val="TableContents"/>
              <w:bidi w:val="0"/>
              <w:spacing w:before="0" w:after="0"/>
              <w:ind w:left="0" w:right="0" w:hanging="0"/>
              <w:jc w:val="righ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(31,980)</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w:t>
            </w:r>
          </w:p>
        </w:tc>
        <w:tc>
          <w:tcPr>
            <w:tcW w:w="432"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32"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c>
          <w:tcPr>
            <w:tcW w:w="144" w:type="dxa"/>
            <w:tcBorders/>
            <w:vAlign w:val="center"/>
          </w:tcPr>
          <w:p>
            <w:pPr>
              <w:pStyle w:val="TableContents"/>
              <w:bidi w:val="0"/>
              <w:spacing w:before="0" w:after="0"/>
              <w:ind w:left="0" w:right="0" w:hanging="0"/>
              <w:jc w:val="right"/>
              <w:rPr/>
            </w:pPr>
            <w:r>
              <w:rPr/>
              <w:t>​</w:t>
            </w:r>
          </w:p>
        </w:tc>
        <w:tc>
          <w:tcPr>
            <w:tcW w:w="428" w:type="dxa"/>
            <w:tcBorders/>
            <w:vAlign w:val="center"/>
          </w:tcPr>
          <w:p>
            <w:pPr>
              <w:pStyle w:val="TableContents"/>
              <w:bidi w:val="0"/>
              <w:spacing w:before="0" w:after="0"/>
              <w:ind w:left="0" w:right="0" w:hanging="0"/>
              <w:jc w:val="left"/>
              <w:rPr/>
            </w:pPr>
            <w:r>
              <w:rPr/>
              <w:t>​</w:t>
            </w:r>
          </w:p>
        </w:tc>
        <w:tc>
          <w:tcPr>
            <w:tcW w:w="144"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(25,626)</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144"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(23,630)</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(1,183.9)</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8" w:type="dxa"/>
            <w:tcBorders/>
            <w:vAlign w:val="center"/>
          </w:tcPr>
          <w:p>
            <w:pPr>
              <w:pStyle w:val="TableContents"/>
              <w:bidi w:val="0"/>
              <w:spacing w:before="0" w:after="0"/>
              <w:ind w:left="0" w:right="0" w:hanging="0"/>
              <w:jc w:val="left"/>
              <w:rPr/>
            </w:pPr>
            <w:r>
              <w:rPr/>
              <w:t>​</w:t>
            </w:r>
          </w:p>
        </w:tc>
        <w:tc>
          <w:tcPr>
            <w:tcW w:w="432"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left"/>
              <w:rPr/>
            </w:pPr>
            <w:r>
              <w:rPr/>
              <w:t>​</w:t>
            </w:r>
          </w:p>
        </w:tc>
        <w:tc>
          <w:tcPr>
            <w:tcW w:w="432"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left"/>
              <w:rPr/>
            </w:pPr>
            <w:r>
              <w:rPr/>
              <w:t>​</w:t>
            </w:r>
          </w:p>
        </w:tc>
        <w:tc>
          <w:tcPr>
            <w:tcW w:w="144"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44"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right"/>
              <w:rPr/>
            </w:pPr>
            <w:r>
              <w:rPr/>
              <w:t>​</w:t>
            </w:r>
          </w:p>
        </w:tc>
        <w:tc>
          <w:tcPr>
            <w:tcW w:w="426" w:type="dxa"/>
            <w:tcBorders/>
            <w:vAlign w:val="center"/>
          </w:tcPr>
          <w:p>
            <w:pPr>
              <w:pStyle w:val="TableContents"/>
              <w:bidi w:val="0"/>
              <w:spacing w:before="0" w:after="0"/>
              <w:ind w:left="0" w:right="0" w:hanging="0"/>
              <w:jc w:val="left"/>
              <w:rPr/>
            </w:pPr>
            <w:r>
              <w:rPr/>
              <w:t>​</w:t>
            </w:r>
          </w:p>
        </w:tc>
      </w:tr>
      <w:tr>
        <w:trPr/>
        <w:tc>
          <w:tcPr>
            <w:tcW w:w="10205" w:type="dxa"/>
            <w:gridSpan w:val="14"/>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 Net cash provided by operating activities, and net cash used in investing activities for the nine months ended September 30, 2022 reflect an immaterial error correction of $9,427 related to the reclassification of capitalized cloud computing implementation costs. For more information refer to Note 1, “Summary of Significant Accounting Policies” to the condensed consolidated financial statements included in this Quarterly Report on Form 10-Q.</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Operating Activities. </w:t>
      </w:r>
      <w:r>
        <w:rPr>
          <w:rFonts w:ascii="Times New Roman;Times;serif" w:hAnsi="Times New Roman;Times;serif"/>
          <w:sz w:val="20"/>
        </w:rPr>
        <w:t>Net cash provided by operating activities was $26.7 million for the nine months ended September 30, 2023 compared to net cash provided by operating activities of $23.6 million for the same period in 2022.  The increase in cash provided by operating activities in the nine months ended September 30, 2023 over the same period in 2022 of $3.1 million included a $15.0 million increase in net cash from operating assets and liabilities, a $7.3 million increase for depreciation and amortization associated with investments in commercial software, infrastructure and acquisitions and an $11.8 million increase for stock-based compensation.  These were partially offset by a net loss of $21.4 million as well as an increase in deferred income tax benefit of $10.0 million.</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Investing Activities. </w:t>
      </w:r>
      <w:r>
        <w:rPr>
          <w:rFonts w:ascii="Times New Roman;Times;serif" w:hAnsi="Times New Roman;Times;serif"/>
          <w:sz w:val="20"/>
        </w:rPr>
        <w:t>Net cash used in investing activities was $46.3 million for the nine months ended September 30, 2023 compared to $50.4 million for the same period in 2022, a decrease in use of funds for investing activities of $4.2 million.  Proceeds from maturities of investment securities were $16.0 million, partly offset by an increase in purchases of investment securities of $6.7 million. There was also a $0.5 million reduction in cash paid for acquisitions</w:t>
      </w:r>
      <w:r>
        <w:rPr>
          <w:rFonts w:ascii="Times New Roman;Times;serif" w:hAnsi="Times New Roman;Times;serif"/>
          <w:b/>
          <w:i/>
          <w:sz w:val="20"/>
        </w:rPr>
        <w:t xml:space="preserve">. </w:t>
      </w:r>
      <w:r>
        <w:rPr>
          <w:rFonts w:ascii="Times New Roman;Times;serif" w:hAnsi="Times New Roman;Times;serif"/>
          <w:sz w:val="20"/>
        </w:rPr>
        <w:t xml:space="preserve">These were partially offset by a $5.6 million increase in investments in commercial software and tools in support of our commercial cloud-based customer solutions.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Financing Activities.</w:t>
      </w:r>
      <w:r>
        <w:rPr>
          <w:rFonts w:ascii="Times New Roman;Times;serif" w:hAnsi="Times New Roman;Times;serif"/>
          <w:sz w:val="20"/>
        </w:rPr>
        <w:t xml:space="preserve"> Net cash used in financing activities was $6.0 million for the nine months ended September 30, 2023 compared to $26.0 million net cash provided by financing activities for the same period in 2022, a decrease in net cash of $32.0 million. The decrease in cash provided by financing activities was primarily driven by cash received in 2022 in connection with borrowings under the Term Loan of $50.0 million associated with the Second Amendment to the Credit Agreement, partially offset by an increase in customer funds obligations of $19.6 million in 2023 due primarily to timing differences between receipt of funds from customers and taxing jurisdiction withdrawals of these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As of September 30, 2023, we had a $200.0 million Line of Credit with no outstanding borrowings and a $50.0 million Term Loan in connection with the Second Amendment to the Credit Agreement. Interest on outstanding borrowings accrue at a base rate plus an applicable margin (8.50% as of September 30, 2023) or the Secured Overnight Financing Rate (“SOFR”) plus an applicable margin (6.41% as of September 30, 2023). We have $47.4 million in bank debt outstanding at September 30, 2023 associated with the Term Loan.</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Funds Held for Customers and Customer Funds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trust accounts with financial institutions, which allows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the borrowings under the Second Amendment to the Credit Agreement entered into in March 2022, there have been no material updates or changes to our contractual obligations and commitments compared to contractual obligations and commitments described in our 2022 Annual Report.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review the metrics identified below to evaluate growth trends, measure our performance, formulate financial projections and make strategic decisions.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Annual Recurring Revenue (“ARR”) and Average Annual Revenue Per Customer (“AARPC”).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AARPC represents average annual revenue per customer and is calculated by dividing ARR by the number of software subscription customers at the end of the respective period.</w:t>
      </w:r>
    </w:p>
    <w:tbl>
      <w:tblPr>
        <w:tblW w:w="7162" w:type="dxa"/>
        <w:jc w:val="left"/>
        <w:tblInd w:w="0" w:type="dxa"/>
        <w:tblLayout w:type="fixed"/>
        <w:tblCellMar>
          <w:top w:w="0" w:type="dxa"/>
          <w:left w:w="0" w:type="dxa"/>
          <w:bottom w:w="0" w:type="dxa"/>
          <w:right w:w="0" w:type="dxa"/>
        </w:tblCellMar>
      </w:tblPr>
      <w:tblGrid>
        <w:gridCol w:w="2341"/>
        <w:gridCol w:w="326"/>
        <w:gridCol w:w="211"/>
        <w:gridCol w:w="571"/>
        <w:gridCol w:w="326"/>
        <w:gridCol w:w="211"/>
        <w:gridCol w:w="571"/>
        <w:gridCol w:w="326"/>
        <w:gridCol w:w="321"/>
        <w:gridCol w:w="709"/>
        <w:gridCol w:w="221"/>
        <w:gridCol w:w="712"/>
        <w:gridCol w:w="316"/>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1486535" cy="175260"/>
                      <wp:effectExtent l="0" t="0" r="0" b="0"/>
                      <wp:wrapNone/>
                      <wp:docPr id="662" name="Frame662"/>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07010" cy="175260"/>
                      <wp:effectExtent l="0" t="0" r="0" b="0"/>
                      <wp:wrapNone/>
                      <wp:docPr id="663" name="Frame6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33985" cy="175260"/>
                      <wp:effectExtent l="0" t="0" r="0" b="0"/>
                      <wp:wrapNone/>
                      <wp:docPr id="664" name="Frame6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362585" cy="175260"/>
                      <wp:effectExtent l="0" t="0" r="0" b="0"/>
                      <wp:wrapNone/>
                      <wp:docPr id="665" name="Frame6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07010" cy="175260"/>
                      <wp:effectExtent l="0" t="0" r="0" b="0"/>
                      <wp:wrapNone/>
                      <wp:docPr id="666" name="Frame6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33985" cy="175260"/>
                      <wp:effectExtent l="0" t="0" r="0" b="0"/>
                      <wp:wrapNone/>
                      <wp:docPr id="667" name="Frame6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362585" cy="175260"/>
                      <wp:effectExtent l="0" t="0" r="0" b="0"/>
                      <wp:wrapNone/>
                      <wp:docPr id="668" name="Frame6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07010" cy="175260"/>
                      <wp:effectExtent l="0" t="0" r="0" b="0"/>
                      <wp:wrapNone/>
                      <wp:docPr id="669" name="Frame6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03835" cy="175260"/>
                      <wp:effectExtent l="0" t="0" r="0" b="0"/>
                      <wp:wrapNone/>
                      <wp:docPr id="670" name="Frame67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450215" cy="175260"/>
                      <wp:effectExtent l="0" t="0" r="0" b="0"/>
                      <wp:wrapNone/>
                      <wp:docPr id="671" name="Frame671"/>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40335" cy="175260"/>
                      <wp:effectExtent l="0" t="0" r="0" b="0"/>
                      <wp:wrapNone/>
                      <wp:docPr id="672" name="Frame67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452120" cy="175260"/>
                      <wp:effectExtent l="0" t="0" r="0" b="0"/>
                      <wp:wrapNone/>
                      <wp:docPr id="673" name="Frame673"/>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00660" cy="175260"/>
                      <wp:effectExtent l="0" t="0" r="0" b="0"/>
                      <wp:wrapNone/>
                      <wp:docPr id="674" name="Frame6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w:t>
            </w:r>
          </w:p>
        </w:tc>
        <w:tc>
          <w:tcPr>
            <w:tcW w:w="1963" w:type="dxa"/>
            <w:gridSpan w:val="4"/>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9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Year-Over-Year Change </w:t>
            </w:r>
          </w:p>
        </w:tc>
        <w:tc>
          <w:tcPr>
            <w:tcW w:w="316" w:type="dxa"/>
            <w:tcBorders/>
            <w:vAlign w:val="center"/>
          </w:tcPr>
          <w:p>
            <w:pPr>
              <w:pStyle w:val="TableContents"/>
              <w:bidi w:val="0"/>
              <w:spacing w:before="0" w:after="0"/>
              <w:ind w:left="0" w:right="0" w:hanging="0"/>
              <w:jc w:val="center"/>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Recurring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411.5</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221"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ARR increased by $73.4 million, or 17.8%, at September 30, 2023, as compared to September 30, 2022. The increase was primarily driven by $46.3 million of growth in revenues from existing customers through their expanded use of our solutions as well as price increases, and $27.1 million in growth of subscriptions of our solutions to new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4,303 customers and AARPC was approximately $112,690 at September 30, 2023. At September 30, 2022, we had 4,230 customers and approximately $97,300 of AARPC. The increase in AARPC was primarily due to expansion of usage by existing customers and adding new customers through organic growth.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Revenue Retention Rate (“NRR”).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 </w:t>
      </w:r>
    </w:p>
    <w:tbl>
      <w:tblPr>
        <w:tblW w:w="4782" w:type="dxa"/>
        <w:jc w:val="left"/>
        <w:tblInd w:w="0" w:type="dxa"/>
        <w:tblLayout w:type="fixed"/>
        <w:tblCellMar>
          <w:top w:w="0" w:type="dxa"/>
          <w:left w:w="0" w:type="dxa"/>
          <w:bottom w:w="0" w:type="dxa"/>
          <w:right w:w="0" w:type="dxa"/>
        </w:tblCellMar>
      </w:tblPr>
      <w:tblGrid>
        <w:gridCol w:w="2446"/>
        <w:gridCol w:w="326"/>
        <w:gridCol w:w="578"/>
        <w:gridCol w:w="448"/>
        <w:gridCol w:w="578"/>
        <w:gridCol w:w="40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553210" cy="175260"/>
                      <wp:effectExtent l="0" t="0" r="0" b="0"/>
                      <wp:wrapNone/>
                      <wp:docPr id="675" name="Frame675"/>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7010" cy="175260"/>
                      <wp:effectExtent l="0" t="0" r="0" b="0"/>
                      <wp:wrapNone/>
                      <wp:docPr id="676" name="Frame6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367030" cy="175260"/>
                      <wp:effectExtent l="0" t="0" r="0" b="0"/>
                      <wp:wrapNone/>
                      <wp:docPr id="677" name="Frame677"/>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84480" cy="175260"/>
                      <wp:effectExtent l="0" t="0" r="0" b="0"/>
                      <wp:wrapNone/>
                      <wp:docPr id="678" name="Frame678"/>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367030" cy="175260"/>
                      <wp:effectExtent l="0" t="0" r="0" b="0"/>
                      <wp:wrapNone/>
                      <wp:docPr id="679" name="Frame67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57810" cy="175260"/>
                      <wp:effectExtent l="0" t="0" r="0" b="0"/>
                      <wp:wrapNone/>
                      <wp:docPr id="680" name="Frame68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40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8" w:type="dxa"/>
            <w:tcBorders/>
            <w:vAlign w:val="center"/>
          </w:tcPr>
          <w:p>
            <w:pPr>
              <w:pStyle w:val="TableContents"/>
              <w:bidi w:val="0"/>
              <w:spacing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vAlign w:val="center"/>
          </w:tcPr>
          <w:p>
            <w:pPr>
              <w:pStyle w:val="TableContents"/>
              <w:bidi w:val="0"/>
              <w:spacing w:before="0" w:after="0"/>
              <w:ind w:left="0" w:right="0" w:hanging="0"/>
              <w:jc w:val="center"/>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 Retention Rate</w:t>
            </w:r>
          </w:p>
        </w:tc>
        <w:tc>
          <w:tcPr>
            <w:tcW w:w="326"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Revenue Retention Rate (“GRR”).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pStyle w:val="TextBody"/>
        <w:bidi w:val="0"/>
        <w:spacing w:before="0" w:after="0"/>
        <w:ind w:left="0" w:right="0" w:firstLine="360"/>
        <w:jc w:val="both"/>
        <w:rPr/>
      </w:pPr>
      <w:r>
        <w:rPr/>
        <w:t> ​</w:t>
      </w:r>
    </w:p>
    <w:tbl>
      <w:tblPr>
        <w:tblW w:w="4947" w:type="dxa"/>
        <w:jc w:val="left"/>
        <w:tblInd w:w="0" w:type="dxa"/>
        <w:tblLayout w:type="fixed"/>
        <w:tblCellMar>
          <w:top w:w="0" w:type="dxa"/>
          <w:left w:w="0" w:type="dxa"/>
          <w:bottom w:w="0" w:type="dxa"/>
          <w:right w:w="0" w:type="dxa"/>
        </w:tblCellMar>
      </w:tblPr>
      <w:tblGrid>
        <w:gridCol w:w="2611"/>
        <w:gridCol w:w="326"/>
        <w:gridCol w:w="578"/>
        <w:gridCol w:w="448"/>
        <w:gridCol w:w="578"/>
        <w:gridCol w:w="406"/>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657985" cy="175260"/>
                      <wp:effectExtent l="0" t="0" r="0" b="0"/>
                      <wp:wrapNone/>
                      <wp:docPr id="681" name="Frame681"/>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07010" cy="175260"/>
                      <wp:effectExtent l="0" t="0" r="0" b="0"/>
                      <wp:wrapNone/>
                      <wp:docPr id="682" name="Frame6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367030" cy="175260"/>
                      <wp:effectExtent l="0" t="0" r="0" b="0"/>
                      <wp:wrapNone/>
                      <wp:docPr id="683" name="Frame683"/>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284480" cy="175260"/>
                      <wp:effectExtent l="0" t="0" r="0" b="0"/>
                      <wp:wrapNone/>
                      <wp:docPr id="684" name="Frame684"/>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367030" cy="175260"/>
                      <wp:effectExtent l="0" t="0" r="0" b="0"/>
                      <wp:wrapNone/>
                      <wp:docPr id="685" name="Frame685"/>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57810" cy="175260"/>
                      <wp:effectExtent l="0" t="0" r="0" b="0"/>
                      <wp:wrapNone/>
                      <wp:docPr id="686" name="Frame68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406" w:type="dxa"/>
            <w:tcBorders/>
            <w:vAlign w:val="center"/>
          </w:tcPr>
          <w:p>
            <w:pPr>
              <w:pStyle w:val="TableContents"/>
              <w:bidi w:val="0"/>
              <w:spacing w:before="0" w:after="0"/>
              <w:ind w:left="0" w:right="0" w:hanging="0"/>
              <w:jc w:val="center"/>
              <w:rPr/>
            </w:pPr>
            <w:r>
              <w:rPr/>
              <w:t>​</w: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8" w:type="dxa"/>
            <w:tcBorders/>
            <w:vAlign w:val="center"/>
          </w:tcPr>
          <w:p>
            <w:pPr>
              <w:pStyle w:val="TableContents"/>
              <w:bidi w:val="0"/>
              <w:spacing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vAlign w:val="center"/>
          </w:tcPr>
          <w:p>
            <w:pPr>
              <w:pStyle w:val="TableContents"/>
              <w:bidi w:val="0"/>
              <w:spacing w:before="0" w:after="0"/>
              <w:ind w:left="0" w:right="0" w:hanging="0"/>
              <w:jc w:val="center"/>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Revenue Retention Rate</w:t>
            </w:r>
          </w:p>
        </w:tc>
        <w:tc>
          <w:tcPr>
            <w:tcW w:w="326"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taxes, depreciation, and amortization, as adjusted to exclude charges for asset impairments, amortization of cloud computing implementation costs, stock-based compensation expense, severance expense, acquisition contingent consideration, litigation settlements, and transaction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costs (which includes offering costs related to the sale of shares of certain of our Class B shareholders which are not representative of normal business operations). Adjusted EBITDA margin represents Adjusted EBITDA divided by total revenues for the same period. For purposes of comparison, our net loss was $(3.4) million and $(1.1) million for the three months ended September 30, 2023 and 2022, respectively, while our net loss margin was (2.3)% and (0.9)% over the same periods, respectively. Additionally, our net loss was $(28.4) million and $(7.0) million for the nine months ended September 30, 2023 and 2022, respectively, while our net loss margin was (6.8)% and (1.9)% over the same periods, respectively.</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06"/>
        <w:gridCol w:w="326"/>
        <w:gridCol w:w="211"/>
        <w:gridCol w:w="781"/>
        <w:gridCol w:w="361"/>
        <w:gridCol w:w="211"/>
        <w:gridCol w:w="781"/>
        <w:gridCol w:w="361"/>
        <w:gridCol w:w="211"/>
        <w:gridCol w:w="786"/>
        <w:gridCol w:w="361"/>
        <w:gridCol w:w="211"/>
        <w:gridCol w:w="781"/>
        <w:gridCol w:w="317"/>
      </w:tblGrid>
      <w:tr>
        <w:trPr/>
        <w:tc>
          <w:tcPr>
            <w:tcW w:w="4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861310" cy="175260"/>
                      <wp:effectExtent l="0" t="0" r="0" b="0"/>
                      <wp:wrapNone/>
                      <wp:docPr id="687" name="Frame687"/>
                      <a:graphic xmlns:a="http://schemas.openxmlformats.org/drawingml/2006/main">
                        <a:graphicData uri="http://schemas.microsoft.com/office/word/2010/wordprocessingShape">
                          <wps:wsp>
                            <wps:cNvSpPr txBox="1"/>
                            <wps:spPr>
                              <a:xfrm>
                                <a:off x="0" y="0"/>
                                <a:ext cx="286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07010" cy="175260"/>
                      <wp:effectExtent l="0" t="0" r="0" b="0"/>
                      <wp:wrapNone/>
                      <wp:docPr id="688" name="Frame6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33985" cy="175260"/>
                      <wp:effectExtent l="0" t="0" r="0" b="0"/>
                      <wp:wrapNone/>
                      <wp:docPr id="689" name="Frame6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495935" cy="175260"/>
                      <wp:effectExtent l="0" t="0" r="0" b="0"/>
                      <wp:wrapNone/>
                      <wp:docPr id="690" name="Frame6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29235" cy="175260"/>
                      <wp:effectExtent l="0" t="0" r="0" b="0"/>
                      <wp:wrapNone/>
                      <wp:docPr id="691" name="Frame6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33985" cy="175260"/>
                      <wp:effectExtent l="0" t="0" r="0" b="0"/>
                      <wp:wrapNone/>
                      <wp:docPr id="692" name="Frame6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495935" cy="175260"/>
                      <wp:effectExtent l="0" t="0" r="0" b="0"/>
                      <wp:wrapNone/>
                      <wp:docPr id="693" name="Frame6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29235" cy="175260"/>
                      <wp:effectExtent l="0" t="0" r="0" b="0"/>
                      <wp:wrapNone/>
                      <wp:docPr id="694" name="Frame6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33985" cy="175260"/>
                      <wp:effectExtent l="0" t="0" r="0" b="0"/>
                      <wp:wrapNone/>
                      <wp:docPr id="695" name="Frame6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499110" cy="175260"/>
                      <wp:effectExtent l="0" t="0" r="0" b="0"/>
                      <wp:wrapNone/>
                      <wp:docPr id="696" name="Frame696"/>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229235" cy="175260"/>
                      <wp:effectExtent l="0" t="0" r="0" b="0"/>
                      <wp:wrapNone/>
                      <wp:docPr id="697" name="Frame6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33985" cy="175260"/>
                      <wp:effectExtent l="0" t="0" r="0" b="0"/>
                      <wp:wrapNone/>
                      <wp:docPr id="698" name="Frame6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495935" cy="175260"/>
                      <wp:effectExtent l="0" t="0" r="0" b="0"/>
                      <wp:wrapNone/>
                      <wp:docPr id="699" name="Frame6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01295" cy="175260"/>
                      <wp:effectExtent l="0" t="0" r="0" b="0"/>
                      <wp:wrapNone/>
                      <wp:docPr id="700" name="Frame70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61" w:type="dxa"/>
            <w:tcBorders/>
            <w:vAlign w:val="center"/>
          </w:tcPr>
          <w:p>
            <w:pPr>
              <w:pStyle w:val="TableContents"/>
              <w:bidi w:val="0"/>
              <w:spacing w:before="0" w:after="0"/>
              <w:ind w:left="0" w:right="0" w:hanging="0"/>
              <w:jc w:val="center"/>
              <w:rPr/>
            </w:pPr>
            <w:r>
              <w:rPr/>
              <w:t>​</w:t>
            </w:r>
          </w:p>
        </w:tc>
        <w:tc>
          <w:tcPr>
            <w:tcW w:w="23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17" w:type="dxa"/>
            <w:tcBorders/>
            <w:vAlign w:val="center"/>
          </w:tcPr>
          <w:p>
            <w:pPr>
              <w:pStyle w:val="TableContents"/>
              <w:bidi w:val="0"/>
              <w:spacing w:before="0" w:after="0"/>
              <w:ind w:left="0" w:right="0" w:hanging="0"/>
              <w:jc w:val="center"/>
              <w:rPr/>
            </w:pPr>
            <w:r>
              <w:rPr/>
              <w:t>​</w:t>
            </w:r>
          </w:p>
        </w:tc>
      </w:tr>
      <w:tr>
        <w:trPr/>
        <w:tc>
          <w:tcPr>
            <w:tcW w:w="4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0"/>
              <w:ind w:left="0" w:right="0" w:hanging="0"/>
              <w:jc w:val="center"/>
              <w:rPr/>
            </w:pPr>
            <w:r>
              <w:rPr/>
              <w:t>​</w:t>
            </w:r>
          </w:p>
        </w:tc>
        <w:tc>
          <w:tcPr>
            <w:tcW w:w="23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17" w:type="dxa"/>
            <w:tcBorders/>
            <w:vAlign w:val="center"/>
          </w:tcPr>
          <w:p>
            <w:pPr>
              <w:pStyle w:val="TableContents"/>
              <w:bidi w:val="0"/>
              <w:spacing w:before="0" w:after="0"/>
              <w:ind w:left="0" w:right="0" w:hanging="0"/>
              <w:jc w:val="center"/>
              <w:rPr/>
            </w:pPr>
            <w:r>
              <w:rPr/>
              <w:t>​</w:t>
            </w:r>
          </w:p>
        </w:tc>
      </w:tr>
      <w:tr>
        <w:trPr/>
        <w:tc>
          <w:tcPr>
            <w:tcW w:w="45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center"/>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7" w:type="dxa"/>
            <w:tcBorders/>
            <w:vAlign w:val="center"/>
          </w:tcPr>
          <w:p>
            <w:pPr>
              <w:pStyle w:val="TableContents"/>
              <w:bidi w:val="0"/>
              <w:spacing w:before="0" w:after="0"/>
              <w:ind w:left="0" w:right="0" w:hanging="0"/>
              <w:jc w:val="center"/>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1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13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7" w:type="dxa"/>
            <w:tcBorders/>
            <w:vAlign w:val="center"/>
          </w:tcPr>
          <w:p>
            <w:pPr>
              <w:pStyle w:val="TableContents"/>
              <w:bidi w:val="0"/>
              <w:spacing w:before="0" w:after="0"/>
              <w:ind w:left="0" w:right="0" w:hanging="0"/>
              <w:jc w:val="center"/>
              <w:rPr/>
            </w:pPr>
            <w:r>
              <w:rPr/>
              <w:t>​</w:t>
            </w:r>
          </w:p>
        </w:tc>
      </w:tr>
      <w:tr>
        <w:trPr/>
        <w:tc>
          <w:tcPr>
            <w:tcW w:w="45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color w:val="FF0000"/>
              </w:rPr>
            </w:pPr>
            <w:r>
              <w:rPr>
                <w:color w:val="FF0000"/>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(6,995)</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4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c>
          <w:tcPr>
            <w:tcW w:w="317" w:type="dxa"/>
            <w:tcBorders/>
            <w:vAlign w:val="center"/>
          </w:tcPr>
          <w:p>
            <w:pPr>
              <w:pStyle w:val="TableContents"/>
              <w:bidi w:val="0"/>
              <w:spacing w:before="0" w:after="0"/>
              <w:ind w:left="0" w:right="0" w:hanging="0"/>
              <w:jc w:val="right"/>
              <w:rPr/>
            </w:pPr>
            <w:r>
              <w:rPr/>
              <w:t>​</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17" w:type="dxa"/>
            <w:tcBorders/>
            <w:shd w:fill="CCEEFF" w:val="clear"/>
            <w:vAlign w:val="center"/>
          </w:tcPr>
          <w:p>
            <w:pPr>
              <w:pStyle w:val="TableContents"/>
              <w:bidi w:val="0"/>
              <w:spacing w:before="0" w:after="0"/>
              <w:ind w:left="0" w:right="0" w:hanging="0"/>
              <w:jc w:val="right"/>
              <w:rPr/>
            </w:pPr>
            <w:r>
              <w:rPr/>
              <w:t>​</w:t>
            </w:r>
          </w:p>
        </w:tc>
      </w:tr>
      <w:tr>
        <w:trPr/>
        <w:tc>
          <w:tcPr>
            <w:tcW w:w="4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9,120</w:t>
            </w:r>
          </w:p>
        </w:tc>
        <w:tc>
          <w:tcPr>
            <w:tcW w:w="317" w:type="dxa"/>
            <w:tcBorders/>
            <w:vAlign w:val="center"/>
          </w:tcPr>
          <w:p>
            <w:pPr>
              <w:pStyle w:val="TableContents"/>
              <w:bidi w:val="0"/>
              <w:spacing w:before="0" w:after="0"/>
              <w:ind w:left="0" w:right="0" w:hanging="0"/>
              <w:jc w:val="right"/>
              <w:rPr/>
            </w:pPr>
            <w:r>
              <w:rPr/>
              <w:t>​</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11,102</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33,185</w:t>
            </w:r>
          </w:p>
        </w:tc>
        <w:tc>
          <w:tcPr>
            <w:tcW w:w="317" w:type="dxa"/>
            <w:tcBorders/>
            <w:shd w:fill="CCEEFF" w:val="clear"/>
            <w:vAlign w:val="center"/>
          </w:tcPr>
          <w:p>
            <w:pPr>
              <w:pStyle w:val="TableContents"/>
              <w:bidi w:val="0"/>
              <w:spacing w:before="0" w:after="0"/>
              <w:ind w:left="0" w:right="0" w:hanging="0"/>
              <w:jc w:val="right"/>
              <w:rPr/>
            </w:pPr>
            <w:r>
              <w:rPr/>
              <w:t>​</w:t>
            </w:r>
          </w:p>
        </w:tc>
      </w:tr>
      <w:tr>
        <w:trPr/>
        <w:tc>
          <w:tcPr>
            <w:tcW w:w="4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w:t>
            </w:r>
          </w:p>
        </w:tc>
        <w:tc>
          <w:tcPr>
            <w:tcW w:w="317" w:type="dxa"/>
            <w:tcBorders/>
            <w:vAlign w:val="center"/>
          </w:tcPr>
          <w:p>
            <w:pPr>
              <w:pStyle w:val="TableContents"/>
              <w:bidi w:val="0"/>
              <w:spacing w:before="0" w:after="0"/>
              <w:ind w:left="0" w:right="0" w:hanging="0"/>
              <w:jc w:val="right"/>
              <w:rPr/>
            </w:pPr>
            <w:r>
              <w:rPr/>
              <w:t>​</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right"/>
              <w:rPr/>
            </w:pPr>
            <w:r>
              <w:rPr/>
              <w:t>​</w:t>
            </w:r>
          </w:p>
        </w:tc>
      </w:tr>
      <w:tr>
        <w:trPr/>
        <w:tc>
          <w:tcPr>
            <w:tcW w:w="4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5,256</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14,383</w:t>
            </w:r>
          </w:p>
        </w:tc>
        <w:tc>
          <w:tcPr>
            <w:tcW w:w="317" w:type="dxa"/>
            <w:tcBorders/>
            <w:vAlign w:val="center"/>
          </w:tcPr>
          <w:p>
            <w:pPr>
              <w:pStyle w:val="TableContents"/>
              <w:bidi w:val="0"/>
              <w:spacing w:before="0" w:after="0"/>
              <w:ind w:left="0" w:right="0" w:hanging="0"/>
              <w:jc w:val="right"/>
              <w:rPr/>
            </w:pPr>
            <w:r>
              <w:rPr/>
              <w:t>​</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17" w:type="dxa"/>
            <w:tcBorders/>
            <w:shd w:fill="CCEEFF" w:val="clear"/>
            <w:vAlign w:val="center"/>
          </w:tcPr>
          <w:p>
            <w:pPr>
              <w:pStyle w:val="TableContents"/>
              <w:bidi w:val="0"/>
              <w:spacing w:before="0" w:after="0"/>
              <w:ind w:left="0" w:right="0" w:hanging="0"/>
              <w:jc w:val="right"/>
              <w:rPr/>
            </w:pPr>
            <w:r>
              <w:rPr/>
              <w:t>​</w:t>
            </w:r>
          </w:p>
        </w:tc>
      </w:tr>
      <w:tr>
        <w:trPr/>
        <w:tc>
          <w:tcPr>
            <w:tcW w:w="4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contingent consideration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17" w:type="dxa"/>
            <w:tcBorders/>
            <w:vAlign w:val="center"/>
          </w:tcPr>
          <w:p>
            <w:pPr>
              <w:pStyle w:val="TableContents"/>
              <w:bidi w:val="0"/>
              <w:spacing w:before="0" w:after="0"/>
              <w:ind w:left="0" w:right="0" w:hanging="0"/>
              <w:jc w:val="right"/>
              <w:rPr/>
            </w:pPr>
            <w:r>
              <w:rPr/>
              <w:t>​</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26,623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20,720</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68,808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57,642</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45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right"/>
              <w:rPr/>
            </w:pPr>
            <w:r>
              <w:rPr/>
              <w:t>​</w:t>
            </w:r>
          </w:p>
        </w:tc>
      </w:tr>
      <w:tr>
        <w:trPr/>
        <w:tc>
          <w:tcPr>
            <w:tcW w:w="45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right"/>
              <w:rPr/>
            </w:pPr>
            <w:r>
              <w:rPr/>
              <w:t>​</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145,027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126,238</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417,473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360,498</w:t>
            </w:r>
          </w:p>
        </w:tc>
        <w:tc>
          <w:tcPr>
            <w:tcW w:w="317" w:type="dxa"/>
            <w:tcBorders/>
            <w:shd w:fill="CCEEFF" w:val="clear"/>
            <w:vAlign w:val="center"/>
          </w:tcPr>
          <w:p>
            <w:pPr>
              <w:pStyle w:val="TableContents"/>
              <w:bidi w:val="0"/>
              <w:spacing w:before="0" w:after="0"/>
              <w:ind w:left="0" w:right="0" w:hanging="0"/>
              <w:jc w:val="right"/>
              <w:rPr/>
            </w:pPr>
            <w:r>
              <w:rPr/>
              <w:t>​</w:t>
            </w:r>
          </w:p>
        </w:tc>
      </w:tr>
      <w:tr>
        <w:trPr/>
        <w:tc>
          <w:tcPr>
            <w:tcW w:w="45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increase in Adjusted EBITDA for the three months ended September 30, 2023 of $5.9 million over the comparable period in 2022 was primarily driven by an increase of $15.7 million in non-GAAP gross profit, offset by increases in various non-GAAP operating expense categories including $3.1 million in non-GAAP selling and marketing expense, $5.6 million in non-GAAP research and development expense and $1.6 million in non-GAAP general and administrative expense. Adjusted EBITDA margin increased to 18.4% for the three months ended September 30, 2023 compared to 16.4% for the comparable period in 2022, primarily due to increased non-GAAP gross margin from our software subscriptions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increase in Adjusted EBITDA for the nine months ended September 30, 2023 of $11.2 million over the comparable period in 2022 was primarily driven by an increase of $45.1 million in non-GAAP gross profit, offset by increases in various non-GAAP operating expense categories, including $12.8 million in non-GAAP selling and marketing expense, $11.8 million in non-GAAP research and development expense and $9.6 million in non-GAAP general and administrative expense. Adjusted EBITDA margin increased to 16.5% for the nine months ended September 30, 2023 compared to 16.0% for the comparable period in 2022, primarily due to increased non-GAAP gross margin from our software subscriptions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Increased investment in selling and marketing expense for the three and nine months ended September 30, 2023 over the comparable periods in 2022, was driven by increased expenses associated with the growth in period-over-period subscription sales and services revenue and expansion of our partner and channel management programs. In addition, there was increased advertising and promotional spending and brand awareness efforts. Increased research and development expense for the three and nine months ended September 30, 2023 over the comparable periods in 2022 was due primarily to an increase in personnel costs related to development work associated with innovation and new solutions to address end-to-end data analysis and compliance needs of our customers. Increased general and administrative expense for the three and nine months ended September 30, 2023 over the comparable periods in 2022, was driven by planned strategic investments in information technology infrastructure, business process reengineering and other initiatives to drive future operating leverage, as well as investments in employees, systems and resources in support of our growth.</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Free Cash Flow and Free Cash Flow Margin.</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free cash flow margin as free cash flow divided by total revenues for the same period. Our net cash provided by operating activities was $27.6 million, and our net cash provided by operating activities was $15.0 million for the three months ended September 30, 2023 and 2022, respectively, while our operating cash flow margin was 19.0% and 11.9% over the same periods, respectively. Our net cash provided by operating activities was $26.7 million and our net cash provided by operating activities was $23.6 million for the nine months ended September 30, 2023 and 2022, respectively, while our operating cash flow margin was 6.4% and 6.5% over the same periods, respectively.</w:t>
      </w:r>
    </w:p>
    <w:tbl>
      <w:tblPr>
        <w:tblW w:w="10205" w:type="dxa"/>
        <w:jc w:val="left"/>
        <w:tblInd w:w="0" w:type="dxa"/>
        <w:tblLayout w:type="fixed"/>
        <w:tblCellMar>
          <w:top w:w="0" w:type="dxa"/>
          <w:left w:w="0" w:type="dxa"/>
          <w:bottom w:w="0" w:type="dxa"/>
          <w:right w:w="0" w:type="dxa"/>
        </w:tblCellMar>
      </w:tblPr>
      <w:tblGrid>
        <w:gridCol w:w="2300"/>
        <w:gridCol w:w="429"/>
        <w:gridCol w:w="277"/>
        <w:gridCol w:w="1035"/>
        <w:gridCol w:w="475"/>
        <w:gridCol w:w="143"/>
        <w:gridCol w:w="277"/>
        <w:gridCol w:w="1035"/>
        <w:gridCol w:w="461"/>
        <w:gridCol w:w="143"/>
        <w:gridCol w:w="277"/>
        <w:gridCol w:w="1035"/>
        <w:gridCol w:w="475"/>
        <w:gridCol w:w="277"/>
        <w:gridCol w:w="1035"/>
        <w:gridCol w:w="531"/>
      </w:tblGrid>
      <w:tr>
        <w:trPr/>
        <w:tc>
          <w:tcPr>
            <w:tcW w:w="2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1460500" cy="175260"/>
                      <wp:effectExtent l="0" t="0" r="0" b="0"/>
                      <wp:wrapNone/>
                      <wp:docPr id="701" name="Frame701"/>
                      <a:graphic xmlns:a="http://schemas.openxmlformats.org/drawingml/2006/main">
                        <a:graphicData uri="http://schemas.microsoft.com/office/word/2010/wordprocessingShape">
                          <wps:wsp>
                            <wps:cNvSpPr txBox="1"/>
                            <wps:spPr>
                              <a:xfrm>
                                <a:off x="0" y="0"/>
                                <a:ext cx="146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72415" cy="175260"/>
                      <wp:effectExtent l="0" t="0" r="0" b="0"/>
                      <wp:wrapNone/>
                      <wp:docPr id="702" name="Frame702"/>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75895" cy="175260"/>
                      <wp:effectExtent l="0" t="0" r="0" b="0"/>
                      <wp:wrapNone/>
                      <wp:docPr id="703" name="Frame70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657225" cy="175260"/>
                      <wp:effectExtent l="0" t="0" r="0" b="0"/>
                      <wp:wrapNone/>
                      <wp:docPr id="704" name="Frame704"/>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301625" cy="175260"/>
                      <wp:effectExtent l="0" t="0" r="0" b="0"/>
                      <wp:wrapNone/>
                      <wp:docPr id="705" name="Frame705"/>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90805" cy="175260"/>
                      <wp:effectExtent l="0" t="0" r="0" b="0"/>
                      <wp:wrapNone/>
                      <wp:docPr id="706" name="Frame706"/>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75895" cy="175260"/>
                      <wp:effectExtent l="0" t="0" r="0" b="0"/>
                      <wp:wrapNone/>
                      <wp:docPr id="707" name="Frame70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657225" cy="175260"/>
                      <wp:effectExtent l="0" t="0" r="0" b="0"/>
                      <wp:wrapNone/>
                      <wp:docPr id="708" name="Frame708"/>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92735" cy="175260"/>
                      <wp:effectExtent l="0" t="0" r="0" b="0"/>
                      <wp:wrapNone/>
                      <wp:docPr id="709" name="Frame709"/>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90805" cy="175260"/>
                      <wp:effectExtent l="0" t="0" r="0" b="0"/>
                      <wp:wrapNone/>
                      <wp:docPr id="710" name="Frame710"/>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175895" cy="175260"/>
                      <wp:effectExtent l="0" t="0" r="0" b="0"/>
                      <wp:wrapNone/>
                      <wp:docPr id="711" name="Frame71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657225" cy="175260"/>
                      <wp:effectExtent l="0" t="0" r="0" b="0"/>
                      <wp:wrapNone/>
                      <wp:docPr id="712" name="Frame712"/>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301625" cy="175260"/>
                      <wp:effectExtent l="0" t="0" r="0" b="0"/>
                      <wp:wrapNone/>
                      <wp:docPr id="713" name="Frame713"/>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175895" cy="175260"/>
                      <wp:effectExtent l="0" t="0" r="0" b="0"/>
                      <wp:wrapNone/>
                      <wp:docPr id="714" name="Frame71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657225" cy="175260"/>
                      <wp:effectExtent l="0" t="0" r="0" b="0"/>
                      <wp:wrapNone/>
                      <wp:docPr id="715" name="Frame715"/>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337185" cy="175260"/>
                      <wp:effectExtent l="0" t="0" r="0" b="0"/>
                      <wp:wrapNone/>
                      <wp:docPr id="716" name="Frame716"/>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00"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center"/>
              <w:rPr/>
            </w:pPr>
            <w:r>
              <w:rPr/>
              <w:t>​</w:t>
            </w:r>
          </w:p>
        </w:tc>
        <w:tc>
          <w:tcPr>
            <w:tcW w:w="3242"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461" w:type="dxa"/>
            <w:tcBorders/>
            <w:vAlign w:val="center"/>
          </w:tcPr>
          <w:p>
            <w:pPr>
              <w:pStyle w:val="TableContents"/>
              <w:bidi w:val="0"/>
              <w:spacing w:before="0" w:after="0"/>
              <w:ind w:left="0" w:right="0" w:hanging="0"/>
              <w:jc w:val="center"/>
              <w:rPr/>
            </w:pPr>
            <w:r>
              <w:rPr/>
              <w:t>​</w:t>
            </w:r>
          </w:p>
        </w:tc>
        <w:tc>
          <w:tcPr>
            <w:tcW w:w="143" w:type="dxa"/>
            <w:tcBorders/>
            <w:vAlign w:val="center"/>
          </w:tcPr>
          <w:p>
            <w:pPr>
              <w:pStyle w:val="TableContents"/>
              <w:bidi w:val="0"/>
              <w:spacing w:before="0" w:after="0"/>
              <w:ind w:left="0" w:right="0" w:hanging="0"/>
              <w:jc w:val="center"/>
              <w:rPr/>
            </w:pPr>
            <w:r>
              <w:rPr/>
              <w:t>​</w:t>
            </w:r>
          </w:p>
        </w:tc>
        <w:tc>
          <w:tcPr>
            <w:tcW w:w="309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531" w:type="dxa"/>
            <w:tcBorders/>
            <w:vAlign w:val="center"/>
          </w:tcPr>
          <w:p>
            <w:pPr>
              <w:pStyle w:val="TableContents"/>
              <w:bidi w:val="0"/>
              <w:spacing w:before="0" w:after="0"/>
              <w:ind w:left="0" w:right="0" w:hanging="0"/>
              <w:jc w:val="center"/>
              <w:rPr/>
            </w:pPr>
            <w:r>
              <w:rPr/>
              <w:t>​</w:t>
            </w:r>
          </w:p>
        </w:tc>
      </w:tr>
      <w:tr>
        <w:trPr/>
        <w:tc>
          <w:tcPr>
            <w:tcW w:w="2300"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center"/>
              <w:rPr/>
            </w:pPr>
            <w:r>
              <w:rPr/>
              <w:t>​</w:t>
            </w:r>
          </w:p>
        </w:tc>
        <w:tc>
          <w:tcPr>
            <w:tcW w:w="32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461" w:type="dxa"/>
            <w:tcBorders/>
            <w:vAlign w:val="center"/>
          </w:tcPr>
          <w:p>
            <w:pPr>
              <w:pStyle w:val="TableContents"/>
              <w:bidi w:val="0"/>
              <w:spacing w:before="0" w:after="0"/>
              <w:ind w:left="0" w:right="0" w:hanging="0"/>
              <w:jc w:val="center"/>
              <w:rPr/>
            </w:pPr>
            <w:r>
              <w:rPr/>
              <w:t>​</w:t>
            </w:r>
          </w:p>
        </w:tc>
        <w:tc>
          <w:tcPr>
            <w:tcW w:w="143" w:type="dxa"/>
            <w:tcBorders/>
            <w:vAlign w:val="center"/>
          </w:tcPr>
          <w:p>
            <w:pPr>
              <w:pStyle w:val="TableContents"/>
              <w:bidi w:val="0"/>
              <w:spacing w:before="0" w:after="0"/>
              <w:ind w:left="0" w:right="0" w:hanging="0"/>
              <w:jc w:val="center"/>
              <w:rPr/>
            </w:pPr>
            <w:r>
              <w:rPr/>
              <w:t>​</w:t>
            </w:r>
          </w:p>
        </w:tc>
        <w:tc>
          <w:tcPr>
            <w:tcW w:w="30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531" w:type="dxa"/>
            <w:tcBorders/>
            <w:vAlign w:val="center"/>
          </w:tcPr>
          <w:p>
            <w:pPr>
              <w:pStyle w:val="TableContents"/>
              <w:bidi w:val="0"/>
              <w:spacing w:before="0" w:after="0"/>
              <w:ind w:left="0" w:right="0" w:hanging="0"/>
              <w:jc w:val="center"/>
              <w:rPr/>
            </w:pPr>
            <w:r>
              <w:rPr/>
              <w:t>​</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429" w:type="dxa"/>
            <w:tcBorders/>
            <w:vAlign w:val="center"/>
          </w:tcPr>
          <w:p>
            <w:pPr>
              <w:pStyle w:val="TableContents"/>
              <w:bidi w:val="0"/>
              <w:spacing w:before="0" w:after="0"/>
              <w:ind w:left="0" w:right="0" w:hanging="0"/>
              <w:jc w:val="center"/>
              <w:rPr/>
            </w:pPr>
            <w:r>
              <w:rPr/>
              <w:t>    </w:t>
            </w:r>
          </w:p>
        </w:tc>
        <w:tc>
          <w:tcPr>
            <w:tcW w:w="13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5" w:type="dxa"/>
            <w:tcBorders/>
            <w:vAlign w:val="center"/>
          </w:tcPr>
          <w:p>
            <w:pPr>
              <w:pStyle w:val="TableContents"/>
              <w:bidi w:val="0"/>
              <w:spacing w:before="0" w:after="0"/>
              <w:ind w:left="0" w:right="0" w:hanging="0"/>
              <w:jc w:val="left"/>
              <w:rPr/>
            </w:pPr>
            <w:r>
              <w:rPr/>
              <w:t>    </w:t>
            </w:r>
          </w:p>
        </w:tc>
        <w:tc>
          <w:tcPr>
            <w:tcW w:w="143" w:type="dxa"/>
            <w:tcBorders/>
            <w:vAlign w:val="center"/>
          </w:tcPr>
          <w:p>
            <w:pPr>
              <w:pStyle w:val="TableContents"/>
              <w:bidi w:val="0"/>
              <w:spacing w:before="0" w:after="0"/>
              <w:ind w:left="0" w:right="0" w:hanging="0"/>
              <w:jc w:val="left"/>
              <w:rPr/>
            </w:pPr>
            <w:r>
              <w:rPr/>
              <w:t>​</w:t>
            </w:r>
          </w:p>
        </w:tc>
        <w:tc>
          <w:tcPr>
            <w:tcW w:w="13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61" w:type="dxa"/>
            <w:tcBorders/>
            <w:vAlign w:val="center"/>
          </w:tcPr>
          <w:p>
            <w:pPr>
              <w:pStyle w:val="TableContents"/>
              <w:bidi w:val="0"/>
              <w:spacing w:before="0" w:after="0"/>
              <w:ind w:left="0" w:right="0" w:hanging="0"/>
              <w:jc w:val="center"/>
              <w:rPr/>
            </w:pPr>
            <w:r>
              <w:rPr/>
              <w:t>​</w:t>
            </w:r>
          </w:p>
        </w:tc>
        <w:tc>
          <w:tcPr>
            <w:tcW w:w="143" w:type="dxa"/>
            <w:tcBorders/>
            <w:vAlign w:val="center"/>
          </w:tcPr>
          <w:p>
            <w:pPr>
              <w:pStyle w:val="TableContents"/>
              <w:bidi w:val="0"/>
              <w:spacing w:before="0" w:after="0"/>
              <w:ind w:left="0" w:right="0" w:hanging="0"/>
              <w:jc w:val="center"/>
              <w:rPr/>
            </w:pPr>
            <w:r>
              <w:rPr/>
              <w:t>​</w:t>
            </w:r>
          </w:p>
        </w:tc>
        <w:tc>
          <w:tcPr>
            <w:tcW w:w="13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5" w:type="dxa"/>
            <w:tcBorders/>
            <w:vAlign w:val="center"/>
          </w:tcPr>
          <w:p>
            <w:pPr>
              <w:pStyle w:val="TableContents"/>
              <w:bidi w:val="0"/>
              <w:spacing w:before="0" w:after="0"/>
              <w:ind w:left="0" w:right="0" w:hanging="0"/>
              <w:jc w:val="left"/>
              <w:rPr/>
            </w:pPr>
            <w:r>
              <w:rPr/>
              <w:t>    </w:t>
            </w:r>
          </w:p>
        </w:tc>
        <w:tc>
          <w:tcPr>
            <w:tcW w:w="13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531" w:type="dxa"/>
            <w:tcBorders/>
            <w:vAlign w:val="center"/>
          </w:tcPr>
          <w:p>
            <w:pPr>
              <w:pStyle w:val="TableContents"/>
              <w:bidi w:val="0"/>
              <w:spacing w:before="0" w:after="0"/>
              <w:ind w:left="0" w:right="0" w:hanging="0"/>
              <w:jc w:val="center"/>
              <w:rPr/>
            </w:pPr>
            <w:r>
              <w:rPr/>
              <w:t>​</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429"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center"/>
              <w:rPr/>
            </w:pPr>
            <w:r>
              <w:rPr/>
              <w:t>​</w:t>
            </w:r>
          </w:p>
        </w:tc>
        <w:tc>
          <w:tcPr>
            <w:tcW w:w="1035" w:type="dxa"/>
            <w:tcBorders/>
            <w:vAlign w:val="center"/>
          </w:tcPr>
          <w:p>
            <w:pPr>
              <w:pStyle w:val="TableContents"/>
              <w:bidi w:val="0"/>
              <w:spacing w:before="0" w:after="0"/>
              <w:ind w:left="0" w:right="0" w:hanging="0"/>
              <w:jc w:val="center"/>
              <w:rPr/>
            </w:pPr>
            <w:r>
              <w:rPr/>
              <w:t>​</w:t>
            </w:r>
          </w:p>
        </w:tc>
        <w:tc>
          <w:tcPr>
            <w:tcW w:w="475" w:type="dxa"/>
            <w:tcBorders/>
            <w:vAlign w:val="center"/>
          </w:tcPr>
          <w:p>
            <w:pPr>
              <w:pStyle w:val="TableContents"/>
              <w:bidi w:val="0"/>
              <w:spacing w:before="0" w:after="0"/>
              <w:ind w:left="0" w:right="0" w:hanging="0"/>
              <w:jc w:val="left"/>
              <w:rPr/>
            </w:pPr>
            <w:r>
              <w:rPr/>
              <w:t>​</w:t>
            </w:r>
          </w:p>
        </w:tc>
        <w:tc>
          <w:tcPr>
            <w:tcW w:w="143"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center"/>
              <w:rPr/>
            </w:pPr>
            <w:r>
              <w:rPr/>
              <w:t>​</w:t>
            </w:r>
          </w:p>
        </w:tc>
        <w:tc>
          <w:tcPr>
            <w:tcW w:w="1035" w:type="dxa"/>
            <w:tcBorders/>
            <w:vAlign w:val="center"/>
          </w:tcPr>
          <w:p>
            <w:pPr>
              <w:pStyle w:val="TableContents"/>
              <w:bidi w:val="0"/>
              <w:spacing w:before="0" w:after="0"/>
              <w:ind w:left="0" w:right="0" w:hanging="0"/>
              <w:jc w:val="center"/>
              <w:rPr/>
            </w:pPr>
            <w:r>
              <w:rPr/>
              <w:t>​</w:t>
            </w:r>
          </w:p>
        </w:tc>
        <w:tc>
          <w:tcPr>
            <w:tcW w:w="461" w:type="dxa"/>
            <w:tcBorders/>
            <w:vAlign w:val="center"/>
          </w:tcPr>
          <w:p>
            <w:pPr>
              <w:pStyle w:val="TableContents"/>
              <w:bidi w:val="0"/>
              <w:spacing w:before="0" w:after="0"/>
              <w:ind w:left="0" w:right="0" w:hanging="0"/>
              <w:jc w:val="center"/>
              <w:rPr/>
            </w:pPr>
            <w:r>
              <w:rPr/>
              <w:t>​</w:t>
            </w:r>
          </w:p>
        </w:tc>
        <w:tc>
          <w:tcPr>
            <w:tcW w:w="143"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center"/>
              <w:rPr/>
            </w:pPr>
            <w:r>
              <w:rPr/>
              <w:t>​</w:t>
            </w:r>
          </w:p>
        </w:tc>
        <w:tc>
          <w:tcPr>
            <w:tcW w:w="1035" w:type="dxa"/>
            <w:tcBorders/>
            <w:vAlign w:val="center"/>
          </w:tcPr>
          <w:p>
            <w:pPr>
              <w:pStyle w:val="TableContents"/>
              <w:bidi w:val="0"/>
              <w:spacing w:before="0" w:after="0"/>
              <w:ind w:left="0" w:right="0" w:hanging="0"/>
              <w:jc w:val="center"/>
              <w:rPr/>
            </w:pPr>
            <w:r>
              <w:rPr/>
              <w:t>​</w:t>
            </w:r>
          </w:p>
        </w:tc>
        <w:tc>
          <w:tcPr>
            <w:tcW w:w="475"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center"/>
              <w:rPr/>
            </w:pPr>
            <w:r>
              <w:rPr/>
              <w:t>​</w:t>
            </w:r>
          </w:p>
        </w:tc>
        <w:tc>
          <w:tcPr>
            <w:tcW w:w="1035"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operating activities</w:t>
            </w:r>
          </w:p>
        </w:tc>
        <w:tc>
          <w:tcPr>
            <w:tcW w:w="429"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27,594</w:t>
            </w:r>
          </w:p>
        </w:tc>
        <w:tc>
          <w:tcPr>
            <w:tcW w:w="475" w:type="dxa"/>
            <w:tcBorders/>
            <w:shd w:fill="CCEEFF" w:val="clear"/>
            <w:vAlign w:val="center"/>
          </w:tcPr>
          <w:p>
            <w:pPr>
              <w:pStyle w:val="TableContents"/>
              <w:bidi w:val="0"/>
              <w:spacing w:before="0" w:after="0"/>
              <w:ind w:left="0" w:right="0" w:hanging="0"/>
              <w:jc w:val="center"/>
              <w:rPr/>
            </w:pPr>
            <w:r>
              <w:rPr/>
              <w:t>​</w:t>
            </w:r>
          </w:p>
        </w:tc>
        <w:tc>
          <w:tcPr>
            <w:tcW w:w="143"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15,011</w:t>
            </w:r>
          </w:p>
        </w:tc>
        <w:tc>
          <w:tcPr>
            <w:tcW w:w="46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w:t>
            </w:r>
          </w:p>
        </w:tc>
        <w:tc>
          <w:tcPr>
            <w:tcW w:w="143" w:type="dxa"/>
            <w:tcBorders/>
            <w:shd w:fill="CCEEFF" w:val="clear"/>
            <w:vAlign w:val="center"/>
          </w:tcPr>
          <w:p>
            <w:pPr>
              <w:pStyle w:val="TableContents"/>
              <w:bidi w:val="0"/>
              <w:spacing w:before="0" w:after="0"/>
              <w:ind w:left="0" w:right="0" w:hanging="0"/>
              <w:jc w:val="righ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26,696</w:t>
            </w:r>
          </w:p>
        </w:tc>
        <w:tc>
          <w:tcPr>
            <w:tcW w:w="475"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23,599</w:t>
            </w:r>
          </w:p>
        </w:tc>
        <w:tc>
          <w:tcPr>
            <w:tcW w:w="53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429"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center"/>
              <w:rPr/>
            </w:pPr>
            <w:r>
              <w:rPr/>
              <w:t>​</w:t>
            </w:r>
          </w:p>
        </w:tc>
        <w:tc>
          <w:tcPr>
            <w:tcW w:w="10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(13,498)</w:t>
            </w:r>
          </w:p>
        </w:tc>
        <w:tc>
          <w:tcPr>
            <w:tcW w:w="475" w:type="dxa"/>
            <w:tcBorders/>
            <w:vAlign w:val="center"/>
          </w:tcPr>
          <w:p>
            <w:pPr>
              <w:pStyle w:val="TableContents"/>
              <w:bidi w:val="0"/>
              <w:spacing w:before="0" w:after="0"/>
              <w:ind w:left="0" w:right="0" w:hanging="0"/>
              <w:jc w:val="center"/>
              <w:rPr/>
            </w:pPr>
            <w:r>
              <w:rPr/>
              <w:t>​</w:t>
            </w:r>
          </w:p>
        </w:tc>
        <w:tc>
          <w:tcPr>
            <w:tcW w:w="143"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center"/>
              <w:rPr/>
            </w:pPr>
            <w:r>
              <w:rPr/>
              <w:t>​</w:t>
            </w:r>
          </w:p>
        </w:tc>
        <w:tc>
          <w:tcPr>
            <w:tcW w:w="10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(11,707)</w:t>
            </w:r>
          </w:p>
        </w:tc>
        <w:tc>
          <w:tcPr>
            <w:tcW w:w="4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w:t>
            </w:r>
          </w:p>
        </w:tc>
        <w:tc>
          <w:tcPr>
            <w:tcW w:w="143"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center"/>
              <w:rPr/>
            </w:pPr>
            <w:r>
              <w:rPr/>
              <w:t>​</w:t>
            </w:r>
          </w:p>
        </w:tc>
        <w:tc>
          <w:tcPr>
            <w:tcW w:w="10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(35,357)</w:t>
            </w:r>
          </w:p>
        </w:tc>
        <w:tc>
          <w:tcPr>
            <w:tcW w:w="475"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w:t>
            </w:r>
          </w:p>
        </w:tc>
        <w:tc>
          <w:tcPr>
            <w:tcW w:w="277" w:type="dxa"/>
            <w:tcBorders/>
            <w:vAlign w:val="center"/>
          </w:tcPr>
          <w:p>
            <w:pPr>
              <w:pStyle w:val="TableContents"/>
              <w:bidi w:val="0"/>
              <w:spacing w:before="0" w:after="0"/>
              <w:ind w:left="0" w:right="0" w:hanging="0"/>
              <w:jc w:val="center"/>
              <w:rPr/>
            </w:pPr>
            <w:r>
              <w:rPr/>
              <w:t>​</w:t>
            </w:r>
          </w:p>
        </w:tc>
        <w:tc>
          <w:tcPr>
            <w:tcW w:w="10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(33,546)</w:t>
            </w:r>
          </w:p>
        </w:tc>
        <w:tc>
          <w:tcPr>
            <w:tcW w:w="5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additions</w:t>
            </w:r>
          </w:p>
        </w:tc>
        <w:tc>
          <w:tcPr>
            <w:tcW w:w="429" w:type="dxa"/>
            <w:tcBorders/>
            <w:shd w:fill="CCEEFF" w:val="clear"/>
            <w:vAlign w:val="center"/>
          </w:tcPr>
          <w:p>
            <w:pPr>
              <w:pStyle w:val="TableContents"/>
              <w:bidi w:val="0"/>
              <w:spacing w:before="0" w:after="0"/>
              <w:ind w:left="0" w:right="0" w:hanging="0"/>
              <w:jc w:val="center"/>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w:t>
            </w:r>
          </w:p>
        </w:tc>
        <w:tc>
          <w:tcPr>
            <w:tcW w:w="475" w:type="dxa"/>
            <w:tcBorders/>
            <w:shd w:fill="CCEEFF" w:val="clear"/>
            <w:vAlign w:val="center"/>
          </w:tcPr>
          <w:p>
            <w:pPr>
              <w:pStyle w:val="TableContents"/>
              <w:bidi w:val="0"/>
              <w:spacing w:before="0" w:after="0"/>
              <w:ind w:left="0" w:right="0" w:hanging="0"/>
              <w:jc w:val="left"/>
              <w:rPr/>
            </w:pPr>
            <w:r>
              <w:rPr/>
              <w:t>​</w:t>
            </w:r>
          </w:p>
        </w:tc>
        <w:tc>
          <w:tcPr>
            <w:tcW w:w="143"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(4,362)</w:t>
            </w:r>
          </w:p>
        </w:tc>
        <w:tc>
          <w:tcPr>
            <w:tcW w:w="461" w:type="dxa"/>
            <w:tcBorders/>
            <w:shd w:fill="CCEEFF" w:val="clear"/>
            <w:vAlign w:val="center"/>
          </w:tcPr>
          <w:p>
            <w:pPr>
              <w:pStyle w:val="TableContents"/>
              <w:bidi w:val="0"/>
              <w:spacing w:before="0" w:after="0"/>
              <w:ind w:left="0" w:right="0" w:hanging="0"/>
              <w:jc w:val="right"/>
              <w:rPr/>
            </w:pPr>
            <w:r>
              <w:rPr/>
              <w:t>​</w:t>
            </w:r>
          </w:p>
        </w:tc>
        <w:tc>
          <w:tcPr>
            <w:tcW w:w="143" w:type="dxa"/>
            <w:tcBorders/>
            <w:shd w:fill="CCEEFF" w:val="clear"/>
            <w:vAlign w:val="center"/>
          </w:tcPr>
          <w:p>
            <w:pPr>
              <w:pStyle w:val="TableContents"/>
              <w:bidi w:val="0"/>
              <w:spacing w:before="0" w:after="0"/>
              <w:ind w:left="0" w:right="0" w:hanging="0"/>
              <w:jc w:val="righ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(14,083)</w:t>
            </w:r>
          </w:p>
        </w:tc>
        <w:tc>
          <w:tcPr>
            <w:tcW w:w="475"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(10,288)</w:t>
            </w:r>
          </w:p>
        </w:tc>
        <w:tc>
          <w:tcPr>
            <w:tcW w:w="531" w:type="dxa"/>
            <w:tcBorders/>
            <w:shd w:fill="CCEEFF" w:val="clear"/>
            <w:vAlign w:val="center"/>
          </w:tcPr>
          <w:p>
            <w:pPr>
              <w:pStyle w:val="TableContents"/>
              <w:bidi w:val="0"/>
              <w:spacing w:before="0" w:after="0"/>
              <w:ind w:left="0" w:right="0" w:hanging="0"/>
              <w:jc w:val="right"/>
              <w:rPr/>
            </w:pPr>
            <w:r>
              <w:rPr/>
              <w:t>​</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429" w:type="dxa"/>
            <w:tcBorders/>
            <w:vAlign w:val="center"/>
          </w:tcPr>
          <w:p>
            <w:pPr>
              <w:pStyle w:val="TableContents"/>
              <w:bidi w:val="0"/>
              <w:spacing w:before="0" w:after="0"/>
              <w:ind w:left="0" w:right="0" w:hanging="0"/>
              <w:jc w:val="center"/>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9,055</w:t>
            </w:r>
          </w:p>
        </w:tc>
        <w:tc>
          <w:tcPr>
            <w:tcW w:w="475" w:type="dxa"/>
            <w:tcBorders/>
            <w:vAlign w:val="center"/>
          </w:tcPr>
          <w:p>
            <w:pPr>
              <w:pStyle w:val="TableContents"/>
              <w:bidi w:val="0"/>
              <w:spacing w:before="0" w:after="0"/>
              <w:ind w:left="0" w:right="0" w:hanging="0"/>
              <w:jc w:val="left"/>
              <w:rPr/>
            </w:pPr>
            <w:r>
              <w:rPr/>
              <w:t>​</w:t>
            </w:r>
          </w:p>
        </w:tc>
        <w:tc>
          <w:tcPr>
            <w:tcW w:w="143"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461" w:type="dxa"/>
            <w:tcBorders/>
            <w:vAlign w:val="center"/>
          </w:tcPr>
          <w:p>
            <w:pPr>
              <w:pStyle w:val="TableContents"/>
              <w:bidi w:val="0"/>
              <w:spacing w:before="0" w:after="0"/>
              <w:ind w:left="0" w:right="0" w:hanging="0"/>
              <w:jc w:val="right"/>
              <w:rPr/>
            </w:pPr>
            <w:r>
              <w:rPr/>
              <w:t>​</w:t>
            </w:r>
          </w:p>
        </w:tc>
        <w:tc>
          <w:tcPr>
            <w:tcW w:w="143" w:type="dxa"/>
            <w:tcBorders/>
            <w:vAlign w:val="center"/>
          </w:tcPr>
          <w:p>
            <w:pPr>
              <w:pStyle w:val="TableContents"/>
              <w:bidi w:val="0"/>
              <w:spacing w:before="0" w:after="0"/>
              <w:ind w:left="0" w:right="0" w:hanging="0"/>
              <w:jc w:val="righ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(22,744)</w:t>
            </w:r>
          </w:p>
        </w:tc>
        <w:tc>
          <w:tcPr>
            <w:tcW w:w="475"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(20,235)</w:t>
            </w:r>
          </w:p>
        </w:tc>
        <w:tc>
          <w:tcPr>
            <w:tcW w:w="531" w:type="dxa"/>
            <w:tcBorders/>
            <w:vAlign w:val="center"/>
          </w:tcPr>
          <w:p>
            <w:pPr>
              <w:pStyle w:val="TableContents"/>
              <w:bidi w:val="0"/>
              <w:spacing w:before="0" w:after="0"/>
              <w:ind w:left="0" w:right="0" w:hanging="0"/>
              <w:jc w:val="right"/>
              <w:rPr/>
            </w:pPr>
            <w:r>
              <w:rPr/>
              <w:t>​</w:t>
            </w:r>
          </w:p>
        </w:tc>
      </w:tr>
      <w:tr>
        <w:trPr/>
        <w:tc>
          <w:tcPr>
            <w:tcW w:w="2300" w:type="dxa"/>
            <w:tcBorders/>
            <w:shd w:fill="CCEEFF" w:val="clear"/>
            <w:vAlign w:val="center"/>
          </w:tcPr>
          <w:p>
            <w:pPr>
              <w:pStyle w:val="TableContents"/>
              <w:bidi w:val="0"/>
              <w:spacing w:before="0" w:after="0"/>
              <w:ind w:left="0" w:right="0" w:hanging="0"/>
              <w:jc w:val="left"/>
              <w:rPr/>
            </w:pPr>
            <w:r>
              <w:rPr/>
              <w:t>​</w:t>
            </w:r>
          </w:p>
        </w:tc>
        <w:tc>
          <w:tcPr>
            <w:tcW w:w="429"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35"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left"/>
              <w:rPr/>
            </w:pPr>
            <w:r>
              <w:rPr/>
              <w:t>​</w:t>
            </w:r>
          </w:p>
        </w:tc>
        <w:tc>
          <w:tcPr>
            <w:tcW w:w="143"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35" w:type="dxa"/>
            <w:tcBorders/>
            <w:shd w:fill="CCEEFF" w:val="clear"/>
            <w:vAlign w:val="center"/>
          </w:tcPr>
          <w:p>
            <w:pPr>
              <w:pStyle w:val="TableContents"/>
              <w:bidi w:val="0"/>
              <w:spacing w:before="0" w:after="0"/>
              <w:ind w:left="0" w:right="0" w:hanging="0"/>
              <w:jc w:val="righ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143" w:type="dxa"/>
            <w:tcBorders/>
            <w:shd w:fill="CCEEFF" w:val="clear"/>
            <w:vAlign w:val="center"/>
          </w:tcPr>
          <w:p>
            <w:pPr>
              <w:pStyle w:val="TableContents"/>
              <w:bidi w:val="0"/>
              <w:spacing w:before="0" w:after="0"/>
              <w:ind w:left="0" w:right="0" w:hanging="0"/>
              <w:jc w:val="righ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35"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35" w:type="dxa"/>
            <w:tcBorders/>
            <w:shd w:fill="CCEEFF" w:val="clear"/>
            <w:vAlign w:val="center"/>
          </w:tcPr>
          <w:p>
            <w:pPr>
              <w:pStyle w:val="TableContents"/>
              <w:bidi w:val="0"/>
              <w:spacing w:before="0" w:after="0"/>
              <w:ind w:left="0" w:right="0" w:hanging="0"/>
              <w:jc w:val="right"/>
              <w:rPr/>
            </w:pPr>
            <w:r>
              <w:rPr/>
              <w:t>​</w:t>
            </w:r>
          </w:p>
        </w:tc>
        <w:tc>
          <w:tcPr>
            <w:tcW w:w="531" w:type="dxa"/>
            <w:tcBorders/>
            <w:shd w:fill="CCEEFF" w:val="clear"/>
            <w:vAlign w:val="center"/>
          </w:tcPr>
          <w:p>
            <w:pPr>
              <w:pStyle w:val="TableContents"/>
              <w:bidi w:val="0"/>
              <w:spacing w:before="0" w:after="0"/>
              <w:ind w:left="0" w:right="0" w:hanging="0"/>
              <w:jc w:val="right"/>
              <w:rPr/>
            </w:pPr>
            <w:r>
              <w:rPr/>
              <w:t>​</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429"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w:t>
            </w:r>
          </w:p>
        </w:tc>
        <w:tc>
          <w:tcPr>
            <w:tcW w:w="143"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461" w:type="dxa"/>
            <w:tcBorders/>
            <w:vAlign w:val="center"/>
          </w:tcPr>
          <w:p>
            <w:pPr>
              <w:pStyle w:val="TableContents"/>
              <w:bidi w:val="0"/>
              <w:spacing w:before="0" w:after="0"/>
              <w:ind w:left="0" w:right="0" w:hanging="0"/>
              <w:jc w:val="right"/>
              <w:rPr/>
            </w:pPr>
            <w:r>
              <w:rPr/>
              <w:t>​</w:t>
            </w:r>
          </w:p>
        </w:tc>
        <w:tc>
          <w:tcPr>
            <w:tcW w:w="143"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531" w:type="dxa"/>
            <w:tcBorders/>
            <w:vAlign w:val="center"/>
          </w:tcPr>
          <w:p>
            <w:pPr>
              <w:pStyle w:val="TableContents"/>
              <w:bidi w:val="0"/>
              <w:spacing w:before="0" w:after="0"/>
              <w:ind w:left="0" w:right="0" w:hanging="0"/>
              <w:jc w:val="right"/>
              <w:rPr/>
            </w:pPr>
            <w:r>
              <w:rPr/>
              <w:t>​</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429" w:type="dxa"/>
            <w:tcBorders/>
            <w:shd w:fill="CCEEFF" w:val="clear"/>
            <w:vAlign w:val="center"/>
          </w:tcPr>
          <w:p>
            <w:pPr>
              <w:pStyle w:val="TableContents"/>
              <w:bidi w:val="0"/>
              <w:spacing w:before="0" w:after="0"/>
              <w:ind w:left="0" w:right="0" w:hanging="0"/>
              <w:jc w:val="center"/>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145,027</w:t>
            </w:r>
          </w:p>
        </w:tc>
        <w:tc>
          <w:tcPr>
            <w:tcW w:w="475" w:type="dxa"/>
            <w:tcBorders/>
            <w:shd w:fill="CCEEFF" w:val="clear"/>
            <w:vAlign w:val="center"/>
          </w:tcPr>
          <w:p>
            <w:pPr>
              <w:pStyle w:val="TableContents"/>
              <w:bidi w:val="0"/>
              <w:spacing w:before="0" w:after="0"/>
              <w:ind w:left="0" w:right="0" w:hanging="0"/>
              <w:jc w:val="left"/>
              <w:rPr/>
            </w:pPr>
            <w:r>
              <w:rPr/>
              <w:t>​</w:t>
            </w:r>
          </w:p>
        </w:tc>
        <w:tc>
          <w:tcPr>
            <w:tcW w:w="143"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126,238</w:t>
            </w:r>
          </w:p>
        </w:tc>
        <w:tc>
          <w:tcPr>
            <w:tcW w:w="461" w:type="dxa"/>
            <w:tcBorders/>
            <w:shd w:fill="CCEEFF" w:val="clear"/>
            <w:vAlign w:val="center"/>
          </w:tcPr>
          <w:p>
            <w:pPr>
              <w:pStyle w:val="TableContents"/>
              <w:bidi w:val="0"/>
              <w:spacing w:before="0" w:after="0"/>
              <w:ind w:left="0" w:right="0" w:hanging="0"/>
              <w:jc w:val="right"/>
              <w:rPr/>
            </w:pPr>
            <w:r>
              <w:rPr/>
              <w:t>​</w:t>
            </w:r>
          </w:p>
        </w:tc>
        <w:tc>
          <w:tcPr>
            <w:tcW w:w="143" w:type="dxa"/>
            <w:tcBorders/>
            <w:shd w:fill="CCEEFF" w:val="clear"/>
            <w:vAlign w:val="center"/>
          </w:tcPr>
          <w:p>
            <w:pPr>
              <w:pStyle w:val="TableContents"/>
              <w:bidi w:val="0"/>
              <w:spacing w:before="0" w:after="0"/>
              <w:ind w:left="0" w:right="0" w:hanging="0"/>
              <w:jc w:val="righ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417,473</w:t>
            </w:r>
          </w:p>
        </w:tc>
        <w:tc>
          <w:tcPr>
            <w:tcW w:w="475"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360,498</w:t>
            </w:r>
          </w:p>
        </w:tc>
        <w:tc>
          <w:tcPr>
            <w:tcW w:w="531" w:type="dxa"/>
            <w:tcBorders/>
            <w:shd w:fill="CCEEFF" w:val="clear"/>
            <w:vAlign w:val="center"/>
          </w:tcPr>
          <w:p>
            <w:pPr>
              <w:pStyle w:val="TableContents"/>
              <w:bidi w:val="0"/>
              <w:spacing w:before="0" w:after="0"/>
              <w:ind w:left="0" w:right="0" w:hanging="0"/>
              <w:jc w:val="right"/>
              <w:rPr/>
            </w:pPr>
            <w:r>
              <w:rPr/>
              <w:t>​</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429" w:type="dxa"/>
            <w:tcBorders/>
            <w:vAlign w:val="center"/>
          </w:tcPr>
          <w:p>
            <w:pPr>
              <w:pStyle w:val="TableContents"/>
              <w:bidi w:val="0"/>
              <w:spacing w:before="0" w:after="0"/>
              <w:ind w:left="0" w:right="0" w:hanging="0"/>
              <w:jc w:val="center"/>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3"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43" w:type="dxa"/>
            <w:tcBorders/>
            <w:vAlign w:val="center"/>
          </w:tcPr>
          <w:p>
            <w:pPr>
              <w:pStyle w:val="TableContents"/>
              <w:bidi w:val="0"/>
              <w:spacing w:before="0" w:after="0"/>
              <w:ind w:left="0" w:right="0" w:hanging="0"/>
              <w:jc w:val="righ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00"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w:t>
            </w:r>
          </w:p>
        </w:tc>
        <w:tc>
          <w:tcPr>
            <w:tcW w:w="143"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461" w:type="dxa"/>
            <w:tcBorders/>
            <w:vAlign w:val="center"/>
          </w:tcPr>
          <w:p>
            <w:pPr>
              <w:pStyle w:val="TableContents"/>
              <w:bidi w:val="0"/>
              <w:spacing w:before="0" w:after="0"/>
              <w:ind w:left="0" w:right="0" w:hanging="0"/>
              <w:jc w:val="right"/>
              <w:rPr/>
            </w:pPr>
            <w:r>
              <w:rPr/>
              <w:t>​</w:t>
            </w:r>
          </w:p>
        </w:tc>
        <w:tc>
          <w:tcPr>
            <w:tcW w:w="143"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531" w:type="dxa"/>
            <w:tcBorders/>
            <w:vAlign w:val="center"/>
          </w:tcPr>
          <w:p>
            <w:pPr>
              <w:pStyle w:val="TableContents"/>
              <w:bidi w:val="0"/>
              <w:spacing w:before="0" w:after="0"/>
              <w:ind w:left="0" w:right="0" w:hanging="0"/>
              <w:jc w:val="right"/>
              <w:rPr/>
            </w:pPr>
            <w:r>
              <w:rPr/>
              <w:t>​</w:t>
            </w:r>
          </w:p>
        </w:tc>
      </w:tr>
      <w:tr>
        <w:trPr/>
        <w:tc>
          <w:tcPr>
            <w:tcW w:w="10205" w:type="dxa"/>
            <w:gridSpan w:val="16"/>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(A) </w:t>
            </w:r>
            <w:r>
              <w:rPr>
                <w:rFonts w:ascii="Times New Roman;Times;serif" w:hAnsi="Times New Roman;Times;serif"/>
                <w:sz w:val="18"/>
              </w:rPr>
              <w:t>Cash provided by operating activities and property and equipment additions for the three and nine months ended September 30, 2022 reflect immaterial error corrections of $3,439 and $9,427, respectively, related to the reclassification of capitalized cloud computing implementation costs from property and equipment additions to other changes in operating assets and liabilities. For more information refer to Note 1, “Summary of Significant Accounting Policies” to the condensed consolidated financial statements included in this Quarterly Report on Form 10-Q.</w:t>
            </w:r>
          </w:p>
        </w:tc>
      </w:tr>
      <w:tr>
        <w:trPr/>
        <w:tc>
          <w:tcPr>
            <w:tcW w:w="10205" w:type="dxa"/>
            <w:gridSpan w:val="16"/>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(B) </w:t>
            </w:r>
            <w:r>
              <w:rPr>
                <w:rFonts w:ascii="Times New Roman;Times;serif" w:hAnsi="Times New Roman;Times;serif"/>
                <w:sz w:val="18"/>
              </w:rPr>
              <w:t>Cash provided by operating activities and property and equipment additions for the nine months ended September 30, 2023 reflect immaterial error corrections of $3,264, related to the reclassification of capitalized cloud computing implementation costs for the three months ended March 31, 2023 from property and equipment additions to prepaid expenses and other current assets and other changes in operating assets and liabilities. For more information refer to Note 1, “Summary of Significant Accounting Policies” to the condensed consolidated financial statements included in this Quarterly Report on Form 10-Q.</w:t>
            </w:r>
          </w:p>
        </w:tc>
      </w:tr>
      <w:tr>
        <w:trPr/>
        <w:tc>
          <w:tcPr>
            <w:tcW w:w="2300"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w:t>
            </w:r>
          </w:p>
        </w:tc>
        <w:tc>
          <w:tcPr>
            <w:tcW w:w="143"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461" w:type="dxa"/>
            <w:tcBorders/>
            <w:vAlign w:val="center"/>
          </w:tcPr>
          <w:p>
            <w:pPr>
              <w:pStyle w:val="TableContents"/>
              <w:bidi w:val="0"/>
              <w:spacing w:before="0" w:after="0"/>
              <w:ind w:left="0" w:right="0" w:hanging="0"/>
              <w:jc w:val="right"/>
              <w:rPr/>
            </w:pPr>
            <w:r>
              <w:rPr/>
              <w:t>​</w:t>
            </w:r>
          </w:p>
        </w:tc>
        <w:tc>
          <w:tcPr>
            <w:tcW w:w="143"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531" w:type="dxa"/>
            <w:tcBorders/>
            <w:vAlign w:val="center"/>
          </w:tcPr>
          <w:p>
            <w:pPr>
              <w:pStyle w:val="TableContents"/>
              <w:bidi w:val="0"/>
              <w:spacing w:before="0" w:after="0"/>
              <w:ind w:left="0" w:right="0" w:hanging="0"/>
              <w:jc w:val="right"/>
              <w:rPr/>
            </w:pPr>
            <w:r>
              <w:rPr/>
              <w: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increased by $10.1 million for the three months ended September 30, 2023, as compared to the same period in 2022. This increase was primarily driven by an increase in net cash provided by operating activities of $12.6 million partly offset by an increase in internal-use software development spend reflected in property and equipment of $1.8 million. Free cash flow margin increased to 6.2% for the three months ended September 30, 2023, compared to (0.8)% for the same period in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decreased by $2.5 million for the nine months ended September 30, 2023, as compared to the same period in 2022. This decrease was driven by an increase of $3.8 million in investments in capitalized software in support of our commercial cloud-based customer solutions as well as an increase in internal-use software development spend reflected in property and equipment of $1.8 million, partly offset by an increase in net cash provided by operating activities of $3.1 million. Free cash flow margin increased to (5.4)% for the nine months ended September 30, 2023, compared to (5.6)% for the same period in 2022.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and Reconciliation of 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Additional 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Adjusted EBITDA, Adjusted EBITDA margin, free cash flow, and free cash flow margin calculated and discussed in “Key Business Metrics,” the following additional non-GAAP financial measures are calculated and presented further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services is determined by adding back to GAAP cost of revenues, services, the stock-based compensation expense included in cost of revenues, services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 is determined by dividing non-GAAP gross profit by total revenues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research and development expense is determined by adding back to GAAP research and development expense the stock-based compensation expense included in research and development expense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selling and marketing expense is determined by adding back to GAAP selling and marketing expense the stock-based compensation expense and the amortization of acquired intangible assets included in selling and marketing expense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litigation settlements, and transaction costs (which includes offering costs related to the sale of shares of certain of our Class B shareholders which are not representative of normal business operations), included in GAAP loss or income from operations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is determined by adding back to GAAP net loss or income the income tax benefit or expense,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litigation settlements, and transaction costs (which includes offering costs related to the sale of shares of certain of our Class B shareholders which are not representative of normal business operations), included in GAAP net loss or income for the respective periods to determine non-GAAP loss or income before income taxes. Non-GAAP loss or income before income taxes is then adjusted for income taxes calculated using the respective statutory tax rates for applicable jurisdictions, which for purposes of this determination were assumed to be 25.5%.</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encourage investors and others to review our financial information in its entirety, not to rely on any single financial measure and to view these non-GAAP financial measures in conjunction with the related GAAP financial measures.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following schedules reflect our additional non-GAAP financial measures and reconciles our additional non-GAAP financial measures to the related GAAP financial measures.</w:t>
      </w:r>
    </w:p>
    <w:p>
      <w:pPr>
        <w:pStyle w:val="TextBody"/>
        <w:bidi w:val="0"/>
        <w:spacing w:before="0" w:after="0"/>
        <w:ind w:left="0" w:right="0" w:hanging="0"/>
        <w:jc w:val="both"/>
        <w:rPr/>
      </w:pPr>
      <w:r>
        <w:rPr/>
        <w:t>​</w:t>
      </w:r>
    </w:p>
    <w:tbl>
      <w:tblPr>
        <w:tblW w:w="9774" w:type="dxa"/>
        <w:jc w:val="left"/>
        <w:tblInd w:w="0" w:type="dxa"/>
        <w:tblLayout w:type="fixed"/>
        <w:tblCellMar>
          <w:top w:w="0" w:type="dxa"/>
          <w:left w:w="0" w:type="dxa"/>
          <w:bottom w:w="0" w:type="dxa"/>
          <w:right w:w="0" w:type="dxa"/>
        </w:tblCellMar>
      </w:tblPr>
      <w:tblGrid>
        <w:gridCol w:w="4276"/>
        <w:gridCol w:w="326"/>
        <w:gridCol w:w="211"/>
        <w:gridCol w:w="781"/>
        <w:gridCol w:w="361"/>
        <w:gridCol w:w="211"/>
        <w:gridCol w:w="676"/>
        <w:gridCol w:w="271"/>
        <w:gridCol w:w="211"/>
        <w:gridCol w:w="781"/>
        <w:gridCol w:w="361"/>
        <w:gridCol w:w="211"/>
        <w:gridCol w:w="781"/>
        <w:gridCol w:w="31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715260" cy="175260"/>
                      <wp:effectExtent l="0" t="0" r="0" b="0"/>
                      <wp:wrapNone/>
                      <wp:docPr id="717" name="Frame717"/>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07010" cy="175260"/>
                      <wp:effectExtent l="0" t="0" r="0" b="0"/>
                      <wp:wrapNone/>
                      <wp:docPr id="718" name="Frame7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133985" cy="175260"/>
                      <wp:effectExtent l="0" t="0" r="0" b="0"/>
                      <wp:wrapNone/>
                      <wp:docPr id="719" name="Frame7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495935" cy="175260"/>
                      <wp:effectExtent l="0" t="0" r="0" b="0"/>
                      <wp:wrapNone/>
                      <wp:docPr id="720" name="Frame7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29235" cy="175260"/>
                      <wp:effectExtent l="0" t="0" r="0" b="0"/>
                      <wp:wrapNone/>
                      <wp:docPr id="721" name="Frame7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133985" cy="175260"/>
                      <wp:effectExtent l="0" t="0" r="0" b="0"/>
                      <wp:wrapNone/>
                      <wp:docPr id="722" name="Frame7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429260" cy="175260"/>
                      <wp:effectExtent l="0" t="0" r="0" b="0"/>
                      <wp:wrapNone/>
                      <wp:docPr id="723" name="Frame7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172085" cy="175260"/>
                      <wp:effectExtent l="0" t="0" r="0" b="0"/>
                      <wp:wrapNone/>
                      <wp:docPr id="724" name="Frame72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133985" cy="175260"/>
                      <wp:effectExtent l="0" t="0" r="0" b="0"/>
                      <wp:wrapNone/>
                      <wp:docPr id="725" name="Frame7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495935" cy="175260"/>
                      <wp:effectExtent l="0" t="0" r="0" b="0"/>
                      <wp:wrapNone/>
                      <wp:docPr id="726" name="Frame7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29235" cy="175260"/>
                      <wp:effectExtent l="0" t="0" r="0" b="0"/>
                      <wp:wrapNone/>
                      <wp:docPr id="727" name="Frame72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133985" cy="175260"/>
                      <wp:effectExtent l="0" t="0" r="0" b="0"/>
                      <wp:wrapNone/>
                      <wp:docPr id="728" name="Frame7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495935" cy="175260"/>
                      <wp:effectExtent l="0" t="0" r="0" b="0"/>
                      <wp:wrapNone/>
                      <wp:docPr id="729" name="Frame7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00660" cy="175260"/>
                      <wp:effectExtent l="0" t="0" r="0" b="0"/>
                      <wp:wrapNone/>
                      <wp:docPr id="730" name="Frame73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71"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16"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271" w:type="dxa"/>
            <w:tcBorders/>
            <w:vAlign w:val="center"/>
          </w:tcPr>
          <w:p>
            <w:pPr>
              <w:pStyle w:val="TableContents"/>
              <w:bidi w:val="0"/>
              <w:spacing w:before="0" w:after="0"/>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16"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 </w:t>
            </w:r>
          </w:p>
        </w:tc>
      </w:tr>
      <w:tr>
        <w:trPr/>
        <w:tc>
          <w:tcPr>
            <w:tcW w:w="9774"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software subscriptions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26,298</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24,959</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75,681</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13,646</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36,838</w:t>
            </w:r>
          </w:p>
        </w:tc>
        <w:tc>
          <w:tcPr>
            <w:tcW w:w="31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103,365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87,633</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297,723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252,587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research and development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9,770</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selling and marketing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27,876</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94,845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82,066</w:t>
            </w:r>
          </w:p>
        </w:tc>
        <w:tc>
          <w:tcPr>
            <w:tcW w:w="31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30,954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29,335</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93,499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83,859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17,784</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57,407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48,522</w:t>
            </w:r>
          </w:p>
        </w:tc>
        <w:tc>
          <w:tcPr>
            <w:tcW w:w="31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12,980</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42,662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35,345</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olor w:val="FF0000"/>
          <w:shd w:fill="FFFF00" w:val="clear"/>
        </w:rPr>
      </w:pPr>
      <w:r>
        <w:rPr>
          <w:color w:val="FF0000"/>
          <w:shd w:fill="FFFF00" w:val="clea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54"/>
        <w:gridCol w:w="211"/>
        <w:gridCol w:w="708"/>
        <w:gridCol w:w="361"/>
        <w:gridCol w:w="211"/>
        <w:gridCol w:w="708"/>
        <w:gridCol w:w="271"/>
        <w:gridCol w:w="211"/>
        <w:gridCol w:w="708"/>
        <w:gridCol w:w="326"/>
        <w:gridCol w:w="211"/>
        <w:gridCol w:w="708"/>
        <w:gridCol w:w="317"/>
      </w:tblGrid>
      <w:tr>
        <w:trPr/>
        <w:tc>
          <w:tcPr>
            <w:tcW w:w="5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3336290" cy="175260"/>
                      <wp:effectExtent l="0" t="0" r="0" b="0"/>
                      <wp:wrapNone/>
                      <wp:docPr id="731" name="Frame731"/>
                      <a:graphic xmlns:a="http://schemas.openxmlformats.org/drawingml/2006/main">
                        <a:graphicData uri="http://schemas.microsoft.com/office/word/2010/wordprocessingShape">
                          <wps:wsp>
                            <wps:cNvSpPr txBox="1"/>
                            <wps:spPr>
                              <a:xfrm>
                                <a:off x="0" y="0"/>
                                <a:ext cx="3336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133985" cy="175260"/>
                      <wp:effectExtent l="0" t="0" r="0" b="0"/>
                      <wp:wrapNone/>
                      <wp:docPr id="732" name="Frame7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449580" cy="175260"/>
                      <wp:effectExtent l="0" t="0" r="0" b="0"/>
                      <wp:wrapNone/>
                      <wp:docPr id="733" name="Frame733"/>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29235" cy="175260"/>
                      <wp:effectExtent l="0" t="0" r="0" b="0"/>
                      <wp:wrapNone/>
                      <wp:docPr id="734" name="Frame7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133985" cy="175260"/>
                      <wp:effectExtent l="0" t="0" r="0" b="0"/>
                      <wp:wrapNone/>
                      <wp:docPr id="735" name="Frame7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449580" cy="175260"/>
                      <wp:effectExtent l="0" t="0" r="0" b="0"/>
                      <wp:wrapNone/>
                      <wp:docPr id="736" name="Frame736"/>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72085" cy="175260"/>
                      <wp:effectExtent l="0" t="0" r="0" b="0"/>
                      <wp:wrapNone/>
                      <wp:docPr id="737" name="Frame73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133985" cy="175260"/>
                      <wp:effectExtent l="0" t="0" r="0" b="0"/>
                      <wp:wrapNone/>
                      <wp:docPr id="738" name="Frame7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449580" cy="175260"/>
                      <wp:effectExtent l="0" t="0" r="0" b="0"/>
                      <wp:wrapNone/>
                      <wp:docPr id="739" name="Frame73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207010" cy="175260"/>
                      <wp:effectExtent l="0" t="0" r="0" b="0"/>
                      <wp:wrapNone/>
                      <wp:docPr id="740" name="Frame7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133985" cy="175260"/>
                      <wp:effectExtent l="0" t="0" r="0" b="0"/>
                      <wp:wrapNone/>
                      <wp:docPr id="741" name="Frame7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449580" cy="175260"/>
                      <wp:effectExtent l="0" t="0" r="0" b="0"/>
                      <wp:wrapNone/>
                      <wp:docPr id="742" name="Frame742"/>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201295" cy="175260"/>
                      <wp:effectExtent l="0" t="0" r="0" b="0"/>
                      <wp:wrapNone/>
                      <wp:docPr id="743" name="Frame743"/>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4" w:type="dxa"/>
            <w:tcBorders/>
            <w:vAlign w:val="center"/>
          </w:tcPr>
          <w:p>
            <w:pPr>
              <w:pStyle w:val="TableContents"/>
              <w:bidi w:val="0"/>
              <w:spacing w:before="0" w:after="0"/>
              <w:ind w:left="0" w:right="0" w:hanging="0"/>
              <w:jc w:val="left"/>
              <w:rPr/>
            </w:pPr>
            <w:r>
              <w:rPr/>
              <w:t>​</w:t>
            </w:r>
          </w:p>
        </w:tc>
        <w:tc>
          <w:tcPr>
            <w:tcW w:w="219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71" w:type="dxa"/>
            <w:tcBorders/>
            <w:vAlign w:val="center"/>
          </w:tcPr>
          <w:p>
            <w:pPr>
              <w:pStyle w:val="TableContents"/>
              <w:bidi w:val="0"/>
              <w:spacing w:before="0" w:after="0"/>
              <w:ind w:left="0" w:right="0" w:hanging="0"/>
              <w:jc w:val="center"/>
              <w:rPr/>
            </w:pPr>
            <w:r>
              <w:rPr/>
              <w:t> </w:t>
            </w:r>
          </w:p>
        </w:tc>
        <w:tc>
          <w:tcPr>
            <w:tcW w:w="216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17" w:type="dxa"/>
            <w:tcBorders/>
            <w:vAlign w:val="center"/>
          </w:tcPr>
          <w:p>
            <w:pPr>
              <w:pStyle w:val="TableContents"/>
              <w:bidi w:val="0"/>
              <w:spacing w:before="0" w:after="0"/>
              <w:ind w:left="0" w:right="0" w:hanging="0"/>
              <w:jc w:val="center"/>
              <w:rPr/>
            </w:pPr>
            <w:r>
              <w:rPr/>
              <w:t>​</w:t>
            </w:r>
          </w:p>
        </w:tc>
      </w:tr>
      <w:tr>
        <w:trPr/>
        <w:tc>
          <w:tcPr>
            <w:tcW w:w="5254" w:type="dxa"/>
            <w:tcBorders/>
            <w:vAlign w:val="center"/>
          </w:tcPr>
          <w:p>
            <w:pPr>
              <w:pStyle w:val="TableContents"/>
              <w:bidi w:val="0"/>
              <w:spacing w:before="0" w:after="0"/>
              <w:ind w:left="0" w:right="0" w:hanging="0"/>
              <w:jc w:val="left"/>
              <w:rPr/>
            </w:pPr>
            <w:r>
              <w:rPr/>
              <w:t>​</w:t>
            </w:r>
          </w:p>
        </w:tc>
        <w:tc>
          <w:tcPr>
            <w:tcW w:w="21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271" w:type="dxa"/>
            <w:tcBorders/>
            <w:vAlign w:val="center"/>
          </w:tcPr>
          <w:p>
            <w:pPr>
              <w:pStyle w:val="TableContents"/>
              <w:bidi w:val="0"/>
              <w:spacing w:before="0" w:after="0"/>
              <w:ind w:left="0" w:right="0" w:hanging="0"/>
              <w:jc w:val="center"/>
              <w:rPr/>
            </w:pPr>
            <w:r>
              <w:rPr/>
              <w:t> </w:t>
            </w:r>
          </w:p>
        </w:tc>
        <w:tc>
          <w:tcPr>
            <w:tcW w:w="21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17" w:type="dxa"/>
            <w:tcBorders/>
            <w:vAlign w:val="center"/>
          </w:tcPr>
          <w:p>
            <w:pPr>
              <w:pStyle w:val="TableContents"/>
              <w:bidi w:val="0"/>
              <w:spacing w:before="0" w:after="0"/>
              <w:ind w:left="0" w:right="0" w:hanging="0"/>
              <w:jc w:val="center"/>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61" w:type="dxa"/>
            <w:tcBorders/>
            <w:vAlign w:val="center"/>
          </w:tcPr>
          <w:p>
            <w:pPr>
              <w:pStyle w:val="TableContents"/>
              <w:bidi w:val="0"/>
              <w:spacing w:before="0" w:after="0"/>
              <w:ind w:left="0" w:right="0" w:hanging="0"/>
              <w:jc w:val="left"/>
              <w:rPr/>
            </w:pPr>
            <w:r>
              <w:rPr/>
              <w:t>​</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271" w:type="dxa"/>
            <w:tcBorders/>
            <w:vAlign w:val="center"/>
          </w:tcPr>
          <w:p>
            <w:pPr>
              <w:pStyle w:val="TableContents"/>
              <w:bidi w:val="0"/>
              <w:spacing w:before="0" w:after="0"/>
              <w:ind w:left="0" w:right="0" w:hanging="0"/>
              <w:jc w:val="center"/>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26" w:type="dxa"/>
            <w:tcBorders/>
            <w:vAlign w:val="center"/>
          </w:tcPr>
          <w:p>
            <w:pPr>
              <w:pStyle w:val="TableContents"/>
              <w:bidi w:val="0"/>
              <w:spacing w:before="0" w:after="0"/>
              <w:ind w:left="0" w:right="0" w:hanging="0"/>
              <w:jc w:val="left"/>
              <w:rPr/>
            </w:pPr>
            <w:r>
              <w:rPr/>
              <w:t>​</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317" w:type="dxa"/>
            <w:tcBorders/>
            <w:vAlign w:val="center"/>
          </w:tcPr>
          <w:p>
            <w:pPr>
              <w:pStyle w:val="TableContents"/>
              <w:bidi w:val="0"/>
              <w:spacing w:before="0" w:after="0"/>
              <w:ind w:left="0" w:right="0" w:hanging="0"/>
              <w:jc w:val="center"/>
              <w:rPr/>
            </w:pPr>
            <w:r>
              <w:rPr/>
              <w:t>​</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254" w:type="dxa"/>
            <w:tcBorders/>
            <w:vAlign w:val="center"/>
          </w:tcPr>
          <w:p>
            <w:pPr>
              <w:pStyle w:val="TableContents"/>
              <w:bidi w:val="0"/>
              <w:spacing w:before="0" w:after="0"/>
              <w:ind w:left="0" w:right="0" w:hanging="0"/>
              <w:jc w:val="left"/>
              <w:rPr/>
            </w:pPr>
            <w:r>
              <w:rPr/>
              <w:t>​</w:t>
            </w:r>
          </w:p>
        </w:tc>
        <w:tc>
          <w:tcPr>
            <w:tcW w:w="2199" w:type="dxa"/>
            <w:gridSpan w:val="5"/>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(unaudited)</w:t>
            </w:r>
          </w:p>
        </w:tc>
        <w:tc>
          <w:tcPr>
            <w:tcW w:w="271" w:type="dxa"/>
            <w:tcBorders/>
            <w:vAlign w:val="center"/>
          </w:tcPr>
          <w:p>
            <w:pPr>
              <w:pStyle w:val="TableContents"/>
              <w:bidi w:val="0"/>
              <w:spacing w:before="0" w:after="0"/>
              <w:ind w:left="0" w:right="0" w:hanging="0"/>
              <w:jc w:val="center"/>
              <w:rPr/>
            </w:pPr>
            <w:r>
              <w:rPr/>
              <w:t>​</w:t>
            </w:r>
          </w:p>
        </w:tc>
        <w:tc>
          <w:tcPr>
            <w:tcW w:w="2164" w:type="dxa"/>
            <w:gridSpan w:val="5"/>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(unaudited)</w:t>
            </w:r>
          </w:p>
        </w:tc>
        <w:tc>
          <w:tcPr>
            <w:tcW w:w="317" w:type="dxa"/>
            <w:tcBorders/>
            <w:vAlign w:val="center"/>
          </w:tcPr>
          <w:p>
            <w:pPr>
              <w:pStyle w:val="TableContents"/>
              <w:bidi w:val="0"/>
              <w:spacing w:before="0" w:after="0"/>
              <w:ind w:left="0" w:right="0" w:hanging="0"/>
              <w:jc w:val="center"/>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revenues, software subscriptions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41,055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36,638</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116,974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105,760</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1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(1,502)</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(11,102)</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(33,185)</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26,298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24,959</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75,681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71,073</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Services:</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revenues, services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15,816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14,020</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37,893</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(1,055)</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services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15,364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13,646</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36,838</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Profit: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88,156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75,580</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254,976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216,845</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2,557</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11,102</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33,185</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profit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103,365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87,633</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297,723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252,587</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Margin:</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145,027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126,238</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417,473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360,498</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margin</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5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Research and Development Expense:</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Research and development expense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16,772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10,351</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30,294</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research and development expense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15,374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9,770</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29,101</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Selling and Marketing Expense:</w:t>
            </w:r>
          </w:p>
        </w:tc>
        <w:tc>
          <w:tcPr>
            <w:tcW w:w="21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Selling and marketing expense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33,919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30,252</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103,196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89,683</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(1,621)</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(4,594)</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(3,023)</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selling and marketing expense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30,998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27,876</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94,845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82,066</w:t>
            </w:r>
          </w:p>
        </w:tc>
        <w:tc>
          <w:tcPr>
            <w:tcW w:w="317" w:type="dxa"/>
            <w:tcBorders/>
            <w:vAlign w:val="center"/>
          </w:tcPr>
          <w:p>
            <w:pPr>
              <w:pStyle w:val="TableContents"/>
              <w:bidi w:val="0"/>
              <w:spacing w:before="0" w:after="0"/>
              <w:ind w:left="0" w:right="0" w:hanging="0"/>
              <w:jc w:val="left"/>
              <w:rPr/>
            </w:pPr>
            <w:r>
              <w:rPr/>
              <w:t>​</w:t>
            </w:r>
          </w:p>
        </w:tc>
      </w:tr>
      <w:tr>
        <w:trPr/>
        <w:tc>
          <w:tcPr>
            <w:tcW w:w="525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929"/>
        <w:gridCol w:w="238"/>
        <w:gridCol w:w="703"/>
        <w:gridCol w:w="122"/>
        <w:gridCol w:w="238"/>
        <w:gridCol w:w="703"/>
        <w:gridCol w:w="109"/>
        <w:gridCol w:w="217"/>
        <w:gridCol w:w="734"/>
        <w:gridCol w:w="112"/>
        <w:gridCol w:w="217"/>
        <w:gridCol w:w="724"/>
        <w:gridCol w:w="159"/>
      </w:tblGrid>
      <w:tr>
        <w:trPr/>
        <w:tc>
          <w:tcPr>
            <w:tcW w:w="592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pPr>
            <w:r>
              <w:rPr/>
              <w:t>​</w:t>
            </w:r>
          </w:p>
        </w:tc>
        <w:tc>
          <w:tcPr>
            <w:tcW w:w="20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0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159" w:type="dxa"/>
            <w:tcBorders/>
            <w:vAlign w:val="center"/>
          </w:tcPr>
          <w:p>
            <w:pPr>
              <w:pStyle w:val="TableContents"/>
              <w:bidi w:val="0"/>
              <w:spacing w:before="0" w:after="0"/>
              <w:ind w:left="0" w:right="0" w:hanging="0"/>
              <w:jc w:val="center"/>
              <w:rPr/>
            </w:pPr>
            <w:r>
              <w:rPr/>
              <w:t>​</w:t>
            </w:r>
          </w:p>
        </w:tc>
      </w:tr>
      <w:tr>
        <w:trPr/>
        <w:tc>
          <w:tcPr>
            <w:tcW w:w="5929" w:type="dxa"/>
            <w:tcBorders/>
            <w:vAlign w:val="center"/>
          </w:tcPr>
          <w:p>
            <w:pPr>
              <w:pStyle w:val="TableContents"/>
              <w:bidi w:val="0"/>
              <w:spacing w:before="0" w:after="0"/>
              <w:ind w:left="0" w:right="0" w:hanging="0"/>
              <w:jc w:val="left"/>
              <w:rPr/>
            </w:pPr>
            <w:r>
              <w:rPr/>
              <w:t>​</w:t>
            </w:r>
          </w:p>
        </w:tc>
        <w:tc>
          <w:tcPr>
            <w:tcW w:w="20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0"/>
              <w:ind w:left="0" w:right="0" w:hanging="0"/>
              <w:jc w:val="left"/>
              <w:rPr/>
            </w:pPr>
            <w:r>
              <w:rPr/>
              <w:t>​</w:t>
            </w:r>
          </w:p>
        </w:tc>
        <w:tc>
          <w:tcPr>
            <w:tcW w:w="20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59" w:type="dxa"/>
            <w:tcBorders/>
            <w:vAlign w:val="center"/>
          </w:tcPr>
          <w:p>
            <w:pPr>
              <w:pStyle w:val="TableContents"/>
              <w:bidi w:val="0"/>
              <w:spacing w:before="0" w:after="0"/>
              <w:ind w:left="0" w:right="0" w:hanging="0"/>
              <w:jc w:val="center"/>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122" w:type="dxa"/>
            <w:tcBorders/>
            <w:vAlign w:val="center"/>
          </w:tcPr>
          <w:p>
            <w:pPr>
              <w:pStyle w:val="TableContents"/>
              <w:bidi w:val="0"/>
              <w:spacing w:before="0" w:after="0"/>
              <w:ind w:left="0" w:right="0" w:hanging="0"/>
              <w:jc w:val="left"/>
              <w:rPr/>
            </w:pPr>
            <w:r>
              <w:rPr/>
              <w:t>​</w:t>
            </w:r>
          </w:p>
        </w:tc>
        <w:tc>
          <w:tcPr>
            <w:tcW w:w="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109" w:type="dxa"/>
            <w:tcBorders/>
            <w:vAlign w:val="center"/>
          </w:tcPr>
          <w:p>
            <w:pPr>
              <w:pStyle w:val="TableContents"/>
              <w:bidi w:val="0"/>
              <w:spacing w:before="0" w:after="0"/>
              <w:ind w:left="0" w:right="0" w:hanging="0"/>
              <w:jc w:val="left"/>
              <w:rPr/>
            </w:pPr>
            <w:r>
              <w:rPr/>
              <w:t>​</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112" w:type="dxa"/>
            <w:tcBorders/>
            <w:vAlign w:val="center"/>
          </w:tcPr>
          <w:p>
            <w:pPr>
              <w:pStyle w:val="TableContents"/>
              <w:bidi w:val="0"/>
              <w:spacing w:before="0" w:after="0"/>
              <w:ind w:left="0" w:right="0" w:hanging="0"/>
              <w:jc w:val="left"/>
              <w:rPr/>
            </w:pPr>
            <w:r>
              <w:rPr/>
              <w:t>​</w:t>
            </w:r>
          </w:p>
        </w:tc>
        <w:tc>
          <w:tcPr>
            <w:tcW w:w="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159" w:type="dxa"/>
            <w:tcBorders/>
            <w:vAlign w:val="center"/>
          </w:tcPr>
          <w:p>
            <w:pPr>
              <w:pStyle w:val="TableContents"/>
              <w:bidi w:val="0"/>
              <w:spacing w:before="0" w:after="0"/>
              <w:ind w:left="0" w:right="0" w:hanging="0"/>
              <w:jc w:val="center"/>
              <w:rPr/>
            </w:pPr>
            <w:r>
              <w:rPr/>
              <w:t>​</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929" w:type="dxa"/>
            <w:tcBorders/>
            <w:vAlign w:val="center"/>
          </w:tcPr>
          <w:p>
            <w:pPr>
              <w:pStyle w:val="TableContents"/>
              <w:bidi w:val="0"/>
              <w:spacing w:before="0" w:after="0"/>
              <w:ind w:left="0" w:right="0" w:hanging="0"/>
              <w:jc w:val="left"/>
              <w:rPr/>
            </w:pPr>
            <w:r>
              <w:rPr/>
              <w:t>​</w:t>
            </w:r>
          </w:p>
        </w:tc>
        <w:tc>
          <w:tcPr>
            <w:tcW w:w="2004" w:type="dxa"/>
            <w:gridSpan w:val="5"/>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(unaudited)</w:t>
            </w:r>
          </w:p>
        </w:tc>
        <w:tc>
          <w:tcPr>
            <w:tcW w:w="109" w:type="dxa"/>
            <w:tcBorders/>
            <w:vAlign w:val="center"/>
          </w:tcPr>
          <w:p>
            <w:pPr>
              <w:pStyle w:val="TableContents"/>
              <w:bidi w:val="0"/>
              <w:spacing w:before="0" w:after="0"/>
              <w:ind w:left="0" w:right="0" w:hanging="0"/>
              <w:jc w:val="left"/>
              <w:rPr/>
            </w:pPr>
            <w:r>
              <w:rPr/>
              <w:t>​</w:t>
            </w:r>
          </w:p>
        </w:tc>
        <w:tc>
          <w:tcPr>
            <w:tcW w:w="2004" w:type="dxa"/>
            <w:gridSpan w:val="5"/>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(unaudited)</w:t>
            </w:r>
          </w:p>
        </w:tc>
        <w:tc>
          <w:tcPr>
            <w:tcW w:w="159" w:type="dxa"/>
            <w:tcBorders/>
            <w:vAlign w:val="center"/>
          </w:tcPr>
          <w:p>
            <w:pPr>
              <w:pStyle w:val="TableContents"/>
              <w:bidi w:val="0"/>
              <w:spacing w:before="0" w:after="0"/>
              <w:ind w:left="0" w:right="0" w:hanging="0"/>
              <w:jc w:val="center"/>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General and Administrative Expense:</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General and administrative expense</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35,385</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31,679</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109,071</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90,520</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(2,869)</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(2,103)</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(11,919)</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(6,039)</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3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(2,103)</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w:t>
            </w:r>
          </w:p>
        </w:tc>
        <w:tc>
          <w:tcPr>
            <w:tcW w:w="122"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(1,550)</w:t>
            </w:r>
          </w:p>
        </w:tc>
        <w:tc>
          <w:tcPr>
            <w:tcW w:w="112"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general and administrative expense</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30,954</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29,335</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93,499</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83,859</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  </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  </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  </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from operations</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(2,018)</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(15,019)</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(4,699)</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7,772</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5,256</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26,228</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14,383</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38"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14,029</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11,102</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39,150</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33,185</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2,046</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3,023</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23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1,550</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2,103</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23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900</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1,349</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22,841</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17,784</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57,407</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48,522</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  </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  </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(3,399)</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(28,427)</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(6,995)</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784</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13,266</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1,217</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38"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7,772</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5,256</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26,228</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14,383</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14,029</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11,102</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39,150</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33,185</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3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2,046</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3,023</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1,550</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38"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2,103</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900</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1,349</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Non-GAAP income before income taxes</w:t>
            </w:r>
          </w:p>
        </w:tc>
        <w:tc>
          <w:tcPr>
            <w:tcW w:w="23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22,244</w:t>
            </w:r>
          </w:p>
        </w:tc>
        <w:tc>
          <w:tcPr>
            <w:tcW w:w="122"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17,423</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57,265</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47,443</w:t>
            </w:r>
          </w:p>
        </w:tc>
        <w:tc>
          <w:tcPr>
            <w:tcW w:w="159" w:type="dxa"/>
            <w:tcBorders/>
            <w:vAlign w:val="center"/>
          </w:tcPr>
          <w:p>
            <w:pPr>
              <w:pStyle w:val="TableContents"/>
              <w:bidi w:val="0"/>
              <w:spacing w:before="0" w:after="0"/>
              <w:ind w:left="0" w:right="0" w:hanging="0"/>
              <w:jc w:val="left"/>
              <w:rPr/>
            </w:pPr>
            <w:r>
              <w:rPr/>
              <w:t>​</w:t>
            </w:r>
          </w:p>
        </w:tc>
      </w:tr>
      <w:tr>
        <w:trPr/>
        <w:tc>
          <w:tcPr>
            <w:tcW w:w="59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adjustment at statutory rate</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(5,672)</w:t>
            </w:r>
          </w:p>
        </w:tc>
        <w:tc>
          <w:tcPr>
            <w:tcW w:w="122"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(4,443)</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(14,603)</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(12,098)</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592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16,572</w:t>
            </w:r>
          </w:p>
        </w:tc>
        <w:tc>
          <w:tcPr>
            <w:tcW w:w="122"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12,980</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42,662</w:t>
            </w:r>
          </w:p>
        </w:tc>
        <w:tc>
          <w:tcPr>
            <w:tcW w:w="112"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35,345</w:t>
            </w:r>
          </w:p>
        </w:tc>
        <w:tc>
          <w:tcPr>
            <w:tcW w:w="15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critical accounting policies that reflect our more significant judgments and estimates used in the preparation of our condensed consolidated financial statements include software development costs, business combinations, goodwill, accounting for stock-based compensation, revenue recognition, and income taxes, which are described in our 2022 Annual Report.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There have been no material updates or changes to our critical accounting estimates compared to the critical accounting estimates described in our 2022 Annual Report.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information on recent accounting pronouncements, refer to Note 1, “Summary of Significant Accounting Policies” to the condensed consolidated financial statements included in this Quarterly Report on Form 10-Q.</w:t>
      </w:r>
    </w:p>
    <w:p>
      <w:pPr>
        <w:pStyle w:val="Normal"/>
        <w:bidi w:val="0"/>
        <w:spacing w:before="0" w:after="0"/>
        <w:jc w:val="left"/>
        <w:rPr>
          <w:sz w:val="4"/>
          <w:szCs w:val="4"/>
        </w:rPr>
      </w:pPr>
      <w:r>
        <w:rPr>
          <w:sz w:val="4"/>
          <w:szCs w:val="4"/>
        </w:rPr>
      </w:r>
      <w:bookmarkStart w:id="2175" w:name="Item3QUANTITATIVEANDQUALITATIVE_86752"/>
      <w:bookmarkStart w:id="2176" w:name="_9f3b96bd_1140_4777_9fb4_a22c17be48fe"/>
      <w:bookmarkStart w:id="2177" w:name="Item3QUANTITATIVEANDQUALITATIVE_86752"/>
      <w:bookmarkStart w:id="2178" w:name="_9f3b96bd_1140_4777_9fb4_a22c17be48fe"/>
      <w:bookmarkEnd w:id="2177"/>
      <w:bookmarkEnd w:id="2178"/>
    </w:p>
    <w:tbl>
      <w:tblPr>
        <w:tblW w:w="7802" w:type="dxa"/>
        <w:jc w:val="left"/>
        <w:tblInd w:w="0" w:type="dxa"/>
        <w:tblLayout w:type="fixed"/>
        <w:tblCellMar>
          <w:top w:w="0" w:type="dxa"/>
          <w:left w:w="0" w:type="dxa"/>
          <w:bottom w:w="0" w:type="dxa"/>
          <w:right w:w="0" w:type="dxa"/>
        </w:tblCellMar>
      </w:tblPr>
      <w:tblGrid>
        <w:gridCol w:w="706"/>
        <w:gridCol w:w="7096"/>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7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had unrestricted cash and cash equivalents of $49.5 million and $91.8 million as of September 30, 2023 and December 31, 2022, respectively, and investments of $8.3 million and $11.2 million as of September 30, 2023 and December 31, 2022, respectively. 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risk related to changes in interest rates on our outstanding borrowings. Borrowings under the Second Amendment to the Credit Agreement bear interest at rates that are variable. Increases in the bank prime or SOFR rates would increase the interest rate on any future outstanding borrowings. Any debt we incur in the future may also bear interest at variable rates. For each 100 basis point increase in the bank prime or SOFR rates, this would be expected to result in a projected increase in interest expense of $0.5</w:t>
      </w:r>
      <w:r>
        <w:rPr>
          <w:rFonts w:ascii="Times New Roman;Times;serif" w:hAnsi="Times New Roman;Times;serif"/>
          <w:color w:val="FF0000"/>
          <w:sz w:val="20"/>
        </w:rPr>
        <w:t xml:space="preserve"> </w:t>
      </w:r>
      <w:r>
        <w:rPr>
          <w:rFonts w:ascii="Times New Roman;Times;serif" w:hAnsi="Times New Roman;Times;serif"/>
          <w:sz w:val="20"/>
        </w:rPr>
        <w:t>million annually.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Foreign Currency Exchange Risk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nine months ended September 30, 2023 and 2022, approximately 4% and 4%, respectively, of our revenues were denominated in currencies other than U.S. dollars.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 liabilities associated with this acquisition are expected to increase our exposure to fluctuations of the Brazilian Real over time. At September 30, 2023, outstanding foreign currency forward contracts hedge approximately 67% of our exposure to adverse fluctuations in the Brazilian Real associated with these future purchase commitment liabilities.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79" w:name="Item4CONTROLSANDPROCEDURES_722053"/>
      <w:bookmarkStart w:id="2180" w:name="_09f05de0_9d29_40f2_87e7_59a9cb76c8d8"/>
      <w:bookmarkStart w:id="2181" w:name="Item4CONTROLSANDPROCEDURES_722053"/>
      <w:bookmarkStart w:id="2182" w:name="_09f05de0_9d29_40f2_87e7_59a9cb76c8d8"/>
      <w:bookmarkEnd w:id="2181"/>
      <w:bookmarkEnd w:id="2182"/>
    </w:p>
    <w:tbl>
      <w:tblPr>
        <w:tblW w:w="3797" w:type="dxa"/>
        <w:jc w:val="left"/>
        <w:tblInd w:w="0" w:type="dxa"/>
        <w:tblLayout w:type="fixed"/>
        <w:tblCellMar>
          <w:top w:w="0" w:type="dxa"/>
          <w:left w:w="0" w:type="dxa"/>
          <w:bottom w:w="0" w:type="dxa"/>
          <w:right w:w="0" w:type="dxa"/>
        </w:tblCellMar>
      </w:tblPr>
      <w:tblGrid>
        <w:gridCol w:w="706"/>
        <w:gridCol w:w="309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4.</w:t>
            </w:r>
          </w:p>
        </w:tc>
        <w:tc>
          <w:tcPr>
            <w:tcW w:w="30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CONTROLS AND PROCEDURES</w:t>
            </w:r>
            <w:r>
              <w:rPr>
                <w:rFonts w:ascii="Times New Roman;Times;serif" w:hAnsi="Times New Roman;Times;serif"/>
                <w:sz w:val="20"/>
              </w:rPr>
              <w:t xml:space="preserve"> </w:t>
            </w:r>
          </w:p>
        </w:tc>
      </w:tr>
    </w:tbl>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principal financial officer, evaluated the effectiveness of our disclosure controls and procedures as defined in Rule 13a-15(b) of the Securities Exchange Act of 1934, as amended (the “Exchange Act”).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the evaluation of our disclosure controls and procedures, our principal executive officer and principal financial officer concluded that, as of September 30, 2023, our disclosure controls and procedures were effective at a reasonable assurance level.</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period covered by this Quarterly Report on Form 10-Q that materially affected, or are reasonably likely to materially affect, our internal control over financial reporting.</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bookmarkStart w:id="2183" w:name="PARTIIOTHERINFORMATION_466846"/>
      <w:bookmarkEnd w:id="2183"/>
      <w:r>
        <w:rPr>
          <w:rFonts w:ascii="Times New Roman;Times;serif" w:hAnsi="Times New Roman;Times;serif"/>
          <w:b/>
          <w:sz w:val="20"/>
        </w:rPr>
        <w:t>PART II---OTHER INFORMATION</w:t>
      </w:r>
      <w:r>
        <w:rPr>
          <w:rFonts w:ascii="Times New Roman;Times;serif" w:hAnsi="Times New Roman;Times;serif"/>
          <w:color w:val="FF0000"/>
          <w:sz w:val="20"/>
          <w:shd w:fill="FFFF00" w:val="clear"/>
        </w:rPr>
        <w:t xml:space="preserve"> </w:t>
      </w:r>
    </w:p>
    <w:p>
      <w:pPr>
        <w:pStyle w:val="TextBody"/>
        <w:bidi w:val="0"/>
        <w:spacing w:before="0" w:after="240"/>
        <w:ind w:left="0" w:right="0" w:hanging="0"/>
        <w:jc w:val="both"/>
        <w:rPr>
          <w:rFonts w:ascii="Times New Roman;Times;serif" w:hAnsi="Times New Roman;Times;serif"/>
          <w:b/>
          <w:sz w:val="20"/>
        </w:rPr>
      </w:pPr>
      <w:bookmarkStart w:id="2184" w:name="ITEM1LEGALPROCEEDINGS_169419"/>
      <w:bookmarkStart w:id="2185" w:name="_674e9158_56f4_428e_bc65_a8d2e1662a30"/>
      <w:bookmarkEnd w:id="2184"/>
      <w:bookmarkEnd w:id="2185"/>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also seek monetary damages, including punitive damages and attorney’s fees. Avalara has filed a motion to dismiss for lack of personal jurisdiction. As of September 30, 2023, the matter remains before the Court as the parties pursue jurisdictional discovery, after which, further briefs will be filed.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pStyle w:val="TextBody"/>
        <w:bidi w:val="0"/>
        <w:spacing w:before="0" w:after="240"/>
        <w:ind w:left="0" w:right="0" w:hanging="0"/>
        <w:jc w:val="both"/>
        <w:rPr>
          <w:rFonts w:ascii="Times New Roman;Times;serif" w:hAnsi="Times New Roman;Times;serif"/>
          <w:b/>
          <w:sz w:val="20"/>
        </w:rPr>
      </w:pPr>
      <w:bookmarkStart w:id="2186" w:name="ITEM1ARISKFACTORS_159906"/>
      <w:bookmarkStart w:id="2187" w:name="_2da48c26_1001_49c0_a86c_bdb8d73a9bea"/>
      <w:bookmarkEnd w:id="2186"/>
      <w:bookmarkEnd w:id="2187"/>
      <w:r>
        <w:rPr>
          <w:rFonts w:ascii="Times New Roman;Times;serif" w:hAnsi="Times New Roman;Times;serif"/>
          <w:b/>
          <w:sz w:val="20"/>
        </w:rPr>
        <w:t>ITEM 1A. RISK FACTORS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This document incorporates by reference various risk factors discussed in the Company’s 2022 Annual Report, under the heading “Risk Factors”. 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 </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188" w:name="ITEM2UNREGISTEREDSALESOFEQUITYSECURITIES"/>
      <w:bookmarkStart w:id="2189" w:name="_bfe62589_0bb6_4bee_9e7c_2525cc05cb4a"/>
      <w:bookmarkStart w:id="2190" w:name="ITEM2UNREGISTEREDSALESOFEQUITYSECURITIES"/>
      <w:bookmarkStart w:id="2191" w:name="_bfe62589_0bb6_4bee_9e7c_2525cc05cb4a"/>
      <w:bookmarkEnd w:id="2190"/>
      <w:bookmarkEnd w:id="2191"/>
    </w:p>
    <w:tbl>
      <w:tblPr>
        <w:tblW w:w="7817" w:type="dxa"/>
        <w:jc w:val="left"/>
        <w:tblInd w:w="0" w:type="dxa"/>
        <w:tblLayout w:type="fixed"/>
        <w:tblCellMar>
          <w:top w:w="0" w:type="dxa"/>
          <w:left w:w="0" w:type="dxa"/>
          <w:bottom w:w="0" w:type="dxa"/>
          <w:right w:w="0" w:type="dxa"/>
        </w:tblCellMar>
      </w:tblPr>
      <w:tblGrid>
        <w:gridCol w:w="841"/>
        <w:gridCol w:w="697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6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192" w:name="ITEM3DEFAULTSUPONSENIORSECURITIES_573487"/>
      <w:bookmarkStart w:id="2193" w:name="_bb07f2f1_09f1_48fe_932f_df392a70ba1d"/>
      <w:bookmarkStart w:id="2194" w:name="ITEM3DEFAULTSUPONSENIORSECURITIES_573487"/>
      <w:bookmarkStart w:id="2195" w:name="_bb07f2f1_09f1_48fe_932f_df392a70ba1d"/>
      <w:bookmarkEnd w:id="2194"/>
      <w:bookmarkEnd w:id="2195"/>
    </w:p>
    <w:tbl>
      <w:tblPr>
        <w:tblW w:w="4607" w:type="dxa"/>
        <w:jc w:val="left"/>
        <w:tblInd w:w="0" w:type="dxa"/>
        <w:tblLayout w:type="fixed"/>
        <w:tblCellMar>
          <w:top w:w="0" w:type="dxa"/>
          <w:left w:w="0" w:type="dxa"/>
          <w:bottom w:w="0" w:type="dxa"/>
          <w:right w:w="0" w:type="dxa"/>
        </w:tblCellMar>
      </w:tblPr>
      <w:tblGrid>
        <w:gridCol w:w="841"/>
        <w:gridCol w:w="376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37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2196" w:name="ITEM4MINESAFETYDISCLOSURES_7256"/>
      <w:bookmarkStart w:id="2197" w:name="_629627ef_3130_457e_ab83_a07909cbb216"/>
      <w:bookmarkEnd w:id="2196"/>
      <w:bookmarkEnd w:id="2197"/>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2198" w:name="ITEM5OTHERINFORMATION_591263"/>
      <w:bookmarkStart w:id="2199" w:name="_28184b32_8eb4_4fdb_9fdc_9c33f99eece1"/>
      <w:bookmarkEnd w:id="2198"/>
      <w:bookmarkEnd w:id="2199"/>
      <w:r>
        <w:rPr>
          <w:rFonts w:ascii="Times New Roman;Times;serif" w:hAnsi="Times New Roman;Times;serif"/>
          <w:b/>
          <w:sz w:val="20"/>
        </w:rPr>
        <w:t>ITEM 5. OTHER INFORMATION</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On September 15, 2023, John Schwab, our Chief Financial Officer, adopted a Rule 10b5-1 trading arrangement that is intended to satisfy the affirmative defense of Rule 10b5-1(c) for the sale of up to 35,000 shares of Class A common stock until March 28, 2024.</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On August 18, 2023, Eric Andersen, Director, adopted a Rule 10b5-1 trading arrangement that is intended to satisfy the affirmative defense of Rule 10b5-1(c) for the sale of up to 80,000 shares of Class A common stock until August 15, 2025.</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2200" w:name="ITEM6EXHIBITS_780342"/>
      <w:bookmarkStart w:id="2201" w:name="_057b85a9_8081_4afe_8c9b_72f9cf6c8d3c"/>
      <w:bookmarkEnd w:id="2200"/>
      <w:bookmarkEnd w:id="2201"/>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74"/>
        <w:gridCol w:w="386"/>
        <w:gridCol w:w="3176"/>
        <w:gridCol w:w="326"/>
        <w:gridCol w:w="511"/>
        <w:gridCol w:w="326"/>
        <w:gridCol w:w="411"/>
        <w:gridCol w:w="326"/>
        <w:gridCol w:w="631"/>
        <w:gridCol w:w="326"/>
        <w:gridCol w:w="572"/>
        <w:gridCol w:w="326"/>
        <w:gridCol w:w="829"/>
        <w:gridCol w:w="326"/>
        <w:gridCol w:w="959"/>
      </w:tblGrid>
      <w:tr>
        <w:trPr/>
        <w:tc>
          <w:tcPr>
            <w:tcW w:w="77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45745" cy="29210"/>
                      <wp:effectExtent l="0" t="0" r="0" b="0"/>
                      <wp:wrapNone/>
                      <wp:docPr id="744" name="Frame744"/>
                      <a:graphic xmlns:a="http://schemas.openxmlformats.org/drawingml/2006/main">
                        <a:graphicData uri="http://schemas.microsoft.com/office/word/2010/wordprocessingShape">
                          <wps:wsp>
                            <wps:cNvSpPr txBox="1"/>
                            <wps:spPr>
                              <a:xfrm>
                                <a:off x="0" y="0"/>
                                <a:ext cx="2457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22555" cy="29210"/>
                      <wp:effectExtent l="0" t="0" r="0" b="0"/>
                      <wp:wrapNone/>
                      <wp:docPr id="745" name="Frame745"/>
                      <a:graphic xmlns:a="http://schemas.openxmlformats.org/drawingml/2006/main">
                        <a:graphicData uri="http://schemas.microsoft.com/office/word/2010/wordprocessingShape">
                          <wps:wsp>
                            <wps:cNvSpPr txBox="1"/>
                            <wps:spPr>
                              <a:xfrm>
                                <a:off x="0" y="0"/>
                                <a:ext cx="1225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7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1008380" cy="29210"/>
                      <wp:effectExtent l="0" t="0" r="0" b="0"/>
                      <wp:wrapNone/>
                      <wp:docPr id="746" name="Frame746"/>
                      <a:graphic xmlns:a="http://schemas.openxmlformats.org/drawingml/2006/main">
                        <a:graphicData uri="http://schemas.microsoft.com/office/word/2010/wordprocessingShape">
                          <wps:wsp>
                            <wps:cNvSpPr txBox="1"/>
                            <wps:spPr>
                              <a:xfrm>
                                <a:off x="0" y="0"/>
                                <a:ext cx="10083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103505" cy="29210"/>
                      <wp:effectExtent l="0" t="0" r="0" b="0"/>
                      <wp:wrapNone/>
                      <wp:docPr id="747" name="Frame747"/>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161925" cy="29210"/>
                      <wp:effectExtent l="0" t="0" r="0" b="0"/>
                      <wp:wrapNone/>
                      <wp:docPr id="748" name="Frame748"/>
                      <a:graphic xmlns:a="http://schemas.openxmlformats.org/drawingml/2006/main">
                        <a:graphicData uri="http://schemas.microsoft.com/office/word/2010/wordprocessingShape">
                          <wps:wsp>
                            <wps:cNvSpPr txBox="1"/>
                            <wps:spPr>
                              <a:xfrm>
                                <a:off x="0" y="0"/>
                                <a:ext cx="161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103505" cy="29210"/>
                      <wp:effectExtent l="0" t="0" r="0" b="0"/>
                      <wp:wrapNone/>
                      <wp:docPr id="749" name="Frame749"/>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130175" cy="29210"/>
                      <wp:effectExtent l="0" t="0" r="0" b="0"/>
                      <wp:wrapNone/>
                      <wp:docPr id="750" name="Frame750"/>
                      <a:graphic xmlns:a="http://schemas.openxmlformats.org/drawingml/2006/main">
                        <a:graphicData uri="http://schemas.microsoft.com/office/word/2010/wordprocessingShape">
                          <wps:wsp>
                            <wps:cNvSpPr txBox="1"/>
                            <wps:spPr>
                              <a:xfrm>
                                <a:off x="0" y="0"/>
                                <a:ext cx="1301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103505" cy="29210"/>
                      <wp:effectExtent l="0" t="0" r="0" b="0"/>
                      <wp:wrapNone/>
                      <wp:docPr id="751" name="Frame751"/>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200025" cy="29210"/>
                      <wp:effectExtent l="0" t="0" r="0" b="0"/>
                      <wp:wrapNone/>
                      <wp:docPr id="752" name="Frame752"/>
                      <a:graphic xmlns:a="http://schemas.openxmlformats.org/drawingml/2006/main">
                        <a:graphicData uri="http://schemas.microsoft.com/office/word/2010/wordprocessingShape">
                          <wps:wsp>
                            <wps:cNvSpPr txBox="1"/>
                            <wps:spPr>
                              <a:xfrm>
                                <a:off x="0" y="0"/>
                                <a:ext cx="200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103505" cy="29210"/>
                      <wp:effectExtent l="0" t="0" r="0" b="0"/>
                      <wp:wrapNone/>
                      <wp:docPr id="753" name="Frame753"/>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181610" cy="29210"/>
                      <wp:effectExtent l="0" t="0" r="0" b="0"/>
                      <wp:wrapNone/>
                      <wp:docPr id="754" name="Frame754"/>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103505" cy="29210"/>
                      <wp:effectExtent l="0" t="0" r="0" b="0"/>
                      <wp:wrapNone/>
                      <wp:docPr id="755" name="Frame755"/>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262890" cy="29210"/>
                      <wp:effectExtent l="0" t="0" r="0" b="0"/>
                      <wp:wrapNone/>
                      <wp:docPr id="756" name="Frame756"/>
                      <a:graphic xmlns:a="http://schemas.openxmlformats.org/drawingml/2006/main">
                        <a:graphicData uri="http://schemas.microsoft.com/office/word/2010/wordprocessingShape">
                          <wps:wsp>
                            <wps:cNvSpPr txBox="1"/>
                            <wps:spPr>
                              <a:xfrm>
                                <a:off x="0" y="0"/>
                                <a:ext cx="2628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103505" cy="29210"/>
                      <wp:effectExtent l="0" t="0" r="0" b="0"/>
                      <wp:wrapNone/>
                      <wp:docPr id="757" name="Frame757"/>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5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304165" cy="29210"/>
                      <wp:effectExtent l="0" t="0" r="0" b="0"/>
                      <wp:wrapNone/>
                      <wp:docPr id="758" name="Frame758"/>
                      <a:graphic xmlns:a="http://schemas.openxmlformats.org/drawingml/2006/main">
                        <a:graphicData uri="http://schemas.microsoft.com/office/word/2010/wordprocessingShape">
                          <wps:wsp>
                            <wps:cNvSpPr txBox="1"/>
                            <wps:spPr>
                              <a:xfrm>
                                <a:off x="0" y="0"/>
                                <a:ext cx="3041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74" w:type="dxa"/>
            <w:tcBorders>
              <w:bottom w:val="single" w:sz="8"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8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317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Description </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51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41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63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572"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829"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959"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 Herewith</w:t>
            </w:r>
          </w:p>
        </w:tc>
      </w:tr>
      <w:tr>
        <w:trPr/>
        <w:tc>
          <w:tcPr>
            <w:tcW w:w="774" w:type="dxa"/>
            <w:tcBorders/>
            <w:vAlign w:val="center"/>
          </w:tcPr>
          <w:p>
            <w:pPr>
              <w:pStyle w:val="TableContents"/>
              <w:bidi w:val="0"/>
              <w:spacing w:before="0" w:after="0"/>
              <w:ind w:left="0" w:right="0" w:hanging="0"/>
              <w:jc w:val="left"/>
              <w:rPr/>
            </w:pPr>
            <w:hyperlink w:anchor="verx-20230930xex31d1.htm">
              <w:r>
                <w:rPr>
                  <w:rStyle w:val="InternetLink"/>
                  <w:rFonts w:ascii="Times New Roman;Times;serif" w:hAnsi="Times New Roman;Times;serif"/>
                  <w:b w:val="false"/>
                  <w:i w:val="false"/>
                  <w:caps w:val="false"/>
                  <w:smallCaps w:val="false"/>
                  <w:sz w:val="20"/>
                </w:rPr>
                <w:t>31.1</w:t>
              </w:r>
            </w:hyperlink>
          </w:p>
        </w:tc>
        <w:tc>
          <w:tcPr>
            <w:tcW w:w="386" w:type="dxa"/>
            <w:tcBorders/>
            <w:vAlign w:val="center"/>
          </w:tcPr>
          <w:p>
            <w:pPr>
              <w:pStyle w:val="TableContents"/>
              <w:bidi w:val="0"/>
              <w:spacing w:before="0" w:after="0"/>
              <w:ind w:left="0" w:right="0" w:hanging="0"/>
              <w:jc w:val="both"/>
              <w:rPr/>
            </w:pPr>
            <w:r>
              <w:rPr/>
              <w:t>​</w:t>
            </w:r>
          </w:p>
        </w:tc>
        <w:tc>
          <w:tcPr>
            <w:tcW w:w="3176" w:type="dxa"/>
            <w:tcBorders/>
            <w:vAlign w:val="center"/>
          </w:tcPr>
          <w:p>
            <w:pPr>
              <w:pStyle w:val="TableContents"/>
              <w:bidi w:val="0"/>
              <w:spacing w:before="0" w:after="0"/>
              <w:ind w:left="0" w:right="0" w:hanging="0"/>
              <w:jc w:val="left"/>
              <w:rPr/>
            </w:pPr>
            <w:hyperlink w:anchor="verx-202309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pPr>
            <w:r>
              <w:rPr/>
              <w:t>​</w:t>
            </w:r>
          </w:p>
        </w:tc>
      </w:tr>
      <w:tr>
        <w:trPr/>
        <w:tc>
          <w:tcPr>
            <w:tcW w:w="774" w:type="dxa"/>
            <w:tcBorders/>
            <w:vAlign w:val="center"/>
          </w:tcPr>
          <w:p>
            <w:pPr>
              <w:pStyle w:val="TableContents"/>
              <w:bidi w:val="0"/>
              <w:spacing w:before="0" w:after="0"/>
              <w:ind w:left="0" w:right="0" w:hanging="0"/>
              <w:jc w:val="left"/>
              <w:rPr/>
            </w:pPr>
            <w:hyperlink w:anchor="verx-20230930xex31d2.htm">
              <w:r>
                <w:rPr>
                  <w:rStyle w:val="InternetLink"/>
                  <w:rFonts w:ascii="Times New Roman;Times;serif" w:hAnsi="Times New Roman;Times;serif"/>
                  <w:b w:val="false"/>
                  <w:i w:val="false"/>
                  <w:caps w:val="false"/>
                  <w:smallCaps w:val="false"/>
                  <w:sz w:val="20"/>
                </w:rPr>
                <w:t>31.2</w:t>
              </w:r>
            </w:hyperlink>
          </w:p>
        </w:tc>
        <w:tc>
          <w:tcPr>
            <w:tcW w:w="386" w:type="dxa"/>
            <w:tcBorders/>
            <w:vAlign w:val="center"/>
          </w:tcPr>
          <w:p>
            <w:pPr>
              <w:pStyle w:val="TableContents"/>
              <w:bidi w:val="0"/>
              <w:spacing w:before="0" w:after="0"/>
              <w:ind w:left="0" w:right="0" w:hanging="0"/>
              <w:jc w:val="both"/>
              <w:rPr/>
            </w:pPr>
            <w:r>
              <w:rPr/>
              <w:t> </w:t>
            </w:r>
          </w:p>
        </w:tc>
        <w:tc>
          <w:tcPr>
            <w:tcW w:w="3176" w:type="dxa"/>
            <w:tcBorders/>
            <w:vAlign w:val="center"/>
          </w:tcPr>
          <w:p>
            <w:pPr>
              <w:pStyle w:val="TableContents"/>
              <w:bidi w:val="0"/>
              <w:spacing w:before="0" w:after="0"/>
              <w:ind w:left="0" w:right="0" w:hanging="0"/>
              <w:jc w:val="left"/>
              <w:rPr/>
            </w:pPr>
            <w:hyperlink w:anchor="verx-202309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pPr>
            <w:r>
              <w:rPr/>
              <w:t>​</w:t>
            </w:r>
          </w:p>
        </w:tc>
      </w:tr>
      <w:tr>
        <w:trPr/>
        <w:tc>
          <w:tcPr>
            <w:tcW w:w="774" w:type="dxa"/>
            <w:tcBorders/>
            <w:vAlign w:val="center"/>
          </w:tcPr>
          <w:p>
            <w:pPr>
              <w:pStyle w:val="TableContents"/>
              <w:bidi w:val="0"/>
              <w:spacing w:before="0" w:after="0"/>
              <w:ind w:left="0" w:right="0" w:hanging="0"/>
              <w:jc w:val="left"/>
              <w:rPr/>
            </w:pPr>
            <w:hyperlink w:anchor="verx-20230930xex32d1.htm">
              <w:r>
                <w:rPr>
                  <w:rStyle w:val="InternetLink"/>
                  <w:rFonts w:ascii="Times New Roman;Times;serif" w:hAnsi="Times New Roman;Times;serif"/>
                  <w:b w:val="false"/>
                  <w:i w:val="false"/>
                  <w:caps w:val="false"/>
                  <w:smallCaps w:val="false"/>
                  <w:sz w:val="20"/>
                </w:rPr>
                <w:t>32.1</w:t>
              </w:r>
            </w:hyperlink>
          </w:p>
        </w:tc>
        <w:tc>
          <w:tcPr>
            <w:tcW w:w="386" w:type="dxa"/>
            <w:tcBorders/>
            <w:vAlign w:val="center"/>
          </w:tcPr>
          <w:p>
            <w:pPr>
              <w:pStyle w:val="TableContents"/>
              <w:bidi w:val="0"/>
              <w:spacing w:before="0" w:after="0"/>
              <w:ind w:left="0" w:right="0" w:hanging="0"/>
              <w:jc w:val="both"/>
              <w:rPr/>
            </w:pPr>
            <w:r>
              <w:rPr/>
              <w:t> </w:t>
            </w:r>
          </w:p>
        </w:tc>
        <w:tc>
          <w:tcPr>
            <w:tcW w:w="3176" w:type="dxa"/>
            <w:tcBorders/>
            <w:vAlign w:val="center"/>
          </w:tcPr>
          <w:p>
            <w:pPr>
              <w:pStyle w:val="TableContents"/>
              <w:bidi w:val="0"/>
              <w:spacing w:before="0" w:after="0"/>
              <w:ind w:left="0" w:right="0" w:hanging="0"/>
              <w:jc w:val="left"/>
              <w:rPr/>
            </w:pPr>
            <w:hyperlink w:anchor="verx-2023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74" w:type="dxa"/>
            <w:tcBorders/>
            <w:vAlign w:val="center"/>
          </w:tcPr>
          <w:p>
            <w:pPr>
              <w:pStyle w:val="TableContents"/>
              <w:bidi w:val="0"/>
              <w:spacing w:before="0" w:after="0"/>
              <w:ind w:left="0" w:right="0" w:hanging="0"/>
              <w:jc w:val="left"/>
              <w:rPr/>
            </w:pPr>
            <w:hyperlink w:anchor="verx-20230930xex32d2.htm">
              <w:r>
                <w:rPr>
                  <w:rStyle w:val="InternetLink"/>
                  <w:rFonts w:ascii="Times New Roman;Times;serif" w:hAnsi="Times New Roman;Times;serif"/>
                  <w:b w:val="false"/>
                  <w:i w:val="false"/>
                  <w:caps w:val="false"/>
                  <w:smallCaps w:val="false"/>
                  <w:sz w:val="20"/>
                </w:rPr>
                <w:t>32.2</w:t>
              </w:r>
            </w:hyperlink>
          </w:p>
        </w:tc>
        <w:tc>
          <w:tcPr>
            <w:tcW w:w="386" w:type="dxa"/>
            <w:tcBorders/>
            <w:vAlign w:val="center"/>
          </w:tcPr>
          <w:p>
            <w:pPr>
              <w:pStyle w:val="TableContents"/>
              <w:bidi w:val="0"/>
              <w:spacing w:before="0" w:after="0"/>
              <w:ind w:left="0" w:right="0" w:hanging="0"/>
              <w:jc w:val="both"/>
              <w:rPr/>
            </w:pPr>
            <w:r>
              <w:rPr/>
              <w:t> </w:t>
            </w:r>
          </w:p>
        </w:tc>
        <w:tc>
          <w:tcPr>
            <w:tcW w:w="3176" w:type="dxa"/>
            <w:tcBorders/>
            <w:vAlign w:val="center"/>
          </w:tcPr>
          <w:p>
            <w:pPr>
              <w:pStyle w:val="TableContents"/>
              <w:bidi w:val="0"/>
              <w:spacing w:before="0" w:after="0"/>
              <w:ind w:left="0" w:right="0" w:hanging="0"/>
              <w:jc w:val="left"/>
              <w:rPr/>
            </w:pPr>
            <w:hyperlink w:anchor="verx-2023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86" w:type="dxa"/>
            <w:tcBorders/>
            <w:vAlign w:val="center"/>
          </w:tcPr>
          <w:p>
            <w:pPr>
              <w:pStyle w:val="TableContents"/>
              <w:bidi w:val="0"/>
              <w:spacing w:before="0" w:after="0"/>
              <w:ind w:left="0" w:right="0" w:hanging="0"/>
              <w:jc w:val="both"/>
              <w:rPr/>
            </w:pPr>
            <w:r>
              <w:rPr/>
              <w:t> </w:t>
            </w:r>
          </w:p>
        </w:tc>
        <w:tc>
          <w:tcPr>
            <w:tcW w:w="3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283"/>
              <w:ind w:left="0" w:right="0" w:hanging="0"/>
              <w:jc w:val="left"/>
              <w:rPr>
                <w:sz w:val="4"/>
                <w:szCs w:val="4"/>
              </w:rPr>
            </w:pPr>
            <w:r>
              <w:rPr>
                <w:sz w:val="4"/>
                <w:szCs w:val="4"/>
              </w:rPr>
            </w:r>
          </w:p>
        </w:tc>
      </w:tr>
      <w:tr>
        <w:trPr/>
        <w:tc>
          <w:tcPr>
            <w:tcW w:w="7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86" w:type="dxa"/>
            <w:tcBorders/>
            <w:vAlign w:val="center"/>
          </w:tcPr>
          <w:p>
            <w:pPr>
              <w:pStyle w:val="TableContents"/>
              <w:bidi w:val="0"/>
              <w:spacing w:before="0" w:after="0"/>
              <w:ind w:left="0" w:right="0" w:hanging="0"/>
              <w:jc w:val="both"/>
              <w:rPr/>
            </w:pPr>
            <w:r>
              <w:rPr/>
              <w:t> </w:t>
            </w:r>
          </w:p>
        </w:tc>
        <w:tc>
          <w:tcPr>
            <w:tcW w:w="3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pPr>
            <w:r>
              <w:rPr/>
              <w:t>​</w:t>
            </w:r>
          </w:p>
        </w:tc>
      </w:tr>
      <w:tr>
        <w:trPr/>
        <w:tc>
          <w:tcPr>
            <w:tcW w:w="7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86" w:type="dxa"/>
            <w:tcBorders/>
            <w:vAlign w:val="center"/>
          </w:tcPr>
          <w:p>
            <w:pPr>
              <w:pStyle w:val="TableContents"/>
              <w:bidi w:val="0"/>
              <w:spacing w:before="0" w:after="0"/>
              <w:ind w:left="0" w:right="0" w:hanging="0"/>
              <w:jc w:val="both"/>
              <w:rPr/>
            </w:pPr>
            <w:r>
              <w:rPr/>
              <w:t> </w:t>
            </w:r>
          </w:p>
        </w:tc>
        <w:tc>
          <w:tcPr>
            <w:tcW w:w="3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pPr>
            <w:r>
              <w:rPr/>
              <w:t>​</w:t>
            </w:r>
          </w:p>
        </w:tc>
      </w:tr>
      <w:tr>
        <w:trPr/>
        <w:tc>
          <w:tcPr>
            <w:tcW w:w="7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386" w:type="dxa"/>
            <w:tcBorders/>
            <w:vAlign w:val="center"/>
          </w:tcPr>
          <w:p>
            <w:pPr>
              <w:pStyle w:val="TableContents"/>
              <w:bidi w:val="0"/>
              <w:spacing w:before="0" w:after="0"/>
              <w:ind w:left="0" w:right="0" w:hanging="0"/>
              <w:jc w:val="both"/>
              <w:rPr/>
            </w:pPr>
            <w:r>
              <w:rPr/>
              <w:t> </w:t>
            </w:r>
          </w:p>
        </w:tc>
        <w:tc>
          <w:tcPr>
            <w:tcW w:w="3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pPr>
            <w:r>
              <w:rPr/>
              <w:t>​</w:t>
            </w:r>
          </w:p>
        </w:tc>
      </w:tr>
      <w:tr>
        <w:trPr/>
        <w:tc>
          <w:tcPr>
            <w:tcW w:w="7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86" w:type="dxa"/>
            <w:tcBorders/>
            <w:vAlign w:val="center"/>
          </w:tcPr>
          <w:p>
            <w:pPr>
              <w:pStyle w:val="TableContents"/>
              <w:bidi w:val="0"/>
              <w:spacing w:before="0" w:after="0"/>
              <w:ind w:left="0" w:right="0" w:hanging="0"/>
              <w:jc w:val="both"/>
              <w:rPr/>
            </w:pPr>
            <w:r>
              <w:rPr/>
              <w:t> </w:t>
            </w:r>
          </w:p>
        </w:tc>
        <w:tc>
          <w:tcPr>
            <w:tcW w:w="3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pPr>
            <w:r>
              <w:rPr/>
              <w:t>​</w:t>
            </w:r>
          </w:p>
        </w:tc>
      </w:tr>
      <w:tr>
        <w:trPr/>
        <w:tc>
          <w:tcPr>
            <w:tcW w:w="7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386" w:type="dxa"/>
            <w:tcBorders/>
            <w:vAlign w:val="center"/>
          </w:tcPr>
          <w:p>
            <w:pPr>
              <w:pStyle w:val="TableContents"/>
              <w:bidi w:val="0"/>
              <w:spacing w:before="0" w:after="0"/>
              <w:ind w:left="0" w:right="0" w:hanging="0"/>
              <w:jc w:val="both"/>
              <w:rPr/>
            </w:pPr>
            <w:r>
              <w:rPr/>
              <w:t> </w:t>
            </w:r>
          </w:p>
        </w:tc>
        <w:tc>
          <w:tcPr>
            <w:tcW w:w="3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pPr>
            <w:r>
              <w:rPr/>
              <w:t>​</w:t>
            </w:r>
          </w:p>
        </w:tc>
      </w:tr>
      <w:tr>
        <w:trPr/>
        <w:tc>
          <w:tcPr>
            <w:tcW w:w="7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86" w:type="dxa"/>
            <w:tcBorders/>
            <w:vAlign w:val="center"/>
          </w:tcPr>
          <w:p>
            <w:pPr>
              <w:pStyle w:val="TableContents"/>
              <w:bidi w:val="0"/>
              <w:spacing w:before="0" w:after="0"/>
              <w:ind w:left="0" w:right="0" w:hanging="0"/>
              <w:jc w:val="both"/>
              <w:rPr/>
            </w:pPr>
            <w:r>
              <w:rPr/>
              <w:t>​</w:t>
            </w:r>
          </w:p>
        </w:tc>
        <w:tc>
          <w:tcPr>
            <w:tcW w:w="3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202" w:name="SIGNATURES_99336"/>
      <w:bookmarkStart w:id="2203" w:name="_dec24e12_875b_49d4_9978_072d53a35e71"/>
      <w:bookmarkEnd w:id="2202"/>
      <w:bookmarkEnd w:id="2203"/>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9464" w:type="dxa"/>
        <w:jc w:val="left"/>
        <w:tblInd w:w="0" w:type="dxa"/>
        <w:tblLayout w:type="fixed"/>
        <w:tblCellMar>
          <w:top w:w="0" w:type="dxa"/>
          <w:left w:w="0" w:type="dxa"/>
          <w:bottom w:w="0" w:type="dxa"/>
          <w:right w:w="0" w:type="dxa"/>
        </w:tblCellMar>
      </w:tblPr>
      <w:tblGrid>
        <w:gridCol w:w="2101"/>
        <w:gridCol w:w="266"/>
        <w:gridCol w:w="406"/>
        <w:gridCol w:w="669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691"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0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Vertex, Inc.</w:t>
            </w:r>
          </w:p>
        </w:tc>
      </w:tr>
      <w:tr>
        <w:trPr/>
        <w:tc>
          <w:tcPr>
            <w:tcW w:w="2101"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7097" w:type="dxa"/>
            <w:gridSpan w:val="2"/>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69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2101"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2101"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Chairperson (principal executive officer)</w:t>
            </w:r>
          </w:p>
        </w:tc>
      </w:tr>
      <w:tr>
        <w:trPr/>
        <w:tc>
          <w:tcPr>
            <w:tcW w:w="2101"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7097" w:type="dxa"/>
            <w:gridSpan w:val="2"/>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69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2101"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2101"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0"/>
        <w:ind w:left="0" w:right="0" w:hanging="0"/>
        <w:jc w:val="right"/>
        <w:rPr>
          <w:rFonts w:ascii="Times New Roman;Times;serif" w:hAnsi="Times New Roman;Times;serif"/>
          <w:b/>
          <w:sz w:val="20"/>
        </w:rPr>
      </w:pPr>
      <w:bookmarkStart w:id="2204" w:name="verx-20230930xex31d1.htm"/>
      <w:bookmarkStart w:id="2205" w:name="ksverx20230930xex31d1"/>
      <w:bookmarkEnd w:id="2204"/>
      <w:bookmarkEnd w:id="2205"/>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David DeStefano, certify that:</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tc>
      </w:tr>
    </w:tbl>
    <w:p>
      <w:pPr>
        <w:pStyle w:val="TextBody"/>
        <w:pBdr/>
        <w:bidi w:val="0"/>
        <w:spacing w:before="0" w:after="0"/>
        <w:ind w:left="1080" w:right="0" w:hanging="36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531" w:type="dxa"/>
        <w:jc w:val="left"/>
        <w:tblInd w:w="0" w:type="dxa"/>
        <w:tblLayout w:type="fixed"/>
        <w:tblCellMar>
          <w:top w:w="0" w:type="dxa"/>
          <w:left w:w="0" w:type="dxa"/>
          <w:bottom w:w="0" w:type="dxa"/>
          <w:right w:w="0" w:type="dxa"/>
        </w:tblCellMar>
      </w:tblPr>
      <w:tblGrid>
        <w:gridCol w:w="2101"/>
        <w:gridCol w:w="453"/>
        <w:gridCol w:w="1977"/>
      </w:tblGrid>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77"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2101"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2101"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06" w:name="verx-20230930xex31d2.htm"/>
      <w:bookmarkStart w:id="2207" w:name="ksverx20230930xex31d2"/>
      <w:bookmarkEnd w:id="2206"/>
      <w:bookmarkEnd w:id="2207"/>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John Schwab, certify that:</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 </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516" w:type="dxa"/>
        <w:jc w:val="center"/>
        <w:tblInd w:w="0" w:type="dxa"/>
        <w:tblLayout w:type="fixed"/>
        <w:tblCellMar>
          <w:top w:w="0" w:type="dxa"/>
          <w:left w:w="0" w:type="dxa"/>
          <w:bottom w:w="0" w:type="dxa"/>
          <w:right w:w="0" w:type="dxa"/>
        </w:tblCellMar>
      </w:tblPr>
      <w:tblGrid>
        <w:gridCol w:w="2101"/>
        <w:gridCol w:w="526"/>
        <w:gridCol w:w="1889"/>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1334135" cy="29210"/>
                      <wp:effectExtent l="0" t="0" r="0" b="0"/>
                      <wp:wrapNone/>
                      <wp:docPr id="759" name="Frame759"/>
                      <a:graphic xmlns:a="http://schemas.openxmlformats.org/drawingml/2006/main">
                        <a:graphicData uri="http://schemas.microsoft.com/office/word/2010/wordprocessingShape">
                          <wps:wsp>
                            <wps:cNvSpPr txBox="1"/>
                            <wps:spPr>
                              <a:xfrm>
                                <a:off x="0" y="0"/>
                                <a:ext cx="1334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334010" cy="29210"/>
                      <wp:effectExtent l="0" t="0" r="0" b="0"/>
                      <wp:wrapNone/>
                      <wp:docPr id="760" name="Frame760"/>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1200150" cy="29210"/>
                      <wp:effectExtent l="0" t="0" r="0" b="0"/>
                      <wp:wrapNone/>
                      <wp:docPr id="761" name="Frame761"/>
                      <a:graphic xmlns:a="http://schemas.openxmlformats.org/drawingml/2006/main">
                        <a:graphicData uri="http://schemas.microsoft.com/office/word/2010/wordprocessingShape">
                          <wps:wsp>
                            <wps:cNvSpPr txBox="1"/>
                            <wps:spPr>
                              <a:xfrm>
                                <a:off x="0" y="0"/>
                                <a:ext cx="1200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2101"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2101"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08" w:name="verx-20230930xex32d1.htm"/>
      <w:bookmarkStart w:id="2209" w:name="ksverx20230930xex32d1"/>
      <w:bookmarkEnd w:id="2208"/>
      <w:bookmarkEnd w:id="2209"/>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September 30, 2023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531" w:type="dxa"/>
        <w:jc w:val="center"/>
        <w:tblInd w:w="0" w:type="dxa"/>
        <w:tblLayout w:type="fixed"/>
        <w:tblCellMar>
          <w:top w:w="0" w:type="dxa"/>
          <w:left w:w="0" w:type="dxa"/>
          <w:bottom w:w="0" w:type="dxa"/>
          <w:right w:w="0" w:type="dxa"/>
        </w:tblCellMar>
      </w:tblPr>
      <w:tblGrid>
        <w:gridCol w:w="2101"/>
        <w:gridCol w:w="531"/>
        <w:gridCol w:w="1899"/>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1334135" cy="29210"/>
                      <wp:effectExtent l="0" t="0" r="0" b="0"/>
                      <wp:wrapNone/>
                      <wp:docPr id="762" name="Frame762"/>
                      <a:graphic xmlns:a="http://schemas.openxmlformats.org/drawingml/2006/main">
                        <a:graphicData uri="http://schemas.microsoft.com/office/word/2010/wordprocessingShape">
                          <wps:wsp>
                            <wps:cNvSpPr txBox="1"/>
                            <wps:spPr>
                              <a:xfrm>
                                <a:off x="0" y="0"/>
                                <a:ext cx="1334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337185" cy="29210"/>
                      <wp:effectExtent l="0" t="0" r="0" b="0"/>
                      <wp:wrapNone/>
                      <wp:docPr id="763" name="Frame763"/>
                      <a:graphic xmlns:a="http://schemas.openxmlformats.org/drawingml/2006/main">
                        <a:graphicData uri="http://schemas.microsoft.com/office/word/2010/wordprocessingShape">
                          <wps:wsp>
                            <wps:cNvSpPr txBox="1"/>
                            <wps:spPr>
                              <a:xfrm>
                                <a:off x="0" y="0"/>
                                <a:ext cx="337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205865" cy="29210"/>
                      <wp:effectExtent l="0" t="0" r="0" b="0"/>
                      <wp:wrapNone/>
                      <wp:docPr id="764" name="Frame764"/>
                      <a:graphic xmlns:a="http://schemas.openxmlformats.org/drawingml/2006/main">
                        <a:graphicData uri="http://schemas.microsoft.com/office/word/2010/wordprocessingShape">
                          <wps:wsp>
                            <wps:cNvSpPr txBox="1"/>
                            <wps:spPr>
                              <a:xfrm>
                                <a:off x="0" y="0"/>
                                <a:ext cx="12058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189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2101"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2101"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10" w:name="verx-20230930xex32d2.htm"/>
      <w:bookmarkStart w:id="2211" w:name="ksverx20230930xex32d2"/>
      <w:bookmarkEnd w:id="2210"/>
      <w:bookmarkEnd w:id="2211"/>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September 30, 2023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w:t>
      </w:r>
    </w:p>
    <w:tbl>
      <w:tblPr>
        <w:tblW w:w="4516" w:type="dxa"/>
        <w:jc w:val="left"/>
        <w:tblInd w:w="0" w:type="dxa"/>
        <w:tblLayout w:type="fixed"/>
        <w:tblCellMar>
          <w:top w:w="0" w:type="dxa"/>
          <w:left w:w="0" w:type="dxa"/>
          <w:bottom w:w="0" w:type="dxa"/>
          <w:right w:w="0" w:type="dxa"/>
        </w:tblCellMar>
      </w:tblPr>
      <w:tblGrid>
        <w:gridCol w:w="2101"/>
        <w:gridCol w:w="526"/>
        <w:gridCol w:w="1889"/>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1334135" cy="160655"/>
                      <wp:effectExtent l="0" t="0" r="0" b="0"/>
                      <wp:wrapNone/>
                      <wp:docPr id="765" name="Frame765"/>
                      <a:graphic xmlns:a="http://schemas.openxmlformats.org/drawingml/2006/main">
                        <a:graphicData uri="http://schemas.microsoft.com/office/word/2010/wordprocessingShape">
                          <wps:wsp>
                            <wps:cNvSpPr txBox="1"/>
                            <wps:spPr>
                              <a:xfrm>
                                <a:off x="0" y="0"/>
                                <a:ext cx="1334135" cy="16065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334010" cy="29210"/>
                      <wp:effectExtent l="0" t="0" r="0" b="0"/>
                      <wp:wrapNone/>
                      <wp:docPr id="766" name="Frame766"/>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1199515" cy="29210"/>
                      <wp:effectExtent l="0" t="0" r="0" b="0"/>
                      <wp:wrapNone/>
                      <wp:docPr id="767" name="Frame767"/>
                      <a:graphic xmlns:a="http://schemas.openxmlformats.org/drawingml/2006/main">
                        <a:graphicData uri="http://schemas.microsoft.com/office/word/2010/wordprocessingShape">
                          <wps:wsp>
                            <wps:cNvSpPr txBox="1"/>
                            <wps:spPr>
                              <a:xfrm>
                                <a:off x="0" y="0"/>
                                <a:ext cx="1199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2101"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2101"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27223</Words>
  <Characters>154506</Characters>
  <CharactersWithSpaces>185836</CharactersWithSpaces>
  <Paragraphs>11992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